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tblGridChange w:id="0">
          <w:tblGrid>
            <w:gridCol w:w="97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Дані тест-кейси показують всі можливі валідні переходи на діаграмі.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ТАК, Умова 3 = НІ, Дія = ТАК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Умова 1 = НІ, Умова 2 = ТАК, Умова 3 = НІ,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47626</wp:posOffset>
                  </wp:positionH>
                  <wp:positionV relativeFrom="paragraph">
                    <wp:posOffset>47626</wp:posOffset>
                  </wp:positionV>
                  <wp:extent cx="6086475" cy="4737100"/>
                  <wp:effectExtent b="0" l="0" r="0" t="0"/>
                  <wp:wrapSquare wrapText="bothSides" distB="114300" distT="114300" distL="114300" distR="114300"/>
                  <wp:docPr id="6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6475" cy="473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-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 4 тест-кейси</w:t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2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6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Use-кейси:</w:t>
      </w:r>
    </w:p>
    <w:p w:rsidR="00000000" w:rsidDel="00000000" w:rsidP="00000000" w:rsidRDefault="00000000" w:rsidRPr="00000000" w14:paraId="00000069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1)</w:t>
      </w:r>
    </w:p>
    <w:tbl>
      <w:tblPr>
        <w:tblStyle w:val="Table4"/>
        <w:tblW w:w="10230.0" w:type="dxa"/>
        <w:jc w:val="left"/>
        <w:tblInd w:w="-64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560"/>
        <w:gridCol w:w="5670"/>
        <w:tblGridChange w:id="0">
          <w:tblGrid>
            <w:gridCol w:w="4560"/>
            <w:gridCol w:w="56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Діючі особи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Ціль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Завантажити фотографію в систему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Фотографія наявна на пристрої користувача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відкриває застосунок.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натискає “Завантажити світлину” та обирає необхідний файл зі свого пристрою.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завантажується в систему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завантажена</w:t>
            </w:r>
          </w:p>
        </w:tc>
      </w:tr>
    </w:tbl>
    <w:p w:rsidR="00000000" w:rsidDel="00000000" w:rsidP="00000000" w:rsidRDefault="00000000" w:rsidRPr="00000000" w14:paraId="0000007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2)</w:t>
      </w:r>
    </w:p>
    <w:tbl>
      <w:tblPr>
        <w:tblStyle w:val="Table5"/>
        <w:tblW w:w="10230.0" w:type="dxa"/>
        <w:jc w:val="left"/>
        <w:tblInd w:w="-64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560"/>
        <w:gridCol w:w="5670"/>
        <w:tblGridChange w:id="0">
          <w:tblGrid>
            <w:gridCol w:w="4560"/>
            <w:gridCol w:w="56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Діючі особи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Ціль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Поставти лайк фотографії свого друга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Фотографія друга завантажена в систему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відкриває застосунок.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Корстувач переходить на профіль свого друга та відкриває необхідну світлину.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4"/>
              </w:numPr>
              <w:spacing w:line="240" w:lineRule="auto"/>
              <w:ind w:left="566.9291338582675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ставить “лайк” обраній світлині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поставив лайк обраній світлині друга</w:t>
            </w:r>
          </w:p>
        </w:tc>
      </w:tr>
    </w:tbl>
    <w:p w:rsidR="00000000" w:rsidDel="00000000" w:rsidP="00000000" w:rsidRDefault="00000000" w:rsidRPr="00000000" w14:paraId="0000008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3)</w:t>
      </w:r>
    </w:p>
    <w:tbl>
      <w:tblPr>
        <w:tblStyle w:val="Table6"/>
        <w:tblW w:w="10230.0" w:type="dxa"/>
        <w:jc w:val="left"/>
        <w:tblInd w:w="-64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560"/>
        <w:gridCol w:w="5670"/>
        <w:tblGridChange w:id="0">
          <w:tblGrid>
            <w:gridCol w:w="4560"/>
            <w:gridCol w:w="56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Діючі особи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Ціль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Поширити світлину з додатка в особистий акаунт Instagram 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Фотографія завантажена до застосунку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відкриває застосунок.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обирає необхідну світлину.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натискає “Поширити в Instagram”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із застосунку поширена в Instagram-пофілі користувача</w:t>
            </w:r>
          </w:p>
        </w:tc>
      </w:tr>
    </w:tbl>
    <w:p w:rsidR="00000000" w:rsidDel="00000000" w:rsidP="00000000" w:rsidRDefault="00000000" w:rsidRPr="00000000" w14:paraId="0000009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4)</w:t>
      </w:r>
    </w:p>
    <w:tbl>
      <w:tblPr>
        <w:tblStyle w:val="Table7"/>
        <w:tblW w:w="10230.0" w:type="dxa"/>
        <w:jc w:val="left"/>
        <w:tblInd w:w="-64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560"/>
        <w:gridCol w:w="5670"/>
        <w:tblGridChange w:id="0">
          <w:tblGrid>
            <w:gridCol w:w="4560"/>
            <w:gridCol w:w="56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Діючі особи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Ціль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Авторизуватися в системі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Обліковий запис не активний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запускає систему.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вводить логін та пароль.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перевіряє логін та пароль.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видає інформацію про успішну авторизацію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авторизувався в системі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5)</w:t>
      </w:r>
    </w:p>
    <w:tbl>
      <w:tblPr>
        <w:tblStyle w:val="Table8"/>
        <w:tblW w:w="10230.0" w:type="dxa"/>
        <w:jc w:val="left"/>
        <w:tblInd w:w="-64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4560"/>
        <w:gridCol w:w="5670"/>
        <w:tblGridChange w:id="0">
          <w:tblGrid>
            <w:gridCol w:w="4560"/>
            <w:gridCol w:w="567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Діючі особи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Користувач, система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Ціль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Видалити фотографію з системи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Передумова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Фотографія наявна на  пофілі користувача</w:t>
            </w:r>
          </w:p>
        </w:tc>
      </w:tr>
      <w:tr>
        <w:trPr>
          <w:cantSplit w:val="0"/>
          <w:trHeight w:val="1260" w:hRule="atLeast"/>
          <w:tblHeader w:val="0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Успішний сценарій: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відкриває застосунок.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обирає необхідну світлину.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 натискає “Видалити” світлину.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Система видаляє світлину з профілю.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Результат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Світлина видалена з системи</w:t>
            </w:r>
          </w:p>
        </w:tc>
      </w:tr>
    </w:tbl>
    <w:p w:rsidR="00000000" w:rsidDel="00000000" w:rsidP="00000000" w:rsidRDefault="00000000" w:rsidRPr="00000000" w14:paraId="000000B5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fm18WHUVAaP7boB/QVCljbczGA==">AMUW2mVMRCZfRvcKpPUxvUxHde2XUgyZ5O0huhE6Em27ioQUab54IrnthdJS98yVlSUqaUIvl1P2+mKGJQtP0IXf1KWEXCs9egY0tUf/Wm+rtrrvxlGJHeE=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