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4"/>
              <w:gridCol w:w="3183.333333333334"/>
              <w:gridCol w:w="3183.333333333334"/>
              <w:tblGridChange w:id="0">
                <w:tblGrid>
                  <w:gridCol w:w="3183.333333333334"/>
                  <w:gridCol w:w="3183.333333333334"/>
                  <w:gridCol w:w="3183.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ПЗ тестується без запуску коду; оцінка якості коду, написаного розробниками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Перевіряє функціональність програми, коли код виконується; реалізується шляхом фактичного виконання програми і визначення того, чи працює функціональність так, як очікується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Знижує вартість фіксу знайдених багів, виявляє їх на ранніх етапах циклу розробки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Ретельне дослідження, яке розглядає всю функціональність програми, тому якість відповідає всім стандартам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Отримані відгуки допомагають покращити функціонування процесу, це допомагає команді уникнути подібних дефектів і багів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Процес тестування добре налагоджений, додаток тестується з точки зору користувача, що підвищує якість ПЗ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Скорочуються зусилля по виправленню помилок, що сприяє продуктивності розробки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складних помилок, які могли вислиизнути на етапі код рев’ю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Підвищує інформованість про різні проблеми якості ПЗ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автоматизовано за допомогою спеціальних інструментів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Процес може займати багато часу, так як виконується вручну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Перешкоджає виявленню вразливостей, представлених в середовищі виконання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 проведення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Зазвичай виконується після звершення кодування, знайдені баги виявляються пізніше в життєвому циклі розробки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Незважаючи на те, що статичне тестування вимагає багато часу, все ж варто витратити час на запобігання появи дефектів на останніх етапах розробки продукту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Завдяки безпосередньому виконанню тестів ПЗ команда може перевірити і підтвердити якість та ефективність ПЗ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2730825</wp:posOffset>
                  </wp:positionH>
                  <wp:positionV relativeFrom="paragraph">
                    <wp:posOffset>265024</wp:posOffset>
                  </wp:positionV>
                  <wp:extent cx="2931070" cy="3456262"/>
                  <wp:effectExtent b="0" l="0" r="0" t="0"/>
                  <wp:wrapSquare wrapText="bothSides" distB="114300" distT="114300" distL="114300" distR="11430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070" cy="34562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683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Необхідно 4 тест-кейси,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щоб переконатися, що всі запитання були поставлені, всі комбінації були пройдені та всі відповіді були отримані.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miro.com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figma.com/figja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VTJlRhfIFjmL/zNrF4robuNMHw==">AMUW2mWGSRLbiJmtO53gqxXmP4uA1ABn0+qNP7Cw88VYI9qFBd9xZNFeKzAw1w3uc3aXZoUqs/B3TR8gaI57RBLwODpeqJ+e8k9V3TMpXOIGj2+MymoKZSY=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