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018D2E4F" w:rsidR="0027512B" w:rsidRPr="006957A0" w:rsidRDefault="00703B06" w:rsidP="00DB2862">
      <w:pPr>
        <w:spacing w:after="0" w:line="480" w:lineRule="auto"/>
        <w:rPr>
          <w:b/>
        </w:rPr>
      </w:pPr>
      <w:r>
        <w:rPr>
          <w:b/>
        </w:rPr>
        <w:t>A</w:t>
      </w:r>
      <w:r w:rsidR="00DB5B02">
        <w:rPr>
          <w:b/>
        </w:rPr>
        <w:t xml:space="preserve"> demographic projection model </w:t>
      </w:r>
      <w:r w:rsidR="00D81544">
        <w:rPr>
          <w:b/>
        </w:rPr>
        <w:t xml:space="preserve">to support conservation decision making </w:t>
      </w:r>
      <w:r w:rsidR="006957A0">
        <w:rPr>
          <w:b/>
        </w:rPr>
        <w:t xml:space="preserve">for an endangered snake </w:t>
      </w:r>
      <w:r w:rsidR="00DB5B02">
        <w:rPr>
          <w:b/>
        </w:rPr>
        <w:t xml:space="preserve">with limited </w:t>
      </w:r>
      <w:r w:rsidR="006957A0">
        <w:rPr>
          <w:b/>
        </w:rPr>
        <w:t xml:space="preserve">monitoring </w:t>
      </w:r>
      <w:r w:rsidR="00DB5B02">
        <w:rPr>
          <w:b/>
        </w:rPr>
        <w:t>data</w:t>
      </w:r>
    </w:p>
    <w:p w14:paraId="390C1AB1" w14:textId="4B3881D1" w:rsidR="00DB5B02" w:rsidRPr="00750D6A" w:rsidRDefault="00DB5B02" w:rsidP="00DB2862">
      <w:pPr>
        <w:spacing w:after="0" w:line="480" w:lineRule="auto"/>
        <w:rPr>
          <w:bCs/>
          <w:vertAlign w:val="superscript"/>
          <w:lang w:val="es-PR"/>
        </w:rPr>
      </w:pPr>
      <w:r w:rsidRPr="00750D6A">
        <w:rPr>
          <w:bCs/>
          <w:lang w:val="es-PR"/>
        </w:rPr>
        <w:t>Anna M. Tucker</w:t>
      </w:r>
      <w:r w:rsidR="00E40E64" w:rsidRPr="00750D6A">
        <w:rPr>
          <w:bCs/>
          <w:vertAlign w:val="superscript"/>
          <w:lang w:val="es-PR"/>
        </w:rPr>
        <w:t>1</w:t>
      </w:r>
      <w:r w:rsidR="00783C98">
        <w:rPr>
          <w:bCs/>
          <w:vertAlign w:val="superscript"/>
          <w:lang w:val="es-PR"/>
        </w:rPr>
        <w:t>*</w:t>
      </w:r>
      <w:r w:rsidRPr="00750D6A">
        <w:rPr>
          <w:bCs/>
          <w:lang w:val="es-PR"/>
        </w:rPr>
        <w:t>, Conor P. McGowan</w:t>
      </w:r>
      <w:r w:rsidR="00E40E64" w:rsidRPr="00750D6A">
        <w:rPr>
          <w:bCs/>
          <w:vertAlign w:val="superscript"/>
          <w:lang w:val="es-PR"/>
        </w:rPr>
        <w:t>2</w:t>
      </w:r>
      <w:r w:rsidRPr="00750D6A">
        <w:rPr>
          <w:bCs/>
          <w:lang w:val="es-PR"/>
        </w:rPr>
        <w:t xml:space="preserve">, </w:t>
      </w:r>
      <w:r w:rsidR="002D1307" w:rsidRPr="00750D6A">
        <w:rPr>
          <w:bCs/>
          <w:lang w:val="es-PR"/>
        </w:rPr>
        <w:t>Eneilis Mulero</w:t>
      </w:r>
      <w:r w:rsidR="00E40E64" w:rsidRPr="00750D6A">
        <w:rPr>
          <w:bCs/>
          <w:vertAlign w:val="superscript"/>
          <w:lang w:val="es-PR"/>
        </w:rPr>
        <w:t>3</w:t>
      </w:r>
      <w:r w:rsidR="002D1307" w:rsidRPr="00750D6A">
        <w:rPr>
          <w:bCs/>
          <w:lang w:val="es-PR"/>
        </w:rPr>
        <w:t xml:space="preserve">, </w:t>
      </w:r>
      <w:r w:rsidRPr="00750D6A">
        <w:rPr>
          <w:bCs/>
          <w:lang w:val="es-PR"/>
        </w:rPr>
        <w:t>Nicole F. Angeli</w:t>
      </w:r>
      <w:r w:rsidR="00E40E64" w:rsidRPr="00750D6A">
        <w:rPr>
          <w:bCs/>
          <w:vertAlign w:val="superscript"/>
          <w:lang w:val="es-PR"/>
        </w:rPr>
        <w:t>4</w:t>
      </w:r>
      <w:r w:rsidRPr="00750D6A">
        <w:rPr>
          <w:bCs/>
          <w:lang w:val="es-PR"/>
        </w:rPr>
        <w:t>, Jan P. Zegarra</w:t>
      </w:r>
      <w:r w:rsidR="00E40E64" w:rsidRPr="00750D6A">
        <w:rPr>
          <w:bCs/>
          <w:vertAlign w:val="superscript"/>
          <w:lang w:val="es-PR"/>
        </w:rPr>
        <w:t>5</w:t>
      </w:r>
    </w:p>
    <w:p w14:paraId="3A3DA3C7" w14:textId="77777777" w:rsidR="00DB2862" w:rsidRPr="00750D6A" w:rsidRDefault="00DB2862" w:rsidP="00DB2862">
      <w:pPr>
        <w:spacing w:after="0" w:line="480" w:lineRule="auto"/>
        <w:rPr>
          <w:bCs/>
          <w:vertAlign w:val="superscript"/>
          <w:lang w:val="es-PR"/>
        </w:rPr>
      </w:pPr>
    </w:p>
    <w:p w14:paraId="7F93DDC6" w14:textId="77777777" w:rsidR="00E40E64" w:rsidRPr="009C3673" w:rsidRDefault="00E40E64" w:rsidP="00B33BA8">
      <w:pPr>
        <w:spacing w:after="0" w:line="480" w:lineRule="auto"/>
      </w:pPr>
      <w:r w:rsidRPr="009C3673">
        <w:rPr>
          <w:vertAlign w:val="superscript"/>
        </w:rPr>
        <w:t xml:space="preserve">1 </w:t>
      </w:r>
      <w:r w:rsidRPr="009C3673">
        <w:t>School of Forestry and Wildlife Sciences, Auburn University, Alabama USA</w:t>
      </w:r>
    </w:p>
    <w:p w14:paraId="66AFF0A2" w14:textId="77777777" w:rsidR="00E40E64" w:rsidRPr="009C3673" w:rsidRDefault="00E40E64" w:rsidP="00B33BA8">
      <w:pPr>
        <w:spacing w:after="0" w:line="480" w:lineRule="auto"/>
      </w:pPr>
      <w:r w:rsidRPr="009C3673">
        <w:rPr>
          <w:vertAlign w:val="superscript"/>
        </w:rPr>
        <w:t>2</w:t>
      </w:r>
      <w:r w:rsidRPr="009C3673">
        <w:t xml:space="preserve"> U.S. Geological Survey, Alabama Cooperative Fish and Wildlife Research Unit, Auburn University, Alabama USA</w:t>
      </w:r>
    </w:p>
    <w:p w14:paraId="6837009A" w14:textId="5A80A33E" w:rsidR="00DB5B02" w:rsidRPr="00C012F3" w:rsidRDefault="00E40E64" w:rsidP="00B33BA8">
      <w:pPr>
        <w:spacing w:after="0" w:line="480" w:lineRule="auto"/>
        <w:rPr>
          <w:bCs/>
        </w:rPr>
      </w:pPr>
      <w:r w:rsidRPr="00C012F3">
        <w:rPr>
          <w:bCs/>
          <w:vertAlign w:val="superscript"/>
        </w:rPr>
        <w:t>3</w:t>
      </w:r>
      <w:r w:rsidRPr="00C012F3">
        <w:rPr>
          <w:bCs/>
        </w:rPr>
        <w:t xml:space="preserve"> </w:t>
      </w:r>
      <w:r w:rsidR="00C012F3" w:rsidRPr="00C012F3">
        <w:rPr>
          <w:bCs/>
        </w:rPr>
        <w:t>University of Puerto Rico, Mayaguez Campus, Mayaguez, PR 00681</w:t>
      </w:r>
    </w:p>
    <w:p w14:paraId="57A3B8BF" w14:textId="4B97F494" w:rsidR="00E40E64" w:rsidRDefault="00E40E64" w:rsidP="00B33BA8">
      <w:pPr>
        <w:spacing w:after="0" w:line="480" w:lineRule="auto"/>
        <w:rPr>
          <w:bCs/>
        </w:rPr>
      </w:pPr>
      <w:r>
        <w:rPr>
          <w:bCs/>
          <w:vertAlign w:val="superscript"/>
        </w:rPr>
        <w:t>4</w:t>
      </w:r>
      <w:r>
        <w:rPr>
          <w:bCs/>
        </w:rPr>
        <w:t xml:space="preserve"> </w:t>
      </w:r>
      <w:r w:rsidR="00C012F3" w:rsidRPr="009C3673">
        <w:t>School of Forestry and Wildlife Sciences, Auburn University, Alabama USA</w:t>
      </w:r>
    </w:p>
    <w:p w14:paraId="7B16F702" w14:textId="668F179C" w:rsidR="00E40E64" w:rsidRDefault="00E40E64" w:rsidP="00B33BA8">
      <w:pPr>
        <w:spacing w:after="0" w:line="480" w:lineRule="auto"/>
        <w:rPr>
          <w:bCs/>
        </w:rPr>
      </w:pPr>
      <w:r>
        <w:rPr>
          <w:bCs/>
          <w:vertAlign w:val="superscript"/>
        </w:rPr>
        <w:t>5</w:t>
      </w:r>
      <w:r>
        <w:rPr>
          <w:bCs/>
        </w:rPr>
        <w:t xml:space="preserve"> </w:t>
      </w:r>
      <w:r w:rsidR="00750D6A">
        <w:rPr>
          <w:bCs/>
        </w:rPr>
        <w:t xml:space="preserve">U.S. Fish and Wildlife Service, Caribbean Ecological Services Field Office, Boquerón, Puerto Rico. </w:t>
      </w:r>
    </w:p>
    <w:p w14:paraId="1A89B3EF" w14:textId="5409DEBA" w:rsidR="00783C98" w:rsidRPr="00E40E64" w:rsidRDefault="00783C98" w:rsidP="00B33BA8">
      <w:pPr>
        <w:spacing w:after="0" w:line="480" w:lineRule="auto"/>
        <w:rPr>
          <w:bCs/>
        </w:rPr>
      </w:pPr>
      <w:r>
        <w:rPr>
          <w:bCs/>
        </w:rPr>
        <w:t>* corresponding author: annamtucker@gmail.com</w:t>
      </w:r>
    </w:p>
    <w:p w14:paraId="7741A2C1" w14:textId="77777777" w:rsidR="00ED33FB" w:rsidRDefault="00ED33FB" w:rsidP="006D6A6C">
      <w:pPr>
        <w:spacing w:after="0" w:line="480" w:lineRule="auto"/>
        <w:rPr>
          <w:b/>
        </w:rPr>
      </w:pPr>
    </w:p>
    <w:p w14:paraId="7299D457" w14:textId="7FEAD908" w:rsidR="00F05B7B" w:rsidRPr="00D629E4" w:rsidRDefault="00F31F41" w:rsidP="006D6A6C">
      <w:pPr>
        <w:spacing w:after="0" w:line="480" w:lineRule="auto"/>
        <w:rPr>
          <w:rFonts w:cstheme="minorHAnsi"/>
          <w:i/>
          <w:iCs/>
        </w:rPr>
      </w:pPr>
      <w:r w:rsidRPr="00D629E4">
        <w:rPr>
          <w:rFonts w:cstheme="minorHAnsi"/>
          <w:i/>
          <w:iCs/>
          <w:color w:val="000000"/>
        </w:rPr>
        <w:t>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28D2B131" w14:textId="5E231AAE" w:rsidR="006D6A6C" w:rsidRDefault="0050375B" w:rsidP="006D6A6C">
      <w:pPr>
        <w:spacing w:after="0" w:line="480" w:lineRule="auto"/>
      </w:pPr>
      <w:r>
        <w:tab/>
        <w:t>Conservation planning for rare and threatened species is often made more difficult by a lack of research and monitoring data. In such cases, managers may rely on qualitative assessments of species risk that lack explicit acknowledgement of uncertainty. Snakes are a group of conservation concern that are also notoriously difficult to monitor. Here we demonstrate a quantitative population projection for a data-deficient species, the Puerto Rican boa (</w:t>
      </w:r>
      <w:r>
        <w:rPr>
          <w:i/>
          <w:iCs/>
        </w:rPr>
        <w:t>Chil</w:t>
      </w:r>
      <w:r w:rsidR="00750D6A">
        <w:rPr>
          <w:i/>
          <w:iCs/>
        </w:rPr>
        <w:t>a</w:t>
      </w:r>
      <w:r>
        <w:rPr>
          <w:i/>
          <w:iCs/>
        </w:rPr>
        <w:t xml:space="preserve">bothrus </w:t>
      </w:r>
      <w:r w:rsidRPr="0050375B">
        <w:rPr>
          <w:i/>
          <w:iCs/>
        </w:rPr>
        <w:t>inornatus</w:t>
      </w:r>
      <w:r>
        <w:t xml:space="preserve">) </w:t>
      </w:r>
      <w:r w:rsidRPr="0050375B">
        <w:t>using</w:t>
      </w:r>
      <w:r>
        <w:t xml:space="preserve"> expert knowledge and published information about species life history and threats to persistence. </w:t>
      </w:r>
      <w:r w:rsidR="00703B06">
        <w:rPr>
          <w:bCs/>
        </w:rPr>
        <w:t xml:space="preserve">Using this model, we </w:t>
      </w:r>
      <w:r w:rsidR="00703B06">
        <w:rPr>
          <w:bCs/>
        </w:rPr>
        <w:lastRenderedPageBreak/>
        <w:t xml:space="preserve">simulated population dynamics over 30 years under four scenarios of future urbanization and found that there was an increased probability of population decline as urbanization rates increased. </w:t>
      </w:r>
      <w:r>
        <w:t xml:space="preserve">We conduct a sensitivity analysis to evaluate the sensitivity of outcomes to model inputs, a practice that may also be useful in recovery planning. </w:t>
      </w:r>
      <w:r w:rsidR="00703B06">
        <w:rPr>
          <w:bCs/>
        </w:rPr>
        <w:t xml:space="preserve">The sensitivity analyses also provide insight into how the future trajectories would change if the elicited demographic rates are incorrect. </w:t>
      </w:r>
      <w:r>
        <w:rPr>
          <w:bCs/>
        </w:rPr>
        <w:t>Even when data are sparse, quantitative methods can often be used to produce rigorous and reproducible estimates of future status with quantifiable uncertainty.</w:t>
      </w:r>
    </w:p>
    <w:p w14:paraId="12C18C50" w14:textId="2D839D9F" w:rsidR="0050375B" w:rsidRDefault="0050375B" w:rsidP="006D6A6C">
      <w:pPr>
        <w:spacing w:after="0" w:line="480" w:lineRule="auto"/>
      </w:pPr>
    </w:p>
    <w:p w14:paraId="2D42ACA3" w14:textId="77777777" w:rsidR="0050375B" w:rsidRDefault="0050375B"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7972AC99" w:rsidR="00F275B9" w:rsidRDefault="00A714ED" w:rsidP="00F275B9">
      <w:pPr>
        <w:spacing w:after="0" w:line="480" w:lineRule="auto"/>
        <w:rPr>
          <w:bCs/>
        </w:rPr>
      </w:pPr>
      <w:r>
        <w:rPr>
          <w:bCs/>
        </w:rPr>
        <w:tab/>
        <w:t xml:space="preserve">For many rare and threatened species, little </w:t>
      </w:r>
      <w:r w:rsidR="000D4659">
        <w:rPr>
          <w:bCs/>
        </w:rPr>
        <w:t xml:space="preserve">research or </w:t>
      </w:r>
      <w:r>
        <w:rPr>
          <w:bCs/>
        </w:rPr>
        <w:t>monitoring data exist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w:t>
      </w:r>
      <w:r w:rsidR="000D4659">
        <w:rPr>
          <w:bCs/>
        </w:rPr>
        <w:t xml:space="preserve"> Despite a lack of data, </w:t>
      </w:r>
      <w:r w:rsidR="0093240B">
        <w:rPr>
          <w:bCs/>
        </w:rPr>
        <w:t>managers</w:t>
      </w:r>
      <w:r w:rsidR="000D4659">
        <w:rPr>
          <w:bCs/>
        </w:rPr>
        <w:t xml:space="preserve"> still need to make predictions about </w:t>
      </w:r>
      <w:r w:rsidR="0093240B">
        <w:rPr>
          <w:bCs/>
        </w:rPr>
        <w:t>the</w:t>
      </w:r>
      <w:r w:rsidR="000D4659">
        <w:rPr>
          <w:bCs/>
        </w:rPr>
        <w:t xml:space="preserve"> effects of </w:t>
      </w:r>
      <w:r w:rsidR="0093240B">
        <w:rPr>
          <w:bCs/>
        </w:rPr>
        <w:t xml:space="preserve">potential </w:t>
      </w:r>
      <w:r w:rsidR="000D4659">
        <w:rPr>
          <w:bCs/>
        </w:rPr>
        <w:t xml:space="preserve">management </w:t>
      </w:r>
      <w:r w:rsidR="0093240B">
        <w:rPr>
          <w:bCs/>
        </w:rPr>
        <w:t>actions</w:t>
      </w:r>
      <w:r w:rsidR="000D4659">
        <w:rPr>
          <w:bCs/>
        </w:rPr>
        <w:t xml:space="preserve"> in order to make decisions </w:t>
      </w:r>
      <w:r w:rsidR="00077FB2">
        <w:rPr>
          <w:bCs/>
        </w:rPr>
        <w:fldChar w:fldCharType="begin" w:fldLock="1"/>
      </w:r>
      <w:r w:rsidR="00A76C74">
        <w:rPr>
          <w:bCs/>
        </w:rPr>
        <w:instrText>ADDIN CSL_CITATION {"citationItems":[{"id":"ITEM-1","itemData":{"author":[{"dropping-particle":"","family":"Conroy","given":"Michael J.","non-dropping-particle":"","parse-names":false,"suffix":""},{"dropping-particle":"","family":"Peterson","given":"James T.","non-dropping-particle":"","parse-names":false,"suffix":""}],"id":"ITEM-1","issued":{"date-parts":[["2013"]]},"publisher":"Wiley-Blackwell","title":"Decision Making in Natural Resources Management","type":"book"},"uris":["http://www.mendeley.com/documents/?uuid=8243fe04-29e8-4c22-b4a0-e4b03ee825bd"]}],"mendeley":{"formattedCitation":"(Conroy and Peterson 2013)","plainTextFormattedCitation":"(Conroy and Peterson 2013)","previouslyFormattedCitation":"(Conroy and Peterson 2013)"},"properties":{"noteIndex":0},"schema":"https://github.com/citation-style-language/schema/raw/master/csl-citation.json"}</w:instrText>
      </w:r>
      <w:r w:rsidR="00077FB2">
        <w:rPr>
          <w:bCs/>
        </w:rPr>
        <w:fldChar w:fldCharType="separate"/>
      </w:r>
      <w:r w:rsidR="00077FB2" w:rsidRPr="00077FB2">
        <w:rPr>
          <w:bCs/>
          <w:noProof/>
        </w:rPr>
        <w:t>(Conroy and Peterson 2013)</w:t>
      </w:r>
      <w:r w:rsidR="00077FB2">
        <w:rPr>
          <w:bCs/>
        </w:rPr>
        <w:fldChar w:fldCharType="end"/>
      </w:r>
      <w:r w:rsidR="000D4659">
        <w:rPr>
          <w:bCs/>
        </w:rPr>
        <w:t>.</w:t>
      </w:r>
      <w:r>
        <w:rPr>
          <w:bCs/>
        </w:rPr>
        <w:t xml:space="preserve"> </w:t>
      </w:r>
      <w:r w:rsidR="00E8385D">
        <w:rPr>
          <w:bCs/>
        </w:rPr>
        <w:t>In such situations, decision makers often rely on qualitative assessments of species risk which may be subjective and lack explicit acknowledge</w:t>
      </w:r>
      <w:r w:rsidR="0093240B">
        <w:rPr>
          <w:bCs/>
        </w:rPr>
        <w:t>ment</w:t>
      </w:r>
      <w:r w:rsidR="00E8385D">
        <w:rPr>
          <w:bCs/>
        </w:rPr>
        <w:t xml:space="preserve"> of uncertainty</w:t>
      </w:r>
      <w:r w:rsidR="00DA7FD9">
        <w:rPr>
          <w:bCs/>
        </w:rPr>
        <w:t xml:space="preserve"> </w:t>
      </w:r>
      <w:r w:rsidR="00DA7FD9">
        <w:rPr>
          <w:bCs/>
        </w:rPr>
        <w:fldChar w:fldCharType="begin" w:fldLock="1"/>
      </w:r>
      <w:r w:rsidR="009803A2">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2004)","previouslyFormattedCitation":"(McCarthy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 xml:space="preserve">methods are useful in </w:t>
      </w:r>
      <w:r w:rsidR="00D924CB">
        <w:rPr>
          <w:bCs/>
        </w:rPr>
        <w:t xml:space="preserve">some </w:t>
      </w:r>
      <w:r w:rsidR="00F275B9">
        <w:rPr>
          <w:bCs/>
        </w:rPr>
        <w:t>circumstances</w:t>
      </w:r>
      <w:r>
        <w:rPr>
          <w:bCs/>
        </w:rPr>
        <w:t>, there may be many cases where even some knowledge of the species</w:t>
      </w:r>
      <w:r w:rsidR="002D755C">
        <w:rPr>
          <w:bCs/>
        </w:rPr>
        <w:t>’</w:t>
      </w:r>
      <w:r>
        <w:rPr>
          <w:bCs/>
        </w:rPr>
        <w:t xml:space="preserve"> life history and ecology can be used to develop demographic projection models that result in quantitative assessments of resiliency</w:t>
      </w:r>
      <w:r w:rsidR="00AC1CF2">
        <w:rPr>
          <w:bCs/>
        </w:rPr>
        <w:t xml:space="preserve">, </w:t>
      </w:r>
      <w:r>
        <w:rPr>
          <w:bCs/>
        </w:rPr>
        <w:t>extinction risk</w:t>
      </w:r>
      <w:r w:rsidR="00AC1CF2">
        <w:rPr>
          <w:bCs/>
        </w:rPr>
        <w:t>,</w:t>
      </w:r>
      <w:r w:rsidR="00B62839">
        <w:rPr>
          <w:bCs/>
        </w:rPr>
        <w:t xml:space="preserve"> and associated uncertainties</w:t>
      </w:r>
      <w:r>
        <w:rPr>
          <w:bCs/>
        </w:rPr>
        <w:t xml:space="preserve">. </w:t>
      </w:r>
      <w:r w:rsidR="00AC1CF2">
        <w:rPr>
          <w:bCs/>
        </w:rPr>
        <w:t>There are many sources of uncertainty in population projections</w:t>
      </w:r>
      <w:r w:rsidR="00253E3D">
        <w:rPr>
          <w:bCs/>
        </w:rPr>
        <w:t xml:space="preserve"> </w:t>
      </w:r>
      <w:r w:rsidR="00253E3D">
        <w:rPr>
          <w:bCs/>
        </w:rPr>
        <w:fldChar w:fldCharType="begin" w:fldLock="1"/>
      </w:r>
      <w:r w:rsidR="00253E3D">
        <w:rPr>
          <w:bCs/>
        </w:rPr>
        <w:instrText>ADDIN CSL_CITATION {"citationItems":[{"id":"ITEM-1","itemData":{"author":[{"dropping-particle":"","family":"Williams","given":"Byron","non-dropping-particle":"","parse-names":false,"suffix":""},{"dropping-particle":"","family":"Nichols","given":"James","non-dropping-particle":"","parse-names":false,"suffix":""},{"dropping-particle":"","family":"Conroy","given":"Michael","non-dropping-particle":"","parse-names":false,"suffix":""}],"edition":"1","id":"ITEM-1","issued":{"date-parts":[["2002"]]},"publisher":"Academic Press","publisher-place":"San Diego, California","title":"Analysis and Management of Wildlife Populations","type":"book"},"uris":["http://www.mendeley.com/documents/?uuid=eeefd11e-f4b8-43ac-916b-8aa504b5d844"]}],"mendeley":{"formattedCitation":"(Williams et al. 2002)","plainTextFormattedCitation":"(Williams et al. 2002)","previouslyFormattedCitation":"(Williams et al. 2002)"},"properties":{"noteIndex":0},"schema":"https://github.com/citation-style-language/schema/raw/master/csl-citation.json"}</w:instrText>
      </w:r>
      <w:r w:rsidR="00253E3D">
        <w:rPr>
          <w:bCs/>
        </w:rPr>
        <w:fldChar w:fldCharType="separate"/>
      </w:r>
      <w:r w:rsidR="00253E3D" w:rsidRPr="00253E3D">
        <w:rPr>
          <w:bCs/>
          <w:noProof/>
        </w:rPr>
        <w:t>(Williams et al. 2002)</w:t>
      </w:r>
      <w:r w:rsidR="00253E3D">
        <w:rPr>
          <w:bCs/>
        </w:rPr>
        <w:fldChar w:fldCharType="end"/>
      </w:r>
      <w:r w:rsidR="00253E3D">
        <w:rPr>
          <w:bCs/>
        </w:rPr>
        <w:t xml:space="preserve">, and failing to explicitly acknowledge them can lead to overly precise predictions and a misunderstandings about risks to species persistence </w:t>
      </w:r>
      <w:r w:rsidR="00253E3D">
        <w:rPr>
          <w:bCs/>
        </w:rPr>
        <w:fldChar w:fldCharType="begin" w:fldLock="1"/>
      </w:r>
      <w:r w:rsidR="00253E3D">
        <w:rPr>
          <w:bCs/>
        </w:rPr>
        <w:instrText>ADDIN CSL_CITATION {"citationItems":[{"id":"ITEM-1","itemData":{"author":[{"dropping-particle":"","family":"Gregory","given":"Robin S","non-dropping-particle":"","parse-names":false,"suffix":""},{"dropping-particle":"","family":"Keeney","given":"Ralph L","non-dropping-particle":"","parse-names":false,"suffix":""}],"container-title":"Journal of the American Water Resources Association","id":"ITEM-1","issue":"6","issued":{"date-parts":[["2002"]]},"page":"1601-1612","title":"Making smarter environmental management decisions","type":"article-journal","volume":"38"},"uris":["http://www.mendeley.com/documents/?uuid=d5dfbf18-8e8b-4324-bce4-d831c76cce72"]},{"id":"ITEM-2","itemData":{"DOI":"10.1016/j.biocon.2011.01.005","ISBN":"00063207","ISSN":"00063207","abstract":"Uncertainty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Conservation","id":"ITEM-2","issue":"5","issued":{"date-parts":[["2011"]]},"page":"1400-1408","title":"Incorporating parametric uncertainty into population viability analysis models","type":"article-journal","volume":"144"},"uris":["http://www.mendeley.com/documents/?uuid=a3ed8f66-9c72-47b2-b886-3af8aa0cb031"]}],"mendeley":{"formattedCitation":"(Gregory and Keeney 2002, McGowan et al. 2011)","plainTextFormattedCitation":"(Gregory and Keeney 2002, McGowan et al. 2011)","previouslyFormattedCitation":"(Gregory and Keeney 2002, McGowan et al. 2011)"},"properties":{"noteIndex":0},"schema":"https://github.com/citation-style-language/schema/raw/master/csl-citation.json"}</w:instrText>
      </w:r>
      <w:r w:rsidR="00253E3D">
        <w:rPr>
          <w:bCs/>
        </w:rPr>
        <w:fldChar w:fldCharType="separate"/>
      </w:r>
      <w:r w:rsidR="00253E3D" w:rsidRPr="00253E3D">
        <w:rPr>
          <w:bCs/>
          <w:noProof/>
        </w:rPr>
        <w:t>(Gregory and Keeney 2002, McGowan et al. 2011)</w:t>
      </w:r>
      <w:r w:rsidR="00253E3D">
        <w:rPr>
          <w:bCs/>
        </w:rPr>
        <w:fldChar w:fldCharType="end"/>
      </w:r>
      <w:r w:rsidR="00253E3D">
        <w:rPr>
          <w:bCs/>
        </w:rPr>
        <w:t>. Q</w:t>
      </w:r>
      <w:r>
        <w:rPr>
          <w:bCs/>
        </w:rPr>
        <w:t>uantitative projections allow for the explicit acknowledgement and incorporation of uncertainty and provide decision makers with more nuanced results upon which to base their decisions.</w:t>
      </w:r>
    </w:p>
    <w:p w14:paraId="30666C57" w14:textId="3F546C7B" w:rsidR="00E8385D" w:rsidRDefault="00DF60A5" w:rsidP="00F275B9">
      <w:pPr>
        <w:spacing w:after="0" w:line="480" w:lineRule="auto"/>
        <w:rPr>
          <w:bCs/>
        </w:rPr>
      </w:pPr>
      <w:r>
        <w:rPr>
          <w:bCs/>
        </w:rPr>
        <w:lastRenderedPageBreak/>
        <w:tab/>
        <w:t>Snakes are notoriously persecuted by humans worldwide</w:t>
      </w:r>
      <w:r w:rsidR="007615D7">
        <w:rPr>
          <w:bCs/>
        </w:rPr>
        <w:t xml:space="preserve"> and are a group of 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(Gibbons et 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1B57A0EB"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r w:rsidR="00C20044">
        <w:rPr>
          <w:bCs/>
        </w:rPr>
        <w:fldChar w:fldCharType="begin" w:fldLock="1"/>
      </w:r>
      <w:r w:rsidR="005846EA">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Carolina","type":"article-journal","volume":"2007"},"uris":["http://www.mendeley.com/documents/?uuid=8e206d59-9d76-4a8a-9626-bbbf661e72b6"]},{"id":"ITEM-2","itemData":{"ISSN":"19317603","abstract":"Standardized efforts to passively sample for upland snakes often result in low detection probabilities, yet this methodology is often used to determine differences in relative abundance. Estimating abundance of upland snakes using a model that incorporated detection probabilities did not generate useful results because detection rates were too low. These results indicate researchers interested in quantifying relative abundances of upland snakes should focus on increasing sampling efforts in an attempt to raise detection probabilities, regardless of the preferred analysis.","author":[{"dropping-particle":"","family":"Steen","given":"David A.","non-dropping-particle":"","parse-names":false,"suffix":""}],"container-title":"Herpetological Conservation and Biology","id":"ITEM-2","issue":"2","issued":{"date-parts":[["2010"]]},"page":"183-188","title":"Snakes in the grass: Secretive natural histories defy both conventional and progressive statistics","type":"article-journal","volume":"5"},"uris":["http://www.mendeley.com/documents/?uuid=77580341-f3c5-484a-a6b1-0fc2c0b8a962"]}],"mendeley":{"formattedCitation":"(Winne et al. 2007, Steen 2010)","plainTextFormattedCitation":"(Winne et al. 2007, Steen 2010)","previouslyFormattedCitation":"(Winne et al. 2007, Steen 2010)"},"properties":{"noteIndex":0},"schema":"https://github.com/citation-style-language/schema/raw/master/csl-citation.json"}</w:instrText>
      </w:r>
      <w:r w:rsidR="00C20044">
        <w:rPr>
          <w:bCs/>
        </w:rPr>
        <w:fldChar w:fldCharType="separate"/>
      </w:r>
      <w:r w:rsidR="00253E3D" w:rsidRPr="00253E3D">
        <w:rPr>
          <w:bCs/>
          <w:noProof/>
        </w:rPr>
        <w:t>(Winne et al. 2007, Steen 2010)</w:t>
      </w:r>
      <w:r w:rsidR="00C20044">
        <w:rPr>
          <w:bCs/>
        </w:rPr>
        <w:fldChar w:fldCharType="end"/>
      </w:r>
      <w:r w:rsidR="00C20044">
        <w:rPr>
          <w:bCs/>
        </w:rPr>
        <w:t>. As a result, quantitative assessments of perceived declines are lacking</w:t>
      </w:r>
      <w:r w:rsidR="00B62839">
        <w:rPr>
          <w:bCs/>
        </w:rPr>
        <w:t xml:space="preserve"> </w:t>
      </w:r>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r w:rsidR="00C20044">
        <w:rPr>
          <w:bCs/>
        </w:rPr>
        <w:t xml:space="preserve">. Lack of monitoring data also makes it difficult to quantify relationships between environmental stressors and population dynamics </w:t>
      </w:r>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r w:rsidR="00C20044">
        <w:rPr>
          <w:bCs/>
        </w:rPr>
        <w:t>.</w:t>
      </w:r>
      <w:r w:rsidR="00D13906">
        <w:rPr>
          <w:bCs/>
        </w:rPr>
        <w:t xml:space="preserve"> </w:t>
      </w:r>
      <w:r w:rsidR="00EB6CF3">
        <w:rPr>
          <w:bCs/>
        </w:rPr>
        <w:t>These factors</w:t>
      </w:r>
      <w:r>
        <w:rPr>
          <w:bCs/>
        </w:rPr>
        <w:t xml:space="preserve"> </w:t>
      </w:r>
      <w:r w:rsidR="000F29BE">
        <w:rPr>
          <w:bCs/>
        </w:rPr>
        <w:t>present</w:t>
      </w:r>
      <w:r w:rsidR="00EB6CF3">
        <w:rPr>
          <w:bCs/>
        </w:rPr>
        <w:t xml:space="preserve"> many</w:t>
      </w:r>
      <w:r w:rsidR="000F29BE">
        <w:rPr>
          <w:bCs/>
        </w:rPr>
        <w:t xml:space="preserve"> challenges for </w:t>
      </w:r>
      <w:r>
        <w:rPr>
          <w:bCs/>
        </w:rPr>
        <w:t xml:space="preserve">conservation planning </w:t>
      </w:r>
      <w:r w:rsidR="00D13906">
        <w:rPr>
          <w:bCs/>
        </w:rPr>
        <w:t xml:space="preserve">and assessment. </w:t>
      </w:r>
    </w:p>
    <w:p w14:paraId="5AFB84D6" w14:textId="3652E6F1"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w:t>
      </w:r>
      <w:r w:rsidR="00A76C74">
        <w:t>/arboreal</w:t>
      </w:r>
      <w:r w:rsidR="00770BE3">
        <w:t xml:space="preserve"> boa endemic to the island of Puerto Rico. This species has been classified as Endangered in the United States since 1970</w:t>
      </w:r>
      <w:r>
        <w:t xml:space="preserve"> and </w:t>
      </w:r>
      <w:r w:rsidR="000D4659">
        <w:t xml:space="preserve">listing under the Act requires periodic assessment of the species status to inform possible reclassification decisions and </w:t>
      </w:r>
      <w:r w:rsidR="00BC0CFB">
        <w:t>recovery planning</w:t>
      </w:r>
      <w:r w:rsidR="00E63637">
        <w:t xml:space="preserve">. </w:t>
      </w:r>
      <w:r w:rsidR="00E8385D">
        <w:t>Despite widespread accounts of species occurrence, there are no estimates of historic or current population size and limited field studies</w:t>
      </w:r>
      <w:r w:rsidR="000D4659">
        <w:t xml:space="preserve"> on population status, trends or demographics</w:t>
      </w:r>
      <w:r w:rsidR="00E8385D">
        <w:t xml:space="preserve">. However, demographics and life history of captive populations are well understood. </w:t>
      </w:r>
      <w:r>
        <w:t>We</w:t>
      </w:r>
      <w:r w:rsidR="00770BE3">
        <w:t xml:space="preserve"> used expert opinion and published studies to develop a demographic projection model, which was used to assess the predicted future status of the Puerto Rican boa (hereafter, PR boa) under several potential </w:t>
      </w:r>
      <w:r w:rsidR="00770BE3">
        <w:lastRenderedPageBreak/>
        <w:t>scenarios.</w:t>
      </w:r>
      <w:r w:rsidR="00E8385D">
        <w:t xml:space="preserve"> This model allowed us to incorporate many sources of uncertainty to produce quantitative estimates of quasi-extinction risk and p</w:t>
      </w:r>
      <w:r w:rsidR="008A1129">
        <w:t>opulation growth.</w:t>
      </w:r>
      <w:r w:rsidR="000D4659">
        <w:t xml:space="preserve"> This type of model, despite lack of data, will still be useful for status assessment, reclassification decisions, recovery planning and prioritizing future research and monitoring.</w:t>
      </w:r>
      <w:r w:rsidR="008A1129">
        <w:t xml:space="preserve">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002341AA" w:rsidR="00B650C2" w:rsidRDefault="00931887" w:rsidP="006D6A6C">
      <w:pPr>
        <w:spacing w:after="0" w:line="480" w:lineRule="auto"/>
        <w:rPr>
          <w:bCs/>
        </w:rPr>
      </w:pPr>
      <w:r>
        <w:rPr>
          <w:bCs/>
        </w:rPr>
        <w:tab/>
        <w:t>The Puerto Rican boa is</w:t>
      </w:r>
      <w:r w:rsidR="008E39C1">
        <w:rPr>
          <w:bCs/>
        </w:rPr>
        <w:t xml:space="preserve"> a large boa t</w:t>
      </w:r>
      <w:r w:rsidR="007949C4">
        <w:rPr>
          <w:bCs/>
        </w:rPr>
        <w:t>hat grow</w:t>
      </w:r>
      <w:r w:rsidR="00373C7B">
        <w:rPr>
          <w:bCs/>
        </w:rPr>
        <w:t>s</w:t>
      </w:r>
      <w:r w:rsidR="007949C4">
        <w:rPr>
          <w:bCs/>
        </w:rPr>
        <w:t xml:space="preserve"> to an average size of </w:t>
      </w:r>
      <w:r w:rsidR="00A76C74">
        <w:rPr>
          <w:bCs/>
        </w:rPr>
        <w:t>~1.5 m</w:t>
      </w:r>
      <w:r w:rsidR="007949C4">
        <w:rPr>
          <w:bCs/>
        </w:rPr>
        <w:t xml:space="preserve">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sources of larger boa mortality are road strikes</w:t>
      </w:r>
      <w:r w:rsidR="00A76C74">
        <w:rPr>
          <w:bCs/>
        </w:rPr>
        <w:t xml:space="preserve">, </w:t>
      </w:r>
      <w:r w:rsidR="008E39C1">
        <w:rPr>
          <w:bCs/>
        </w:rPr>
        <w:t>human persecution</w:t>
      </w:r>
      <w:r w:rsidR="00A76C74">
        <w:rPr>
          <w:bCs/>
        </w:rPr>
        <w:t>, and habitat loss</w:t>
      </w:r>
      <w:r w:rsidR="008E39C1">
        <w:rPr>
          <w:bCs/>
        </w:rPr>
        <w:t xml:space="preserve">.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2A5FE400" w:rsidR="006508E6" w:rsidRPr="006508E6" w:rsidRDefault="006024C8" w:rsidP="00450657">
      <w:pPr>
        <w:spacing w:after="0" w:line="480" w:lineRule="auto"/>
        <w:ind w:firstLine="720"/>
      </w:pPr>
      <w:r>
        <w:t xml:space="preserve">On March 5-6, 2018, a team of species experts met to develop a modeling framework that </w:t>
      </w:r>
      <w:r w:rsidR="003F24B3">
        <w:t xml:space="preserve">could be used to </w:t>
      </w:r>
      <w:r>
        <w:t xml:space="preserve">inform </w:t>
      </w:r>
      <w:r w:rsidR="00F275B9">
        <w:t xml:space="preserve">an upcoming </w:t>
      </w:r>
      <w:r w:rsidR="003F24B3">
        <w:t>classification or recovery planning decisions</w:t>
      </w:r>
      <w:r w:rsidR="00F275B9">
        <w:t>.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w:t>
      </w:r>
      <w:r w:rsidR="002C224E">
        <w:t xml:space="preserve">species </w:t>
      </w:r>
      <w:r w:rsidR="00473112">
        <w:t xml:space="preserve">should be </w:t>
      </w:r>
      <w:r w:rsidR="002C224E">
        <w:t>considered</w:t>
      </w:r>
      <w:r w:rsidR="00473112">
        <w:t xml:space="preserve"> a single </w:t>
      </w:r>
      <w:r w:rsidR="002C224E">
        <w:t xml:space="preserve">population </w:t>
      </w:r>
      <w:r w:rsidR="00473112">
        <w:t xml:space="preserve">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40C6B067" w14:textId="7EF3A6A6" w:rsidR="00510D9F" w:rsidRPr="00BC0CFB" w:rsidRDefault="002C224E" w:rsidP="00BC0CFB">
      <w:pPr>
        <w:spacing w:after="0" w:line="480" w:lineRule="auto"/>
        <w:ind w:firstLine="720"/>
      </w:pPr>
      <w:r>
        <w:lastRenderedPageBreak/>
        <w:t>Based on the life history diagram, w</w:t>
      </w:r>
      <w:r w:rsidR="006508E6">
        <w:t xml:space="preserve">e developed a </w:t>
      </w:r>
      <w:r w:rsidR="00C37F60">
        <w:t>stage</w:t>
      </w:r>
      <w:r w:rsidR="006508E6">
        <w:t>-based</w:t>
      </w:r>
      <w:r w:rsidR="00CB2972">
        <w:t xml:space="preserve"> </w:t>
      </w:r>
      <w:proofErr w:type="spellStart"/>
      <w:r w:rsidR="006508E6">
        <w:t>Lefkovitch</w:t>
      </w:r>
      <w:proofErr w:type="spellEnd"/>
      <w:r w:rsidR="006508E6">
        <w:t xml:space="preserve"> matrix model</w:t>
      </w:r>
      <w:r w:rsidR="00C37F60">
        <w:t xml:space="preserve"> </w:t>
      </w:r>
      <w:r w:rsidR="00095B13">
        <w:fldChar w:fldCharType="begin" w:fldLock="1"/>
      </w:r>
      <w:r w:rsidR="00253E3D">
        <w:instrText>ADDIN CSL_CITATION {"citationItems":[{"id":"ITEM-1","itemData":{"author":[{"dropping-particle":"","family":"Caswell","given":"Hal","non-dropping-particle":"","parse-names":false,"suffix":""}],"edition":"2nd","id":"ITEM-1","issued":{"date-parts":[["2001"]]},"publisher":"Sinauer Associates, Inc.","publisher-place":"Sunderland, MA, USA, MA, USA","title":"Matrix population models: construction, analysis, and interpretation","type":"book"},"uris":["http://www.mendeley.com/documents/?uuid=1f30078f-0c01-452b-8851-db73923d2e9f"]}],"mendeley":{"formattedCitation":"(Caswell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w:t>
      </w:r>
      <w:r w:rsidR="004259C2">
        <w:t>five</w:t>
      </w:r>
      <w:r w:rsidR="00C37F60">
        <w:t xml:space="preserve"> life stages: </w:t>
      </w:r>
      <w:r w:rsidR="004259C2">
        <w:t xml:space="preserve">young of the year, </w:t>
      </w:r>
      <w:r w:rsidR="00C37F60">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t>survival</w:t>
      </w:r>
      <w:r w:rsidR="00436DEF">
        <w:t>, and growth</w:t>
      </w:r>
      <w:r w:rsidR="00C37F60">
        <w:t xml:space="preserve"> rates. The experts also directed us to graduate theses and dissertations that were completed but not widely available through literature searches. </w:t>
      </w:r>
      <w:r w:rsidR="00BC0CFB">
        <w:rPr>
          <w:rFonts w:eastAsiaTheme="minorEastAsia"/>
        </w:rPr>
        <w:t xml:space="preserve"> </w:t>
      </w: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3A790FC6" w:rsidR="00CD2789" w:rsidRDefault="00EC69D4"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hAnsi="Cambria Math"/>
                      </w:rPr>
                      <m:t>0.1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9EAE1BC" w14:textId="77777777" w:rsidR="009803A2" w:rsidRDefault="009803A2"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414,379 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w:t>
      </w:r>
      <w:r w:rsidRPr="00B650C2">
        <w:rPr>
          <w:rFonts w:eastAsiaTheme="minorEastAsia"/>
        </w:rPr>
        <w:lastRenderedPageBreak/>
        <w:t>data and information from the U.S. Census Bureau to define three land use types</w:t>
      </w:r>
      <w:r w:rsidR="00C0601F">
        <w:rPr>
          <w:rFonts w:eastAsiaTheme="minorEastAsia"/>
        </w:rPr>
        <w:t xml:space="preserve"> across Puerto Rico</w:t>
      </w:r>
      <w:r w:rsidRPr="00B650C2">
        <w:rPr>
          <w:rFonts w:eastAsiaTheme="minorEastAsia"/>
        </w:rPr>
        <w:t>: urban, densely-populated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24D2911D" w:rsidR="00E20A75" w:rsidRDefault="00E20A75" w:rsidP="00E20A75">
      <w:pPr>
        <w:spacing w:after="0" w:line="480" w:lineRule="auto"/>
        <w:ind w:firstLine="720"/>
        <w:rPr>
          <w:rFonts w:eastAsiaTheme="minorEastAsia"/>
        </w:rPr>
      </w:pPr>
      <w:r>
        <w:rPr>
          <w:rFonts w:eastAsiaTheme="minorEastAsia"/>
        </w:rPr>
        <w:t>We imposed density dependence on this population in the form of a simple population ceiling</w:t>
      </w:r>
      <w:r w:rsidR="00BD62A3">
        <w:rPr>
          <w:rFonts w:eastAsiaTheme="minorEastAsia"/>
        </w:rPr>
        <w:t xml:space="preserve"> (Morris and Doak 2002)</w:t>
      </w:r>
      <w:r>
        <w:rPr>
          <w:rFonts w:eastAsiaTheme="minorEastAsia"/>
        </w:rPr>
        <w:t>. Published estimates of PR boa density range from 1-</w:t>
      </w:r>
      <w:r w:rsidR="00A76C74">
        <w:rPr>
          <w:rFonts w:eastAsiaTheme="minorEastAsia"/>
        </w:rPr>
        <w:t xml:space="preserve">5.6 </w:t>
      </w:r>
      <w:r>
        <w:rPr>
          <w:rFonts w:eastAsiaTheme="minorEastAsia"/>
        </w:rPr>
        <w:t xml:space="preserve">boas/ha </w:t>
      </w:r>
      <w:r>
        <w:rPr>
          <w:rFonts w:eastAsiaTheme="minorEastAsia"/>
        </w:rPr>
        <w:fldChar w:fldCharType="begin" w:fldLock="1"/>
      </w:r>
      <w:r w:rsidR="00253E3D">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id":"ITEM-3","itemData":{"author":[{"dropping-particle":"","family":"Tolson","given":"P.J.","non-dropping-particle":"","parse-names":false,"suffix":""}],"id":"ITEM-3","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Report.","type":"report"},"uris":["http://www.mendeley.com/documents/?uuid=3df3c4b5-44c6-4d30-bbbd-9b741d63ba2c"]}],"mendeley":{"formattedCitation":"(Tolson 1997, Rios-López and Aide 2007, Mulero-Oliveras 2019)","plainTextFormattedCitation":"(Tolson 1997, Rios-López and Aide 2007, Mulero-Oliveras 2019)","previouslyFormattedCitation":"(Tolson 1997, Rios-López and Aide 2007, Mulero-Oliveras 2019)"},"properties":{"noteIndex":0},"schema":"https://github.com/citation-style-language/schema/raw/master/csl-citation.json"}</w:instrText>
      </w:r>
      <w:r>
        <w:rPr>
          <w:rFonts w:eastAsiaTheme="minorEastAsia"/>
        </w:rPr>
        <w:fldChar w:fldCharType="separate"/>
      </w:r>
      <w:r w:rsidR="00A76C74" w:rsidRPr="00A76C74">
        <w:rPr>
          <w:rFonts w:eastAsiaTheme="minorEastAsia"/>
          <w:noProof/>
        </w:rPr>
        <w:t>(Tolson 1997, Rios-López and Aide 2007, Mulero-Oliveras 2019)</w:t>
      </w:r>
      <w:r>
        <w:rPr>
          <w:rFonts w:eastAsiaTheme="minorEastAsia"/>
        </w:rPr>
        <w:fldChar w:fldCharType="end"/>
      </w:r>
      <w:r>
        <w:rPr>
          <w:rFonts w:eastAsiaTheme="minorEastAsia"/>
        </w:rPr>
        <w:t xml:space="preserve">. If all available habitat was used (379,029 ha), this corresponds to a maximum population size ranging from 379,029 to </w:t>
      </w:r>
      <w:r w:rsidR="005A729A" w:rsidRPr="005A729A">
        <w:t>2,274,174</w:t>
      </w:r>
      <w:r w:rsidR="005A729A">
        <w:t xml:space="preserve"> </w:t>
      </w:r>
      <w:r>
        <w:rPr>
          <w:rFonts w:eastAsiaTheme="minorEastAsia"/>
        </w:rPr>
        <w:t>individuals. Although some studies have estimated higher boa densities in some areas (6 boas/ha</w:t>
      </w:r>
      <w:r w:rsidR="009803A2">
        <w:rPr>
          <w:rFonts w:eastAsiaTheme="minorEastAsia"/>
        </w:rPr>
        <w:t xml:space="preserve">, </w:t>
      </w:r>
      <w:r w:rsidR="009803A2">
        <w:rPr>
          <w:rFonts w:eastAsiaTheme="minorEastAsia"/>
        </w:rPr>
        <w:fldChar w:fldCharType="begin" w:fldLock="1"/>
      </w:r>
      <w:r w:rsidR="00BC0CFB">
        <w:rPr>
          <w:rFonts w:eastAsiaTheme="minorEastAsia"/>
        </w:rPr>
        <w:instrText>ADDIN CSL_CITATION {"citationItems":[{"id":"ITEM-1","itemData":{"author":[{"dropping-particle":"","family":"Tolson","given":"P.J.","non-dropping-particle":"","parse-names":false,"suffix":""}],"id":"ITEM-1","issued":{"date-parts":[["1997"]]},"publisher-place":"Puerta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Succession","type":"article-journal","volume":"63"},"uris":["http://www.mendeley.com/documents/?uuid=2652e969-c3ba-42ed-84c5-6b51097b32a2"]}],"mendeley":{"formattedCitation":"(Tolson 1997, Rios-López and Aide 2007)","plainTextFormattedCitation":"(Tolson 1997, Rios-López and Aide 2007)","previouslyFormattedCitation":"(Tolson 1997, Rios-López and Aide 2007)"},"properties":{"noteIndex":0},"schema":"https://github.com/citation-style-language/schema/raw/master/csl-citation.json"}</w:instrText>
      </w:r>
      <w:r w:rsidR="009803A2">
        <w:rPr>
          <w:rFonts w:eastAsiaTheme="minorEastAsia"/>
        </w:rPr>
        <w:fldChar w:fldCharType="separate"/>
      </w:r>
      <w:r w:rsidR="009803A2" w:rsidRPr="009803A2">
        <w:rPr>
          <w:rFonts w:eastAsiaTheme="minorEastAsia"/>
          <w:noProof/>
        </w:rPr>
        <w:t>(Tolson 1997, Rios-López and Aide 2007)</w:t>
      </w:r>
      <w:r w:rsidR="009803A2">
        <w:rPr>
          <w:rFonts w:eastAsiaTheme="minorEastAsia"/>
        </w:rPr>
        <w:fldChar w:fldCharType="end"/>
      </w:r>
      <w:r>
        <w:rPr>
          <w:rFonts w:eastAsiaTheme="minorEastAsia"/>
        </w:rPr>
        <w:t xml:space="preserve">, all available estimates are from the northern part of the range where </w:t>
      </w:r>
      <w:r w:rsidR="00A76C74" w:rsidRPr="00A76C74">
        <w:rPr>
          <w:rFonts w:eastAsiaTheme="minorEastAsia"/>
        </w:rPr>
        <w:t xml:space="preserve">the species is considered more abundant than in the dry southern region of the Island. </w:t>
      </w:r>
      <w:r w:rsidR="00A76C74">
        <w:rPr>
          <w:rFonts w:eastAsiaTheme="minorEastAsia"/>
        </w:rPr>
        <w:t>T</w:t>
      </w:r>
      <w:r>
        <w:rPr>
          <w:rFonts w:eastAsiaTheme="minorEastAsia"/>
        </w:rPr>
        <w:t>o account for variation in density and habitat quality across the island, we chose to set the maximum island-wide density at 3 boas/ha</w:t>
      </w:r>
      <w:r w:rsidR="005A729A">
        <w:rPr>
          <w:rFonts w:eastAsiaTheme="minorEastAsia"/>
        </w:rPr>
        <w:t xml:space="preserve">, for a maximum carrying capacity of </w:t>
      </w:r>
      <w:r w:rsidR="005A729A" w:rsidRPr="005C075B">
        <w:t>1,137,087</w:t>
      </w:r>
      <w:r w:rsidR="005A729A">
        <w:t xml:space="preserve"> boas</w:t>
      </w:r>
      <w:r>
        <w:rPr>
          <w:rFonts w:eastAsiaTheme="minorEastAsia"/>
        </w:rPr>
        <w:t xml:space="preserve">.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07F713DD" w:rsidR="00E20A75" w:rsidRDefault="00E20A75" w:rsidP="00E20A75">
      <w:pPr>
        <w:spacing w:after="0" w:line="480" w:lineRule="auto"/>
        <w:ind w:firstLine="720"/>
        <w:rPr>
          <w:rFonts w:eastAsiaTheme="minorEastAsia"/>
        </w:rPr>
      </w:pPr>
      <w:r>
        <w:rPr>
          <w:rFonts w:eastAsiaTheme="minorEastAsia"/>
        </w:rPr>
        <w:t>For each model replication, we randomly drew a carrying capacity from a Uniform distribution bounded by this minimum and maximum</w:t>
      </w:r>
      <w:r w:rsidR="0090219F">
        <w:rPr>
          <w:rFonts w:eastAsiaTheme="minorEastAsia"/>
        </w:rPr>
        <w:t xml:space="preserve"> (379, 029 – 1,137,087 boas)</w:t>
      </w:r>
      <w:r>
        <w:rPr>
          <w:rFonts w:eastAsiaTheme="minorEastAsia"/>
        </w:rPr>
        <w:t>. We assumed that reproduction would cease if the ceiling was reached, and therefore imposed a rule that set fecundity equal to zero if the total population size reached</w:t>
      </w:r>
      <w:r w:rsidR="00BD62A3">
        <w:rPr>
          <w:rFonts w:eastAsiaTheme="minorEastAsia"/>
        </w:rPr>
        <w:t xml:space="preserve"> (or exceeded)</w:t>
      </w:r>
      <w:r>
        <w:rPr>
          <w:rFonts w:eastAsiaTheme="minorEastAsia"/>
        </w:rPr>
        <w:t xml:space="preserve"> the ceiling. It </w:t>
      </w:r>
      <w:r w:rsidR="00652A44">
        <w:rPr>
          <w:rFonts w:eastAsiaTheme="minorEastAsia"/>
        </w:rPr>
        <w:t xml:space="preserve">is </w:t>
      </w:r>
      <w:r>
        <w:rPr>
          <w:rFonts w:eastAsiaTheme="minorEastAsia"/>
        </w:rPr>
        <w:t xml:space="preserve">likely that approaching and exceeding carrying capacity would affect multiple demographic processes, but we do not have data to estimate these effects and so implementing a simple fecundity reduction ceiling function allows us to limit </w:t>
      </w:r>
      <w:r>
        <w:rPr>
          <w:rFonts w:eastAsiaTheme="minorEastAsia"/>
        </w:rPr>
        <w:lastRenderedPageBreak/>
        <w:t xml:space="preserve">population growth without speculating on the functional form of density dependence </w:t>
      </w:r>
      <w:r>
        <w:rPr>
          <w:rFonts w:eastAsiaTheme="minorEastAsia"/>
        </w:rPr>
        <w:fldChar w:fldCharType="begin" w:fldLock="1"/>
      </w:r>
      <w:r w:rsidR="00253E3D">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Act","type":"article-journal","volume":"12"},"uris":["http://www.mendeley.com/documents/?uuid=a9be1971-7ad7-4e99-9e95-de13ea2d1e0c"]},{"id":"ITEM-2","itemData":{"author":[{"dropping-particle":"","family":"Morris","given":"William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30EEF4C3" w:rsidR="00E20A75" w:rsidRDefault="00E20A75" w:rsidP="009803A2">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We chose a maximum current density lower than that estimated by published studies from the north (up to </w:t>
      </w:r>
      <w:r w:rsidR="005A729A">
        <w:rPr>
          <w:rFonts w:eastAsiaTheme="minorEastAsia"/>
        </w:rPr>
        <w:t>6</w:t>
      </w:r>
      <w:r>
        <w:rPr>
          <w:rFonts w:eastAsiaTheme="minorEastAsia"/>
        </w:rPr>
        <w:t xml:space="preserve"> boas/ha) to account for the fact that densities are likely lower in other parts of the range. </w:t>
      </w:r>
      <w:r w:rsidR="005A729A">
        <w:rPr>
          <w:rFonts w:eastAsiaTheme="minorEastAsia"/>
        </w:rPr>
        <w:t xml:space="preserve">We assumed that the population started at the stable stage distribution, calculated using the popbio package for R </w:t>
      </w:r>
      <w:r w:rsidR="005A729A">
        <w:rPr>
          <w:rFonts w:eastAsiaTheme="minorEastAsia"/>
        </w:rPr>
        <w:fldChar w:fldCharType="begin" w:fldLock="1"/>
      </w:r>
      <w:r w:rsidR="005A729A">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5A729A">
        <w:rPr>
          <w:rFonts w:eastAsiaTheme="minorEastAsia"/>
        </w:rPr>
        <w:fldChar w:fldCharType="separate"/>
      </w:r>
      <w:r w:rsidR="005A729A" w:rsidRPr="00E47218">
        <w:rPr>
          <w:rFonts w:eastAsiaTheme="minorEastAsia"/>
          <w:noProof/>
        </w:rPr>
        <w:t>(Stubben and Milligan 2007, R Core Team 2016)</w:t>
      </w:r>
      <w:r w:rsidR="005A729A">
        <w:rPr>
          <w:rFonts w:eastAsiaTheme="minorEastAsia"/>
        </w:rPr>
        <w:fldChar w:fldCharType="end"/>
      </w:r>
      <w:r w:rsidR="005A729A">
        <w:rPr>
          <w:rFonts w:eastAsiaTheme="minorEastAsia"/>
        </w:rPr>
        <w:t xml:space="preserve">. </w:t>
      </w:r>
      <w:r>
        <w:rPr>
          <w:rFonts w:eastAsiaTheme="minorEastAsia"/>
        </w:rPr>
        <w:t>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0534F6B8" w:rsidR="00217027" w:rsidRDefault="00217027" w:rsidP="00BC0CFB">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w:t>
      </w:r>
      <w:r w:rsidR="00DC3F89">
        <w:rPr>
          <w:rFonts w:eastAsiaTheme="minorEastAsia"/>
        </w:rPr>
        <w:t xml:space="preserve">We followed the recommendations of </w:t>
      </w:r>
      <w:r w:rsidR="00BC0CFB">
        <w:rPr>
          <w:rFonts w:eastAsiaTheme="minorEastAsia"/>
        </w:rPr>
        <w:fldChar w:fldCharType="begin" w:fldLock="1"/>
      </w:r>
      <w:r w:rsidR="00BC0CFB">
        <w:rPr>
          <w:rFonts w:eastAsiaTheme="minorEastAsia"/>
        </w:rPr>
        <w:instrText>ADDIN CSL_CITATION {"citationItems":[{"id":"ITEM-1","itemData":{"DOI":"10.1016/j.biocon.2011.01.005","ISBN":"00063207","ISSN":"00063207","abstract":"Uncertainty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Conservation","id":"ITEM-1","issue":"5","issued":{"date-parts":[["2011"]]},"page":"1400-1408","title":"Incorporating parametric uncertainty into population viability analysis models","type":"article-journal","volume":"144"},"uris":["http://www.mendeley.com/documents/?uuid=a3ed8f66-9c72-47b2-b886-3af8aa0cb031"]}],"mendeley":{"formattedCitation":"(McGowan et al. 2011)","manualFormatting":"McGowan et al. (2011)","plainTextFormattedCitation":"(McGowan et al. 2011)","previouslyFormattedCitation":"(McGowan et al. 2011)"},"properties":{"noteIndex":0},"schema":"https://github.com/citation-style-language/schema/raw/master/csl-citation.json"}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 xml:space="preserve">McGowan et al. </w:t>
      </w:r>
      <w:r w:rsidR="00BC0CFB">
        <w:rPr>
          <w:rFonts w:eastAsiaTheme="minorEastAsia"/>
          <w:noProof/>
        </w:rPr>
        <w:t>(</w:t>
      </w:r>
      <w:r w:rsidR="00BC0CFB" w:rsidRPr="00BC0CFB">
        <w:rPr>
          <w:rFonts w:eastAsiaTheme="minorEastAsia"/>
          <w:noProof/>
        </w:rPr>
        <w:t>2011)</w:t>
      </w:r>
      <w:r w:rsidR="00BC0CFB">
        <w:rPr>
          <w:rFonts w:eastAsiaTheme="minorEastAsia"/>
        </w:rPr>
        <w:fldChar w:fldCharType="end"/>
      </w:r>
      <w:r w:rsidR="00BC0CFB">
        <w:rPr>
          <w:rFonts w:eastAsiaTheme="minorEastAsia"/>
        </w:rPr>
        <w:t xml:space="preserve"> </w:t>
      </w:r>
      <w:r w:rsidR="00DC3F89">
        <w:rPr>
          <w:rFonts w:eastAsiaTheme="minorEastAsia"/>
        </w:rPr>
        <w:t xml:space="preserve">to introduce parametric </w:t>
      </w:r>
      <w:bookmarkStart w:id="0" w:name="_GoBack"/>
      <w:bookmarkEnd w:id="0"/>
      <w:r w:rsidR="00DC3F89">
        <w:rPr>
          <w:rFonts w:eastAsiaTheme="minorEastAsia"/>
        </w:rPr>
        <w:t xml:space="preserve">uncertainty into the replicates of our model simulations. </w:t>
      </w:r>
      <w:r>
        <w:rPr>
          <w:rFonts w:eastAsiaTheme="minorEastAsia"/>
        </w:rPr>
        <w:t>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w:t>
      </w:r>
      <w:r w:rsidR="00D4624C">
        <w:rPr>
          <w:rFonts w:eastAsiaTheme="minorEastAsia"/>
        </w:rPr>
        <w:t xml:space="preserve">We wanted to introduce parameter uncertainty and variability and chose a value between 10% and 20% following the guidance of Kremer </w:t>
      </w:r>
      <w:r w:rsidR="00D4624C">
        <w:rPr>
          <w:rFonts w:eastAsiaTheme="minorEastAsia"/>
        </w:rPr>
        <w:fldChar w:fldCharType="begin" w:fldLock="1"/>
      </w:r>
      <w:r w:rsidR="00D4624C">
        <w:rPr>
          <w:rFonts w:eastAsiaTheme="minorEastAsia"/>
        </w:rPr>
        <w:instrText>ADDIN CSL_CITATION {"citationItems":[{"id":"ITEM-1","itemData":{"DOI":"10.1016/0304-3800(83)90012-1","ISSN":"03043800","abstract":"The parameters of mechanistic formulations may be viewed as values that are constant in nature but are imperfectly known, or as probabilistic values with real-time variability. Conventional Monte Carlo methods simulate the first form of uncertainty of the second type may be assessed by methods related generally to random differential equations: (1) analytical solution of simple random differential equations, (2) first-order variance propagation analysis, and (3) simulation with continuously varying stochastic parameters. Each of these implies specific, different assumptions about the time scale of parameter variability underlying the stochastic predictions. The first two methods assume instantaneous probability distributions for parameters. The third method, simulation with stochastic parameters, quantifies the uncertainty in the results due to the limited temporal precision inherent in the formulations. A simple model of algal competition demonstrated that the ecological implications and empirical results of Monte Carlo and stochastic parameter simulations were significantly different. In contrast to the Monte Carlo method, simulations with stochastic parameters were closely related to the deterministic solution using mean values of parameters, and remained plausible for large, ecologically realistic coefficients of variation for the parameters. Stochastic uncertainty should be evaluated using different methods, depending on whether the goal is (1) to rank the relative importance of the parameters solely within the context of the model, (2) to infer plausible values for poorly known parameters, or (3) to display the range of predictions consistent with a specified variability of parameters. © 1983.","author":[{"dropping-particle":"","family":"Kremer","given":"James N.","non-dropping-particle":"","parse-names":false,"suffix":""}],"container-title":"Ecological Modelling","id":"ITEM-1","issue":"3-4","issued":{"date-parts":[["1983"]]},"page":"187-207","title":"Ecological implications of parameter uncertainty in stochastic simulation","type":"article-journal","volume":"18"},"uris":["http://www.mendeley.com/documents/?uuid=8b143e8f-e6fb-400a-976e-fe3bba2f8deb"]}],"mendeley":{"formattedCitation":"(Kremer 1983)","manualFormatting":"(1983)","plainTextFormattedCitation":"(Kremer 1983)"},"properties":{"noteIndex":0},"schema":"https://github.com/citation-style-language/schema/raw/master/csl-citation.json"}</w:instrText>
      </w:r>
      <w:r w:rsidR="00D4624C">
        <w:rPr>
          <w:rFonts w:eastAsiaTheme="minorEastAsia"/>
        </w:rPr>
        <w:fldChar w:fldCharType="separate"/>
      </w:r>
      <w:r w:rsidR="00D4624C">
        <w:rPr>
          <w:rFonts w:eastAsiaTheme="minorEastAsia"/>
          <w:noProof/>
        </w:rPr>
        <w:t>(1983)</w:t>
      </w:r>
      <w:r w:rsidR="00D4624C">
        <w:rPr>
          <w:rFonts w:eastAsiaTheme="minorEastAsia"/>
        </w:rPr>
        <w:fldChar w:fldCharType="end"/>
      </w:r>
      <w:r w:rsidR="00D4624C">
        <w:rPr>
          <w:rFonts w:eastAsiaTheme="minorEastAsia"/>
        </w:rPr>
        <w:t xml:space="preserve">. </w:t>
      </w:r>
      <w:r w:rsidR="002B0335">
        <w:rPr>
          <w:rFonts w:eastAsiaTheme="minorEastAsia"/>
        </w:rPr>
        <w:t xml:space="preserve">For example, the </w:t>
      </w:r>
      <w:r w:rsidR="002B0335">
        <w:rPr>
          <w:rFonts w:eastAsiaTheme="minorEastAsia"/>
        </w:rPr>
        <w:lastRenderedPageBreak/>
        <w:t xml:space="preserve">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For each transition probability, we randomly drew an average value for each iteration from a Beta distribution, using the method-of-moments method to c</w:t>
      </w:r>
      <w:r w:rsidR="00DC3F89">
        <w:rPr>
          <w:rFonts w:eastAsiaTheme="minorEastAsia"/>
        </w:rPr>
        <w:t>onver</w:t>
      </w:r>
      <w:r w:rsidR="00BC0CFB">
        <w:rPr>
          <w:rFonts w:eastAsiaTheme="minorEastAsia"/>
        </w:rPr>
        <w:t>t</w:t>
      </w:r>
      <w:r w:rsidR="00DC3F89">
        <w:rPr>
          <w:rFonts w:eastAsiaTheme="minorEastAsia"/>
        </w:rPr>
        <w:t xml:space="preserve"> the mean and standard deviation into beta distribution</w:t>
      </w:r>
      <w:r>
        <w:rPr>
          <w:rFonts w:eastAsiaTheme="minorEastAsia"/>
        </w:rPr>
        <w:t xml:space="preserve"> the shape parameters</w:t>
      </w:r>
      <w:r w:rsidR="00DC3F89">
        <w:rPr>
          <w:rFonts w:eastAsiaTheme="minorEastAsia"/>
        </w:rPr>
        <w:t xml:space="preserve"> </w:t>
      </w:r>
      <w:r w:rsidR="00BC0CFB">
        <w:rPr>
          <w:rFonts w:eastAsiaTheme="minorEastAsia"/>
        </w:rPr>
        <w:fldChar w:fldCharType="begin" w:fldLock="1"/>
      </w:r>
      <w:r w:rsidR="00BC0CFB">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For the fecundity rates, we randomly drew an average value from a Log-normal distribution</w:t>
      </w:r>
      <w:r w:rsidR="00DC3F89">
        <w:rPr>
          <w:rFonts w:eastAsiaTheme="minorEastAsia"/>
        </w:rPr>
        <w:t xml:space="preserve"> </w:t>
      </w:r>
      <w:r w:rsidR="00BC0CFB">
        <w:rPr>
          <w:rFonts w:eastAsiaTheme="minorEastAsia"/>
        </w:rPr>
        <w:fldChar w:fldCharType="begin" w:fldLock="1"/>
      </w:r>
      <w:r w:rsidR="00077FB2">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xml:space="preserve">.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62976299" w:rsidR="00CB2972" w:rsidRPr="00B46480" w:rsidRDefault="00EC2593" w:rsidP="00450657">
      <w:pPr>
        <w:spacing w:after="0" w:line="480" w:lineRule="auto"/>
        <w:ind w:firstLine="720"/>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w:t>
      </w:r>
      <w:r w:rsidR="00462F2F">
        <w:rPr>
          <w:rFonts w:eastAsiaTheme="minorEastAsia"/>
        </w:rPr>
        <w:t xml:space="preserve">A conceptual diagram of this hierarchical process is provided in Appendix A. </w:t>
      </w:r>
      <w:r w:rsidR="005A729A">
        <w:rPr>
          <w:rFonts w:eastAsiaTheme="minorEastAsia"/>
        </w:rPr>
        <w:t>Survival and growth</w:t>
      </w:r>
      <w:r w:rsidR="00286121">
        <w:rPr>
          <w:rFonts w:eastAsiaTheme="minorEastAsia"/>
        </w:rPr>
        <w:t xml:space="preserve">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64BEF9FD" w:rsidR="00CB2972" w:rsidRDefault="00286121" w:rsidP="00450657">
      <w:pPr>
        <w:spacing w:after="0" w:line="480" w:lineRule="auto"/>
        <w:ind w:firstLine="720"/>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 xml:space="preserve">falling within </w:t>
      </w:r>
      <w:r w:rsidR="00BC0CFB">
        <w:rPr>
          <w:rFonts w:eastAsiaTheme="minorEastAsia"/>
        </w:rPr>
        <w:t>sparsely populated</w:t>
      </w:r>
      <w:r w:rsidR="002D7CA6">
        <w:rPr>
          <w:rFonts w:eastAsiaTheme="minorEastAsia"/>
        </w:rPr>
        <w:t xml:space="preserve">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 xml:space="preserve">within </w:t>
      </w:r>
      <w:r w:rsidR="00BC0CFB">
        <w:rPr>
          <w:rFonts w:eastAsiaTheme="minorEastAsia"/>
        </w:rPr>
        <w:t xml:space="preserve">densely populated </w:t>
      </w:r>
      <w:r w:rsidR="002D7CA6">
        <w:rPr>
          <w:rFonts w:eastAsiaTheme="minorEastAsia"/>
        </w:rPr>
        <w:t>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w:t>
      </w:r>
      <w:r w:rsidR="00DD6D97">
        <w:rPr>
          <w:rFonts w:eastAsiaTheme="minorEastAsia"/>
        </w:rPr>
        <w:lastRenderedPageBreak/>
        <w:t>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3D15C4A0" w:rsidR="009627CF" w:rsidRDefault="009627CF" w:rsidP="009627CF">
      <w:pPr>
        <w:spacing w:after="0" w:line="480" w:lineRule="auto"/>
        <w:ind w:firstLine="720"/>
        <w:rPr>
          <w:rFonts w:eastAsiaTheme="minorEastAsia"/>
        </w:rPr>
      </w:pPr>
      <w:r w:rsidRPr="009C4879">
        <w:rPr>
          <w:rFonts w:eastAsiaTheme="minorEastAsia"/>
        </w:rPr>
        <w:t xml:space="preserve">Most of the demographic rates used in this model have not been empirically estimated for this population, therefore we relied on </w:t>
      </w:r>
      <w:r w:rsidR="00DC3F89">
        <w:rPr>
          <w:rFonts w:eastAsiaTheme="minorEastAsia"/>
        </w:rPr>
        <w:t>elicited estimates</w:t>
      </w:r>
      <w:r w:rsidR="00DC3F89" w:rsidRPr="009C4879">
        <w:rPr>
          <w:rFonts w:eastAsiaTheme="minorEastAsia"/>
        </w:rPr>
        <w:t xml:space="preserve"> </w:t>
      </w:r>
      <w:r w:rsidRPr="009C4879">
        <w:rPr>
          <w:rFonts w:eastAsiaTheme="minorEastAsia"/>
        </w:rPr>
        <w:t>by the expert team. To evaluate the sensitivity of 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w:t>
      </w:r>
      <w:r w:rsidR="00CD4D87">
        <w:rPr>
          <w:rFonts w:eastAsiaTheme="minorEastAsia"/>
        </w:rPr>
        <w:t>113,709</w:t>
      </w:r>
      <w:r w:rsidRPr="009C4879">
        <w:rPr>
          <w:rFonts w:eastAsiaTheme="minorEastAsia"/>
        </w:rPr>
        <w:t xml:space="preserve"> and </w:t>
      </w:r>
      <w:r w:rsidR="00CD4D87">
        <w:rPr>
          <w:rFonts w:eastAsiaTheme="minorEastAsia"/>
        </w:rPr>
        <w:t>758,058</w:t>
      </w:r>
      <w:r w:rsidRPr="009C4879">
        <w:rPr>
          <w:rFonts w:eastAsiaTheme="minorEastAsia"/>
        </w:rPr>
        <w:t>, respectively</w:t>
      </w:r>
      <w:r w:rsidR="00CD4D87">
        <w:rPr>
          <w:rFonts w:eastAsiaTheme="minorEastAsia"/>
        </w:rPr>
        <w:t>, which were the midpoints of the ranges used in the full population projection</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 xml:space="preserve">e population remained stable or grew by determining whether the population size in the final year was greater than or equal to the initial population size. We also calculated the probability of quasi-extinction at </w:t>
      </w:r>
      <w:r w:rsidR="00294AA5">
        <w:rPr>
          <w:rFonts w:eastAsiaTheme="minorEastAsia"/>
        </w:rPr>
        <w:t xml:space="preserve">a </w:t>
      </w:r>
      <w:r w:rsidRPr="009C4879">
        <w:rPr>
          <w:rFonts w:eastAsiaTheme="minorEastAsia"/>
        </w:rPr>
        <w:t xml:space="preserve">threshold </w:t>
      </w:r>
      <w:r w:rsidR="00294AA5">
        <w:rPr>
          <w:rFonts w:eastAsiaTheme="minorEastAsia"/>
        </w:rPr>
        <w:t xml:space="preserve">of </w:t>
      </w:r>
      <w:r w:rsidRPr="009C4879">
        <w:rPr>
          <w:rFonts w:eastAsiaTheme="minorEastAsia"/>
        </w:rPr>
        <w:t>5000 individuals by finding the proportion of replicates in which the population size fell below 5000.</w:t>
      </w:r>
      <w:r w:rsidR="00DC3F89">
        <w:rPr>
          <w:rFonts w:eastAsiaTheme="minorEastAsia"/>
        </w:rPr>
        <w:t xml:space="preserve"> Our purpose was to quantify the expected change in model outputs as each model input parameter changed and to identify thresholds for viability for each input demographic parameter.</w:t>
      </w:r>
    </w:p>
    <w:p w14:paraId="71D7007D" w14:textId="075A3758" w:rsidR="0093240B" w:rsidRDefault="002D7CA6" w:rsidP="0093240B">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w:t>
      </w:r>
      <w:r w:rsidR="00CD4D87">
        <w:rPr>
          <w:rFonts w:eastAsiaTheme="minorEastAsia"/>
        </w:rPr>
        <w:t xml:space="preserve"> per </w:t>
      </w:r>
      <w:r w:rsidR="00CD4D87">
        <w:rPr>
          <w:rFonts w:eastAsiaTheme="minorEastAsia"/>
        </w:rPr>
        <w:lastRenderedPageBreak/>
        <w:t>scenario, holding all demographic rates constant at their average values,</w:t>
      </w:r>
      <w:r w:rsidR="008B4CC4">
        <w:rPr>
          <w:rFonts w:eastAsiaTheme="minorEastAsia"/>
        </w:rPr>
        <w:t xml:space="preserve"> and compared the probabilities of population growth, decline, and quasi-extinction.</w:t>
      </w:r>
    </w:p>
    <w:p w14:paraId="2FD65057" w14:textId="77777777" w:rsidR="0093240B" w:rsidRDefault="0093240B" w:rsidP="0093240B">
      <w:pPr>
        <w:spacing w:after="0" w:line="480" w:lineRule="auto"/>
      </w:pPr>
    </w:p>
    <w:p w14:paraId="76FC70AD" w14:textId="7289E9AC" w:rsidR="00A94E62" w:rsidRPr="0093240B" w:rsidRDefault="00015663" w:rsidP="0093240B">
      <w:pPr>
        <w:spacing w:after="0" w:line="480" w:lineRule="auto"/>
      </w:pPr>
      <w:r w:rsidRPr="00AB6CC9">
        <w:rPr>
          <w:rFonts w:eastAsiaTheme="minorEastAsia"/>
          <w:i/>
        </w:rPr>
        <w:t>Future</w:t>
      </w:r>
      <w:r w:rsidR="00A94E62" w:rsidRPr="00AB6CC9">
        <w:rPr>
          <w:rFonts w:eastAsiaTheme="minorEastAsia"/>
          <w:i/>
        </w:rPr>
        <w:t xml:space="preserve"> Scenarios</w:t>
      </w:r>
    </w:p>
    <w:p w14:paraId="5052F245" w14:textId="33985E05" w:rsidR="00B650C2" w:rsidRDefault="00383DCF" w:rsidP="00A6587E">
      <w:pPr>
        <w:spacing w:after="0" w:line="480" w:lineRule="auto"/>
        <w:ind w:firstLine="720"/>
        <w:rPr>
          <w:rFonts w:eastAsiaTheme="minorEastAsia"/>
        </w:rPr>
      </w:pPr>
      <w:r>
        <w:rPr>
          <w:rFonts w:eastAsiaTheme="minorEastAsia"/>
        </w:rPr>
        <w:t xml:space="preserve">Predicting </w:t>
      </w:r>
      <w:r w:rsidR="0093240B">
        <w:rPr>
          <w:rFonts w:eastAsiaTheme="minorEastAsia"/>
        </w:rPr>
        <w:t>the</w:t>
      </w:r>
      <w:r>
        <w:rPr>
          <w:rFonts w:eastAsiaTheme="minorEastAsia"/>
        </w:rPr>
        <w:t xml:space="preserve"> status of a species under different future conditions is a key part of building management plans for an endangered species. Current ecosystem dynamics may change and current threats to viability may worsen or abate in the future, so simulating multiple future scenarios can help inform management planning and decision-making. </w:t>
      </w:r>
      <w:r w:rsidR="002134FC">
        <w:rPr>
          <w:rFonts w:eastAsiaTheme="minorEastAsia"/>
        </w:rPr>
        <w:t xml:space="preserve">The </w:t>
      </w:r>
      <w:r w:rsidR="0090219F">
        <w:rPr>
          <w:rFonts w:eastAsiaTheme="minorEastAsia"/>
        </w:rPr>
        <w:t xml:space="preserve">expert team agreed that the </w:t>
      </w:r>
      <w:r w:rsidR="002134FC">
        <w:rPr>
          <w:rFonts w:eastAsiaTheme="minorEastAsia"/>
        </w:rPr>
        <w:t>key threats to th</w:t>
      </w:r>
      <w:r w:rsidR="0093240B">
        <w:rPr>
          <w:rFonts w:eastAsiaTheme="minorEastAsia"/>
        </w:rPr>
        <w:t xml:space="preserve">e PR boa </w:t>
      </w:r>
      <w:r w:rsidR="002134FC">
        <w:rPr>
          <w:rFonts w:eastAsiaTheme="minorEastAsia"/>
        </w:rPr>
        <w:t xml:space="preserve">are habitat loss and human interactions,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but not in a purely developed landscape.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sidR="002134FC">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sidR="002134FC">
        <w:rPr>
          <w:rFonts w:eastAsiaTheme="minorEastAsia"/>
        </w:rPr>
        <w:t xml:space="preserve"> the </w:t>
      </w:r>
      <w:r w:rsidR="00BD157F">
        <w:rPr>
          <w:rFonts w:eastAsiaTheme="minorEastAsia"/>
        </w:rPr>
        <w:t>percent of habitat within developed areas</w:t>
      </w:r>
      <w:r w:rsidR="002134FC">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w:t>
      </w:r>
      <w:r w:rsidR="007A1583">
        <w:rPr>
          <w:rFonts w:eastAsiaTheme="minorEastAsia"/>
        </w:rPr>
        <w:lastRenderedPageBreak/>
        <w:t xml:space="preserve">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 </w:t>
      </w: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019369E5" w:rsidR="00015663" w:rsidRDefault="00D52E2F" w:rsidP="006D6A6C">
      <w:pPr>
        <w:spacing w:after="0" w:line="480" w:lineRule="auto"/>
        <w:ind w:firstLine="720"/>
        <w:rPr>
          <w:rFonts w:eastAsiaTheme="minorEastAsia"/>
        </w:rPr>
      </w:pPr>
      <w:r>
        <w:rPr>
          <w:rFonts w:eastAsiaTheme="minorEastAsia"/>
        </w:rPr>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w:t>
      </w:r>
      <w:r w:rsidR="00A44A76">
        <w:rPr>
          <w:rFonts w:eastAsiaTheme="minorEastAsia"/>
        </w:rPr>
        <w:t xml:space="preserve"> as calculated from the replicat</w:t>
      </w:r>
      <w:r w:rsidR="001F4DCA">
        <w:rPr>
          <w:rFonts w:eastAsiaTheme="minorEastAsia"/>
        </w:rPr>
        <w:t>e</w:t>
      </w:r>
      <w:r w:rsidR="00A44A76">
        <w:rPr>
          <w:rFonts w:eastAsiaTheme="minorEastAsia"/>
        </w:rPr>
        <w:t xml:space="preserve">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w:t>
      </w:r>
      <w:r w:rsidR="005846EA">
        <w:rPr>
          <w:rFonts w:eastAsiaTheme="minorEastAsia"/>
        </w:rPr>
        <w:t xml:space="preserve">The time horizon of 30 years was chosen by the team as a reasonable representation of the “foreseeable future” for this species </w:t>
      </w:r>
      <w:r w:rsidR="005846EA">
        <w:rPr>
          <w:rFonts w:eastAsiaTheme="minorEastAsia"/>
        </w:rPr>
        <w:fldChar w:fldCharType="begin" w:fldLock="1"/>
      </w:r>
      <w:r w:rsidR="005846EA">
        <w:rPr>
          <w:rFonts w:eastAsiaTheme="minorEastAsia"/>
        </w:rPr>
        <w:instrText>ADDIN CSL_CITATION {"citationItems":[{"id":"ITEM-1","itemData":{"DOI":"10.3996/052017-jfwm-041","ISSN":"1944-687X","abstract":"I give an account of Max Weber’s views concerning the basis of the objectivity of the cultural sciences. In this connection, I offer a critical discussion of his distinction between different “value spheres,” each with its own “intrinsic logic.” I then consider parallels between Weber’s “value spheres” and central elements of Bourdieu’s field theory and Luhmann’s systems theory, and try to show to what extent Bourdieu’s and Luhmann’s problems, and the solutions they sug- gest, can be seen as similar to Weber’s. I conclude by a general consideration of Weber’s, Bourdieu’s, and Luhmann’s approach to the problem of objectivity.","author":[{"dropping-particle":"","family":"Smith","given":"David R.","non-dropping-particle":"","parse-names":false,"suffix":""},{"dropping-particle":"","family":"Allan","given":"Nathan L.","non-dropping-particle":"","parse-names":false,"suffix":""},{"dropping-particle":"","family":"McGowan","given":"Conor P.","non-dropping-particle":"","parse-names":false,"suffix":""},{"dropping-particle":"","family":"Szymanski","given":"Jennifer A.","non-dropping-particle":"","parse-names":false,"suffix":""},{"dropping-particle":"","family":"Oetker","given":"Susan R.","non-dropping-particle":"","parse-names":false,"suffix":""},{"dropping-particle":"","family":"Bell","given":"Heather M.","non-dropping-particle":"","parse-names":false,"suffix":""}],"container-title":"Journal of Fish and Wildlife Management","id":"ITEM-1","issue":"1","issued":{"date-parts":[["2018"]]},"page":"302-320","title":"Development of a Species Status Assessment Process for Decisions under the U.S. Endangered Species Act","type":"article-journal","volume":"9"},"uris":["http://www.mendeley.com/documents/?uuid=4cfdb11c-2193-497c-88c1-bed4c45ae837"]},{"id":"ITEM-2","itemData":{"ISSN":"0027-9684","PMID":"20892930","author":[{"dropping-particle":"","family":"Interior","given":"U.S. Department of the","non-dropping-particle":"","parse-names":false,"suffix":""}],"container-title":"Solicitor memorandum M- 3702, Office of the Solicitor, Washington, D.C.","id":"ITEM-2","issued":{"date-parts":[["2009"]]},"title":"The Meaning of \"Foreseeable Future\" in Section 3(20) of the Endangered Species Act","type":"article-journal"},"uris":["http://www.mendeley.com/documents/?uuid=342ff148-1a06-47f1-9df4-ba7425660b0a"]}],"mendeley":{"formattedCitation":"(Interior 2009, Smith et al. 2018)","manualFormatting":"(U.S. Department of the Interior 2009, Smith et al. 2018)","plainTextFormattedCitation":"(Interior 2009, Smith et al. 2018)"},"properties":{"noteIndex":0},"schema":"https://github.com/citation-style-language/schema/raw/master/csl-citation.json"}</w:instrText>
      </w:r>
      <w:r w:rsidR="005846EA">
        <w:rPr>
          <w:rFonts w:eastAsiaTheme="minorEastAsia"/>
        </w:rPr>
        <w:fldChar w:fldCharType="separate"/>
      </w:r>
      <w:r w:rsidR="005846EA" w:rsidRPr="005846EA">
        <w:rPr>
          <w:rFonts w:eastAsiaTheme="minorEastAsia"/>
          <w:noProof/>
        </w:rPr>
        <w:t>(</w:t>
      </w:r>
      <w:r w:rsidR="005846EA">
        <w:rPr>
          <w:rFonts w:eastAsiaTheme="minorEastAsia"/>
          <w:noProof/>
        </w:rPr>
        <w:t xml:space="preserve">U.S. Department of the </w:t>
      </w:r>
      <w:r w:rsidR="005846EA" w:rsidRPr="005846EA">
        <w:rPr>
          <w:rFonts w:eastAsiaTheme="minorEastAsia"/>
          <w:noProof/>
        </w:rPr>
        <w:t>Interior 2009, Smith et al. 2018)</w:t>
      </w:r>
      <w:r w:rsidR="005846EA">
        <w:rPr>
          <w:rFonts w:eastAsiaTheme="minorEastAsia"/>
        </w:rPr>
        <w:fldChar w:fldCharType="end"/>
      </w:r>
      <w:r w:rsidR="005846EA">
        <w:rPr>
          <w:rFonts w:eastAsiaTheme="minorEastAsia"/>
        </w:rPr>
        <w:t xml:space="preserve">. </w:t>
      </w:r>
      <w:r w:rsidR="00015663">
        <w:rPr>
          <w:rFonts w:eastAsiaTheme="minorEastAsia"/>
        </w:rPr>
        <w:t xml:space="preserve">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w:t>
      </w:r>
      <w:r w:rsidR="00122890">
        <w:rPr>
          <w:rFonts w:eastAsiaTheme="minorEastAsia"/>
        </w:rPr>
        <w:lastRenderedPageBreak/>
        <w:t xml:space="preserve">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722BA0C2" w14:textId="703613B4" w:rsidR="0052605F" w:rsidRPr="00A6587E" w:rsidRDefault="000210EC" w:rsidP="00A6587E">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occurred. </w:t>
      </w:r>
      <w:r w:rsidR="00FE208B">
        <w:rPr>
          <w:rFonts w:eastAsiaTheme="minorEastAsia"/>
        </w:rPr>
        <w:t xml:space="preserve">A conceptual diagram of the simulation model is provided in Figure 4. </w:t>
      </w: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430859A7" w:rsidR="009627CF" w:rsidRDefault="009627CF" w:rsidP="00166FC3">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w:t>
      </w:r>
      <w:r w:rsidR="00A6587E">
        <w:rPr>
          <w:rFonts w:eastAsiaTheme="minorEastAsia"/>
        </w:rPr>
        <w:t>3</w:t>
      </w:r>
      <w:r w:rsidRPr="009C4879">
        <w:rPr>
          <w:rFonts w:eastAsiaTheme="minorEastAsia"/>
        </w:rPr>
        <w:t xml:space="preserve">). Quasi-extinction probability was ~0 for all iterations in which adult survival was &gt; 0.75.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006D6F4F">
        <w:rPr>
          <w:rFonts w:eastAsiaTheme="minorEastAsia"/>
        </w:rPr>
        <w:t>.5</w:t>
      </w:r>
      <w:r w:rsidRPr="009C4879">
        <w:rPr>
          <w:rFonts w:eastAsiaTheme="minorEastAsia"/>
        </w:rPr>
        <w:t xml:space="preserve"> young per adult per year (Figure </w:t>
      </w:r>
      <w:r w:rsidR="00A6587E">
        <w:rPr>
          <w:rFonts w:eastAsiaTheme="minorEastAsia"/>
        </w:rPr>
        <w:t>3</w:t>
      </w:r>
      <w:r w:rsidRPr="009C4879">
        <w:rPr>
          <w:rFonts w:eastAsiaTheme="minorEastAsia"/>
        </w:rPr>
        <w:t>). We note that this sensitivity analysis is conducted assuming that only one demographic rate changes independent of the others, while</w:t>
      </w:r>
      <w:r w:rsidR="00761CC8">
        <w:rPr>
          <w:rFonts w:eastAsiaTheme="minorEastAsia"/>
        </w:rPr>
        <w:t>, in reality, threats</w:t>
      </w:r>
      <w:r w:rsidRPr="009C4879">
        <w:rPr>
          <w:rFonts w:eastAsiaTheme="minorEastAsia"/>
        </w:rPr>
        <w:t xml:space="preserve"> likely influence more than one rate simultaneously.</w:t>
      </w:r>
    </w:p>
    <w:p w14:paraId="1A3EEBEF" w14:textId="7CE3F7FE" w:rsidR="009627CF" w:rsidRDefault="000210EC" w:rsidP="006F7012">
      <w:pPr>
        <w:spacing w:after="0" w:line="480" w:lineRule="auto"/>
        <w:ind w:firstLine="720"/>
      </w:pPr>
      <w:r>
        <w:lastRenderedPageBreak/>
        <w:t xml:space="preserve">Changing the input for maximum current density and maximum carrying capacity density had little effect on simulation model outcomes (Figure </w:t>
      </w:r>
      <w:r w:rsidR="00FE208B">
        <w:t>B2</w:t>
      </w:r>
      <w:r>
        <w:t xml:space="preserve">).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w:t>
      </w:r>
      <w:r w:rsidR="005614FF">
        <w:t>little to no change in</w:t>
      </w:r>
      <w:r>
        <w:t xml:space="preserve"> probabilities of population growth and lower probabilities of population decline</w:t>
      </w:r>
      <w:r w:rsidR="005614FF">
        <w:t xml:space="preserve"> (Table B1)</w:t>
      </w:r>
      <w:r>
        <w:t>.</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2A7AFA1" w14:textId="45473EBC" w:rsidR="00FF62D9" w:rsidRDefault="006F7012" w:rsidP="00FF62D9">
      <w:pPr>
        <w:spacing w:after="0" w:line="480" w:lineRule="auto"/>
        <w:ind w:firstLine="720"/>
        <w:rPr>
          <w:rFonts w:eastAsiaTheme="minorEastAsia"/>
          <w:iCs/>
        </w:rPr>
      </w:pPr>
      <w:r>
        <w:rPr>
          <w:rFonts w:eastAsiaTheme="minorEastAsia"/>
          <w:iCs/>
        </w:rPr>
        <w:t>Our projection model indicated that the population is most likely to decline over a 30-year period under the status quo scenario, i.e. if the current rate of urbanization were to continue (</w:t>
      </w:r>
      <w:r w:rsidR="0048697E">
        <w:rPr>
          <w:rFonts w:eastAsiaTheme="minorEastAsia"/>
          <w:iCs/>
        </w:rPr>
        <w:t>Table 2, Figure 5</w:t>
      </w:r>
      <w:r>
        <w:rPr>
          <w:rFonts w:eastAsiaTheme="minorEastAsia"/>
          <w:iCs/>
        </w:rPr>
        <w:t xml:space="preserve">). Under the current rate of urbanization (16% per decade) the model predicted a </w:t>
      </w:r>
      <w:r w:rsidR="0048697E">
        <w:rPr>
          <w:rFonts w:eastAsiaTheme="minorEastAsia"/>
          <w:iCs/>
        </w:rPr>
        <w:t>64.3</w:t>
      </w:r>
      <w:r>
        <w:rPr>
          <w:rFonts w:eastAsiaTheme="minorEastAsia"/>
          <w:iCs/>
        </w:rPr>
        <w:t xml:space="preserve">% probability of decline and </w:t>
      </w:r>
      <w:r w:rsidR="0048697E">
        <w:rPr>
          <w:rFonts w:eastAsiaTheme="minorEastAsia"/>
          <w:iCs/>
        </w:rPr>
        <w:t>35.7</w:t>
      </w:r>
      <w:r>
        <w:rPr>
          <w:rFonts w:eastAsiaTheme="minorEastAsia"/>
          <w:iCs/>
        </w:rPr>
        <w:t>% probability of stability or growth. Lower rates of urbanization were associated with a greater probability of population stability or growth, but the probability of growth was only 5</w:t>
      </w:r>
      <w:r w:rsidR="0048697E">
        <w:rPr>
          <w:rFonts w:eastAsiaTheme="minorEastAsia"/>
          <w:iCs/>
        </w:rPr>
        <w:t>0.2</w:t>
      </w:r>
      <w:r>
        <w:rPr>
          <w:rFonts w:eastAsiaTheme="minorEastAsia"/>
          <w:iCs/>
        </w:rPr>
        <w:t>% under the best</w:t>
      </w:r>
      <w:r w:rsidR="0048697E">
        <w:rPr>
          <w:rFonts w:eastAsiaTheme="minorEastAsia"/>
          <w:iCs/>
        </w:rPr>
        <w:t>-</w:t>
      </w:r>
      <w:r>
        <w:rPr>
          <w:rFonts w:eastAsiaTheme="minorEastAsia"/>
          <w:iCs/>
        </w:rPr>
        <w:t>case scenario (no further urbanization), which may be unlikely to occur. 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 xml:space="preserve">and was less than 5% for all scenarios and thresholds (Table </w:t>
      </w:r>
      <w:r w:rsidR="00FF62D9">
        <w:t>2</w:t>
      </w:r>
      <w:r>
        <w:t xml:space="preserve">, Figure </w:t>
      </w:r>
      <w:r w:rsidR="0048697E">
        <w:t>5</w:t>
      </w:r>
      <w:r>
        <w:t>).</w:t>
      </w:r>
    </w:p>
    <w:p w14:paraId="63EF377B" w14:textId="77777777" w:rsidR="00FF62D9" w:rsidRDefault="00FF62D9" w:rsidP="00FF62D9">
      <w:pPr>
        <w:spacing w:after="0" w:line="480" w:lineRule="auto"/>
        <w:ind w:firstLine="720"/>
        <w:rPr>
          <w:rFonts w:eastAsiaTheme="minorEastAsia"/>
          <w:iCs/>
        </w:rPr>
      </w:pPr>
    </w:p>
    <w:p w14:paraId="59928031" w14:textId="5516033D" w:rsidR="00900997" w:rsidRPr="00FF62D9" w:rsidRDefault="00703370" w:rsidP="00FF62D9">
      <w:pPr>
        <w:spacing w:after="0" w:line="480" w:lineRule="auto"/>
        <w:rPr>
          <w:rFonts w:eastAsiaTheme="minorEastAsia"/>
          <w:iCs/>
        </w:rPr>
      </w:pPr>
      <w:r>
        <w:rPr>
          <w:b/>
        </w:rPr>
        <w:t>DISCUSSION</w:t>
      </w:r>
    </w:p>
    <w:p w14:paraId="13638F5A" w14:textId="55918634"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w:t>
      </w:r>
      <w:r w:rsidR="00E42C7A">
        <w:rPr>
          <w:bCs/>
        </w:rPr>
        <w:t>there was an increased probability of population decline as urbanization rates increased</w:t>
      </w:r>
      <w:r>
        <w:rPr>
          <w:bCs/>
        </w:rPr>
        <w:t xml:space="preserve">. The probability that the population would remain </w:t>
      </w:r>
      <w:r>
        <w:rPr>
          <w:bCs/>
        </w:rPr>
        <w:lastRenderedPageBreak/>
        <w:t xml:space="preserve">stable or grow was greater than 50% only when urbanization rates fell </w:t>
      </w:r>
      <w:r w:rsidR="00E42C7A">
        <w:rPr>
          <w:bCs/>
        </w:rPr>
        <w:t>to 0%</w:t>
      </w:r>
      <w:r>
        <w:rPr>
          <w:bCs/>
        </w:rPr>
        <w:t xml:space="preserve">. </w:t>
      </w:r>
      <w:r w:rsidR="00A22471">
        <w:rPr>
          <w:bCs/>
        </w:rPr>
        <w:t>I</w:t>
      </w:r>
      <w:r>
        <w:rPr>
          <w:bCs/>
        </w:rPr>
        <w:t>ncreasing rates of urbanization were</w:t>
      </w:r>
      <w:r w:rsidR="00E42C7A">
        <w:rPr>
          <w:bCs/>
        </w:rPr>
        <w:t xml:space="preserve"> also</w:t>
      </w:r>
      <w:r>
        <w:rPr>
          <w:bCs/>
        </w:rPr>
        <w:t xml:space="preserve"> associated with an increased quasi-extinction probability</w:t>
      </w:r>
      <w:r w:rsidR="00E42C7A">
        <w:rPr>
          <w:bCs/>
        </w:rPr>
        <w:t>, especially</w:t>
      </w:r>
      <w:r>
        <w:rPr>
          <w:bCs/>
        </w:rPr>
        <w:t xml:space="preserve"> at the highest </w:t>
      </w:r>
      <w:r w:rsidR="007B2F03">
        <w:rPr>
          <w:bCs/>
        </w:rPr>
        <w:t xml:space="preserve">quasi-extinction </w:t>
      </w:r>
      <w:r>
        <w:rPr>
          <w:bCs/>
        </w:rPr>
        <w:t xml:space="preserve">threshold (5000 individuals). Quasi-extinction probabilities were low for most scenarios due to the possibility of a large initial population size, which buffers the population from 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4029E60C"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published studies. The sensitivity analyses </w:t>
      </w:r>
      <w:r w:rsidR="00926795">
        <w:rPr>
          <w:bCs/>
        </w:rPr>
        <w:t>serve to</w:t>
      </w:r>
      <w:r>
        <w:rPr>
          <w:bCs/>
        </w:rPr>
        <w:t xml:space="preserve"> evaluate the effect of key model inputs on our estimates of the probability of quasi-extinction or population growth.</w:t>
      </w:r>
      <w:r w:rsidR="00383DCF">
        <w:rPr>
          <w:bCs/>
        </w:rPr>
        <w:t xml:space="preserve"> These sensitivity analyses can help managers see how predictions would change if model inputs are correct, identify how incorrect model inputs would have to be before management decisions would change, and establish priorities for future research.</w:t>
      </w:r>
      <w:r>
        <w:rPr>
          <w:bCs/>
        </w:rPr>
        <w:t xml:space="preserve"> </w:t>
      </w:r>
      <w:r w:rsidR="00ED33FB" w:rsidRPr="00F275B9">
        <w:rPr>
          <w:bCs/>
        </w:rPr>
        <w:t>Methods exist to formally elicit demographic parameter estimates and relationships from experts</w:t>
      </w:r>
      <w:r w:rsidR="00A500FE">
        <w:rPr>
          <w:bCs/>
        </w:rPr>
        <w:t xml:space="preserve">, </w:t>
      </w:r>
      <w:r w:rsidR="00ED33FB" w:rsidRPr="00F275B9">
        <w:rPr>
          <w:bCs/>
        </w:rPr>
        <w:t>but those are also time- consuming and can be expensive, or not feasible if few people are experts on the species biology</w:t>
      </w:r>
      <w:r w:rsidR="00882617">
        <w:rPr>
          <w:bCs/>
        </w:rPr>
        <w:t>, as was the case for the PR boa</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especially </w:t>
      </w:r>
      <w:r w:rsidR="00E42C7A">
        <w:rPr>
          <w:bCs/>
        </w:rPr>
        <w:t xml:space="preserve">useful </w:t>
      </w:r>
      <w:r w:rsidR="00022A53">
        <w:rPr>
          <w:bCs/>
        </w:rPr>
        <w:t xml:space="preserve">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t>
      </w:r>
      <w:r w:rsidR="00A44291">
        <w:rPr>
          <w:bCs/>
        </w:rPr>
        <w:t xml:space="preserve">Our model structure incorporated parametric </w:t>
      </w:r>
      <w:r w:rsidR="002D1307">
        <w:rPr>
          <w:bCs/>
        </w:rPr>
        <w:t xml:space="preserve">uncertainty such </w:t>
      </w:r>
      <w:r w:rsidR="00A44291">
        <w:rPr>
          <w:bCs/>
        </w:rPr>
        <w:t xml:space="preserve">that each replicate of </w:t>
      </w:r>
      <w:r w:rsidR="002D1307">
        <w:rPr>
          <w:bCs/>
        </w:rPr>
        <w:t>the simulation</w:t>
      </w:r>
      <w:r w:rsidR="00A44291">
        <w:rPr>
          <w:bCs/>
        </w:rPr>
        <w:t xml:space="preserve"> drew different mean values from the distribution set up using expert elicited means and the 15% C.V. With this added layer of prediction uncertainty</w:t>
      </w:r>
      <w:r w:rsidR="002D1307">
        <w:rPr>
          <w:bCs/>
        </w:rPr>
        <w:t>,</w:t>
      </w:r>
      <w:r w:rsidR="00A44291">
        <w:rPr>
          <w:bCs/>
        </w:rPr>
        <w:t xml:space="preserve"> our simulations account for </w:t>
      </w:r>
      <w:r w:rsidR="002D1307">
        <w:rPr>
          <w:bCs/>
        </w:rPr>
        <w:t>the possibility that the elicited average values are incorrect</w:t>
      </w:r>
      <w:r w:rsidR="00A44291">
        <w:rPr>
          <w:bCs/>
        </w:rPr>
        <w:t xml:space="preserve">. </w:t>
      </w:r>
      <w:r w:rsidR="00022A53">
        <w:rPr>
          <w:bCs/>
        </w:rPr>
        <w:t xml:space="preserve">With or without those expert-elicited estimates of parametric uncertainty, a sensitivity analysis like the one presented here can help identify which demographic rates contribute the most to realized </w:t>
      </w:r>
      <w:r w:rsidR="00022A53">
        <w:rPr>
          <w:bCs/>
        </w:rPr>
        <w:lastRenderedPageBreak/>
        <w:t>population trajectories, and can provide decision makers with target thresholds (e.g., adult survival &gt; 0.75) that may be useful in recovery planning.</w:t>
      </w:r>
    </w:p>
    <w:p w14:paraId="5575C4C4" w14:textId="008B5A41"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areas and allowing for a large range in the negative effect of urbanization, we were able to capture this nuance </w:t>
      </w:r>
      <w:r w:rsidR="00E42C7A">
        <w:rPr>
          <w:bCs/>
        </w:rPr>
        <w:t>that might be lost if we analyzed occurrence records alone</w:t>
      </w:r>
      <w:r w:rsidR="00022A53">
        <w:rPr>
          <w:bCs/>
        </w:rPr>
        <w:t xml:space="preserve">.  </w:t>
      </w:r>
    </w:p>
    <w:p w14:paraId="407398D3" w14:textId="2BE5AEED" w:rsidR="00703370" w:rsidRPr="00022A53" w:rsidRDefault="003D6292" w:rsidP="00355140">
      <w:pPr>
        <w:spacing w:after="0" w:line="480" w:lineRule="auto"/>
        <w:rPr>
          <w:bCs/>
        </w:rPr>
      </w:pPr>
      <w:r>
        <w:rPr>
          <w:bCs/>
        </w:rPr>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 xml:space="preserve">response to density is likely more complex and nuanced. </w:t>
      </w:r>
      <w:r w:rsidR="000C3F84">
        <w:rPr>
          <w:bCs/>
        </w:rPr>
        <w:t>However,</w:t>
      </w:r>
      <w:r w:rsidR="002D1307">
        <w:rPr>
          <w:bCs/>
        </w:rPr>
        <w:t xml:space="preserve"> our sensitivity analysis indicated that, for our projections, changing this ceiling had little effect on population trajectories. </w:t>
      </w:r>
    </w:p>
    <w:p w14:paraId="69F9C8C1" w14:textId="46C37F99" w:rsidR="00927C2F" w:rsidRDefault="00927C2F" w:rsidP="00A76C74">
      <w:pPr>
        <w:spacing w:after="0" w:line="480" w:lineRule="auto"/>
        <w:ind w:firstLine="720"/>
        <w:rPr>
          <w:bCs/>
        </w:rPr>
      </w:pPr>
      <w:r>
        <w:rPr>
          <w:bCs/>
        </w:rPr>
        <w:t xml:space="preserve">The sensitivity analyses were an important outcome of this modeling effort. Despite having limited information on demographic rates, we were still able to construct a model of population dynamics based on known features of the species life history. The sensitivity analyses of that model </w:t>
      </w:r>
      <w:r w:rsidR="00882617">
        <w:rPr>
          <w:bCs/>
        </w:rPr>
        <w:t>provide</w:t>
      </w:r>
      <w:r>
        <w:rPr>
          <w:bCs/>
        </w:rPr>
        <w:t xml:space="preserve"> insight into how the future trajectories would change if the elicited demographic rates are </w:t>
      </w:r>
      <w:r>
        <w:rPr>
          <w:bCs/>
        </w:rPr>
        <w:lastRenderedPageBreak/>
        <w:t>incorrect. For example</w:t>
      </w:r>
      <w:r w:rsidR="00882617">
        <w:rPr>
          <w:bCs/>
        </w:rPr>
        <w:t>,</w:t>
      </w:r>
      <w:r>
        <w:rPr>
          <w:bCs/>
        </w:rPr>
        <w:t xml:space="preserve"> we found that all simulations with adult survival &gt;0.75 had no extinction risk, meaning that our experts would have to be wrong</w:t>
      </w:r>
      <w:r w:rsidR="00882617">
        <w:rPr>
          <w:bCs/>
        </w:rPr>
        <w:t xml:space="preserve"> about the average adult survival rate</w:t>
      </w:r>
      <w:r>
        <w:rPr>
          <w:bCs/>
        </w:rPr>
        <w:t xml:space="preserve"> by 0.15 in order to change the risk for this species. </w:t>
      </w:r>
      <w:r w:rsidR="00D81544">
        <w:rPr>
          <w:bCs/>
        </w:rPr>
        <w:t xml:space="preserve">We can also conclude that mark recapture studies or other efforts to study the survival rates of adult boa would greatly improve confidence in our model predictions and </w:t>
      </w:r>
      <w:r w:rsidR="00882617">
        <w:rPr>
          <w:bCs/>
        </w:rPr>
        <w:t>utility for decision-making</w:t>
      </w:r>
      <w:r w:rsidR="00D81544">
        <w:rPr>
          <w:bCs/>
        </w:rPr>
        <w:t>.</w:t>
      </w:r>
    </w:p>
    <w:p w14:paraId="6D5C8B97" w14:textId="78C6495F"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estimates of future status with quantifiable uncertainty.</w:t>
      </w:r>
    </w:p>
    <w:p w14:paraId="1DCE9693" w14:textId="21943E1F" w:rsidR="00A76C74" w:rsidRDefault="00A76C74" w:rsidP="00A76C74">
      <w:pPr>
        <w:spacing w:line="480" w:lineRule="auto"/>
        <w:rPr>
          <w:b/>
        </w:rPr>
      </w:pPr>
    </w:p>
    <w:p w14:paraId="4F1FE3FB" w14:textId="11212724" w:rsidR="00A76C74" w:rsidRDefault="00A76C74" w:rsidP="00A76C74">
      <w:pPr>
        <w:spacing w:line="480" w:lineRule="auto"/>
        <w:rPr>
          <w:b/>
        </w:rPr>
      </w:pPr>
    </w:p>
    <w:p w14:paraId="3FE7383D" w14:textId="20E3C26A" w:rsidR="00A76C74" w:rsidRPr="00931223" w:rsidRDefault="00A76C74" w:rsidP="00A76C74">
      <w:pPr>
        <w:spacing w:line="480" w:lineRule="auto"/>
        <w:rPr>
          <w:rFonts w:cstheme="minorHAnsi"/>
          <w:bCs/>
        </w:rPr>
      </w:pPr>
      <w:r w:rsidRPr="00931223">
        <w:rPr>
          <w:rFonts w:cstheme="minorHAnsi"/>
          <w:b/>
        </w:rPr>
        <w:t>ACKNOWLEDGMENTS</w:t>
      </w:r>
    </w:p>
    <w:p w14:paraId="17FC34A3" w14:textId="2F7844B9" w:rsidR="00A76C74" w:rsidRPr="00931223" w:rsidRDefault="00A76C74" w:rsidP="00931223">
      <w:pPr>
        <w:spacing w:line="480" w:lineRule="auto"/>
        <w:ind w:firstLine="720"/>
        <w:rPr>
          <w:rFonts w:cstheme="minorHAnsi"/>
        </w:rPr>
      </w:pPr>
      <w:r w:rsidRPr="00931223">
        <w:rPr>
          <w:rFonts w:cstheme="minorHAnsi"/>
        </w:rPr>
        <w:t xml:space="preserve">We thank the expert team for contributing their time and expertise to develop this model. We thank XX and reviewers for comments that improved the quality of this manuscript. The findings and conclusions in this article are those of the authors and do not necessarily represent the opinions of the U.S. Fish and Wildlife Service. </w:t>
      </w:r>
      <w:r w:rsidR="00622ECF">
        <w:rPr>
          <w:rFonts w:ascii="Trebuchet MS" w:hAnsi="Trebuchet MS"/>
          <w:color w:val="000000"/>
          <w:sz w:val="20"/>
          <w:szCs w:val="20"/>
        </w:rPr>
        <w:t>Any use of trade, firm, or product names is for descriptive purposes only and does not imply endorsement by the U.S. Government.</w:t>
      </w:r>
    </w:p>
    <w:p w14:paraId="417BFDBA" w14:textId="77777777" w:rsidR="00A76C74" w:rsidRPr="00931223" w:rsidRDefault="00A76C74" w:rsidP="00A76C74">
      <w:pPr>
        <w:tabs>
          <w:tab w:val="left" w:pos="1476"/>
        </w:tabs>
        <w:spacing w:after="0" w:line="480" w:lineRule="auto"/>
        <w:rPr>
          <w:rFonts w:cstheme="minorHAnsi"/>
        </w:rPr>
      </w:pPr>
      <w:r w:rsidRPr="00931223">
        <w:rPr>
          <w:rFonts w:cstheme="minorHAnsi"/>
          <w:i/>
        </w:rPr>
        <w:t>Authors’ contributions</w:t>
      </w:r>
    </w:p>
    <w:p w14:paraId="4CC18F01" w14:textId="69BB01C5" w:rsidR="00A76C74" w:rsidRPr="00931223" w:rsidRDefault="00A76C74" w:rsidP="00A76C74">
      <w:pPr>
        <w:spacing w:after="0" w:line="480" w:lineRule="auto"/>
        <w:rPr>
          <w:rFonts w:cstheme="minorHAnsi"/>
        </w:rPr>
      </w:pPr>
      <w:r w:rsidRPr="00931223">
        <w:rPr>
          <w:rFonts w:cstheme="minorHAnsi"/>
        </w:rPr>
        <w:t>AMT, NAF, CPM, and JPZ conceived the ideas; NAF and AMT designed methodology and analyzed the data with input from CPM, JPZ, and EMO; AMT led the writing of the manuscript. All authors contributed critically to the drafts and gave final approval for publication.</w:t>
      </w:r>
    </w:p>
    <w:p w14:paraId="6CCCBB71" w14:textId="77777777" w:rsidR="00A76C74" w:rsidRPr="00931223" w:rsidRDefault="00A76C74" w:rsidP="00A76C74">
      <w:pPr>
        <w:tabs>
          <w:tab w:val="left" w:pos="1476"/>
        </w:tabs>
        <w:spacing w:after="0" w:line="480" w:lineRule="auto"/>
        <w:rPr>
          <w:rFonts w:cstheme="minorHAnsi"/>
        </w:rPr>
      </w:pPr>
      <w:r w:rsidRPr="00931223">
        <w:rPr>
          <w:rFonts w:cstheme="minorHAnsi"/>
          <w:i/>
        </w:rPr>
        <w:lastRenderedPageBreak/>
        <w:t>Code availability</w:t>
      </w:r>
    </w:p>
    <w:p w14:paraId="053FCC80" w14:textId="290C0FD5" w:rsidR="00A76C74" w:rsidRPr="00931223" w:rsidRDefault="00A76C74" w:rsidP="00A76C74">
      <w:pPr>
        <w:tabs>
          <w:tab w:val="left" w:pos="1476"/>
        </w:tabs>
        <w:spacing w:after="0" w:line="480" w:lineRule="auto"/>
        <w:rPr>
          <w:rFonts w:cstheme="minorHAnsi"/>
        </w:rPr>
      </w:pPr>
      <w:r w:rsidRPr="00931223">
        <w:rPr>
          <w:rFonts w:cstheme="minorHAnsi"/>
        </w:rPr>
        <w:t>All code can be found at http://www.github.com/annamtucker/pr-boa.</w:t>
      </w:r>
    </w:p>
    <w:p w14:paraId="72386331" w14:textId="77777777" w:rsidR="00A76C74" w:rsidRPr="00A76C74" w:rsidRDefault="00A76C74" w:rsidP="00A76C74">
      <w:pPr>
        <w:spacing w:line="480" w:lineRule="auto"/>
        <w:rPr>
          <w:bCs/>
        </w:rPr>
      </w:pPr>
    </w:p>
    <w:p w14:paraId="58E60B5A" w14:textId="78F85898" w:rsidR="002A06B5" w:rsidRPr="00703370" w:rsidRDefault="00703370" w:rsidP="006D6A6C">
      <w:pPr>
        <w:spacing w:after="0" w:line="480" w:lineRule="auto"/>
        <w:rPr>
          <w:bCs/>
        </w:rPr>
      </w:pPr>
      <w:r>
        <w:rPr>
          <w:b/>
        </w:rPr>
        <w:t>LITERATURE CITED</w:t>
      </w:r>
    </w:p>
    <w:p w14:paraId="6630C851" w14:textId="387C2149" w:rsidR="005846EA" w:rsidRPr="005846EA" w:rsidRDefault="002A06B5" w:rsidP="005846EA">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5846EA" w:rsidRPr="005846EA">
        <w:rPr>
          <w:rFonts w:ascii="Calibri" w:hAnsi="Calibri" w:cs="Calibri"/>
          <w:noProof/>
          <w:szCs w:val="24"/>
        </w:rPr>
        <w:t>Battin, J. 2004. When Good Animals Love Bad Habitats: Ecological Traps and the Conservation of Animal Populations. Conservation Biology 18:1482–1491.</w:t>
      </w:r>
    </w:p>
    <w:p w14:paraId="7881C4F5"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Bland, L. M., and M. Böhm. 2016. Overcoming data deficiency in reptiles. Biological Conservation 204:16–22.</w:t>
      </w:r>
    </w:p>
    <w:p w14:paraId="256DDCAC"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Anderson, C. Andrén, D. Ariano-Sánchez, J. C. Arredondo, M. Auliya, C. C. Austin, A. Avci, P. J. Baker, A. F. Barreto-Lima, C. L. Barrio-Amorós, D. Basu, M. F. Bates, A. Batistella, A. Bauer, D. 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w:t>
      </w:r>
      <w:r w:rsidRPr="005846EA">
        <w:rPr>
          <w:rFonts w:ascii="Calibri" w:hAnsi="Calibri" w:cs="Calibri"/>
          <w:noProof/>
          <w:szCs w:val="24"/>
        </w:rPr>
        <w:lastRenderedPageBreak/>
        <w:t>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Santos-Barrera, H. H. Schleich, B. R. Schmidt, A. Schmitz, M. Sharifi, G. Shea, H. T. Shi, R. Shine, R. Sindaco, T. Slimani, R. Somaweera, S. Spawls, P. Stafford, R. Stuebing, S. Sweet, E. Sy, H. J. Temple, 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02B77B18"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Brito, D. 2010. Overcoming the Linnean shortfall: Data deficiency and biological survey priorities. Basic and Applied Ecology 11:709–713.</w:t>
      </w:r>
    </w:p>
    <w:p w14:paraId="53F9FB91"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 xml:space="preserve">Burghardt, G. M., J. B. Murphy, D. Chiszar, and M. Hutchins. 2009. Combating Ophiophobia: Origins, Treatment, Education, and Conservation Tools. Pages 262–280 </w:t>
      </w:r>
      <w:r w:rsidRPr="005846EA">
        <w:rPr>
          <w:rFonts w:ascii="Calibri" w:hAnsi="Calibri" w:cs="Calibri"/>
          <w:i/>
          <w:iCs/>
          <w:noProof/>
          <w:szCs w:val="24"/>
        </w:rPr>
        <w:t>in</w:t>
      </w:r>
      <w:r w:rsidRPr="005846EA">
        <w:rPr>
          <w:rFonts w:ascii="Calibri" w:hAnsi="Calibri" w:cs="Calibri"/>
          <w:noProof/>
          <w:szCs w:val="24"/>
        </w:rPr>
        <w:t xml:space="preserve"> S. J. Mullin and R. A. Seigel, editors. Snakes: Ecology and Conservation. Cornell University Press, Ithaca, NY.</w:t>
      </w:r>
    </w:p>
    <w:p w14:paraId="3834DE31"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Burgman, M. A. 2005. Risks and Decisions for Conservation and Environmental Management. Cambridge University Press, Cambridge, UK.</w:t>
      </w:r>
    </w:p>
    <w:p w14:paraId="5F3CD996"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lastRenderedPageBreak/>
        <w:t>Burgman, M. A. 2016. Trusting judgments: how to get the best out of experts. Cambridge University Press.</w:t>
      </w:r>
    </w:p>
    <w:p w14:paraId="3C743CE3"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5250B1CC"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Caswell, H. 2001. Matrix population models: construction, analysis, and interpretation. 2nd edition. Sinauer Associates, Inc., Sunderland, MA, USA, MA, USA.</w:t>
      </w:r>
    </w:p>
    <w:p w14:paraId="7CC1B712"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Conroy, M. J., and J. T. Peterson. 2013. Decision Making in Natural Resources Management. Wiley-Blackwell.</w:t>
      </w:r>
    </w:p>
    <w:p w14:paraId="2E99372F"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Drescher, M., A. H. Perera, C. J. Johnson, L. J. Buse, C. A. Drew, and M. A. Burgman. 2013. Toward rigorous use of expert knowledge in ecological research. Ecosphere 4:1–26.</w:t>
      </w:r>
    </w:p>
    <w:p w14:paraId="46E6D37A"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Gibbons, J. W., D. E. Scott, T. J. Ryan, K. A. Buhlmann, T. D. Tuberville, B. S. Metts, J. L. Greene, T. Mills, Y. Leiden, S. Poppy, and C. T. Winne. 2000. The Global Decline of Reptiles, Déjà Vu Amphibians. BioScience 50:653.</w:t>
      </w:r>
    </w:p>
    <w:p w14:paraId="204BBB26"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 xml:space="preserve">Gilpin, M. E., and M. E. Soulé. 1986. Minimum viable populations: processes of species extinctions. Pages 19–34 </w:t>
      </w:r>
      <w:r w:rsidRPr="005846EA">
        <w:rPr>
          <w:rFonts w:ascii="Calibri" w:hAnsi="Calibri" w:cs="Calibri"/>
          <w:i/>
          <w:iCs/>
          <w:noProof/>
          <w:szCs w:val="24"/>
        </w:rPr>
        <w:t>in</w:t>
      </w:r>
      <w:r w:rsidRPr="005846EA">
        <w:rPr>
          <w:rFonts w:ascii="Calibri" w:hAnsi="Calibri" w:cs="Calibri"/>
          <w:noProof/>
          <w:szCs w:val="24"/>
        </w:rPr>
        <w:t xml:space="preserve"> M. E. Soulé, editor. Conservation Biology: the Science of Scarcity and Diversity. Sinauer Associates, Inc., Sunderland, MA, USA.</w:t>
      </w:r>
    </w:p>
    <w:p w14:paraId="145773C1"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7A006982"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Gregory, R. S., and R. L. Keeney. 2002. Making smarter environmental management decisions. Journal of the American Water Resources Association 38:1601–1612.</w:t>
      </w:r>
    </w:p>
    <w:p w14:paraId="7CDC9B7B"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Huff, T. A. 1978. Breeding the Puerto Rican boa at the Reptile Breeding Foundation. International Zoo Yearbook 16:81–82.</w:t>
      </w:r>
    </w:p>
    <w:p w14:paraId="3645B63E"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 xml:space="preserve">Interior, U. S. D. of the. 2009. The Meaning of “Foreseeable Future” in Section 3(20) of the Endangered </w:t>
      </w:r>
      <w:r w:rsidRPr="005846EA">
        <w:rPr>
          <w:rFonts w:ascii="Calibri" w:hAnsi="Calibri" w:cs="Calibri"/>
          <w:noProof/>
          <w:szCs w:val="24"/>
        </w:rPr>
        <w:lastRenderedPageBreak/>
        <w:t>Species Act. Solicitor memorandum M- 3702, Office of the Solicitor, Washington, D.C.</w:t>
      </w:r>
    </w:p>
    <w:p w14:paraId="2B6D4C68"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1B18EA21"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Martin, T. G., M. A. Burgman, F. Fidler, P. M. Kuhnert, S. Low-Choy, M. Mcbride, and K. Mengersen. 2012. Eliciting Expert Knowledge in Conservation Science. Conservation Biology 26:29–38.</w:t>
      </w:r>
    </w:p>
    <w:p w14:paraId="25DABE3F"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53C12A96"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348BA312"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McGowan, C. P., M. C. Runge, and M. a. Larson. 2011. Incorporating parametric uncertainty into population viability analysis models. Biological Conservation 144:1400–1408.</w:t>
      </w:r>
    </w:p>
    <w:p w14:paraId="6BFBB690"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Morris, W. F., and D. F. Doak. 2002. Quantitative Conservation Biology. Sinauer Associates, Inc., Sunderland, MA, USA.</w:t>
      </w:r>
    </w:p>
    <w:p w14:paraId="3297A807"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Mulero-Oliveras, E. S. 2019. Population and habitat utilization of the Puerto Rican boa (Chilabothrus inornatus) in an urban fragmented habitat. University of Puerto Rico.</w:t>
      </w:r>
    </w:p>
    <w:p w14:paraId="7F15D5CD"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Mullin, S. J., and R. A. Seigel, editors. 2009. Snakes: Ecology and Conservation. Cornell University Press, Ithaca, NY.</w:t>
      </w:r>
    </w:p>
    <w:p w14:paraId="03B821B2"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Puente Rolon, A. R. 2012. Reproductive ecology, fitness, and management of the Puerto Rican Boa (Epicrates inornatus, Boidae). University of Puerto Rico.</w:t>
      </w:r>
    </w:p>
    <w:p w14:paraId="49F165D5"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R Core Team. 2016. R: A language and environment for statistical computing. R Foundation for Statistical Computing, Vienna, Austria.</w:t>
      </w:r>
    </w:p>
    <w:p w14:paraId="4CDC70BF"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lastRenderedPageBreak/>
        <w:t>Reading, C. J., L. M. Luiselli, G. C. Akani, X. Bonnet, G. Amori, J. M. Ballouard, E. Filippi, G. Naulleau, D. Pearson, and L. Rugiero. 2010. Are snake populations in widespread decline? Biology Letters 6:777–780.</w:t>
      </w:r>
    </w:p>
    <w:p w14:paraId="3FDE3D75"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Rios-López, N., and T. M. Aide. 2007. Herpetofaunal Dynamics During Secondary Succession. Herpetologica 63:35–50.</w:t>
      </w:r>
    </w:p>
    <w:p w14:paraId="4BE884D3"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Schlaepfer, M. A., M. C. Runge, P. W. Sherman, and P. W. Sherman. 2002. Ecological and evolutionary traps. Trends in Ecology &amp; Evolution 17:474–480.</w:t>
      </w:r>
    </w:p>
    <w:p w14:paraId="323C6BE5"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Smith, D. R., N. L. Allan, C. P. McGowan, J. A. Szymanski, S. R. Oetker, and H. M. Bell. 2018. Development of a Species Status Assessment Process for Decisions under the U.S. Endangered Species Act. Journal of Fish and Wildlife Management 9:302–320.</w:t>
      </w:r>
    </w:p>
    <w:p w14:paraId="5303F07B"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Steen, D. A. 2010. Snakes in the grass: Secretive natural histories defy both conventional and progressive statistics. Herpetological Conservation and Biology 5:183–188.</w:t>
      </w:r>
    </w:p>
    <w:p w14:paraId="592D72AD"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Stubben, C., and B. Milligan. 2007. Estimating and Analyzing Demographic Models Using the popbio package in R. Journal of Statistical Software 22.</w:t>
      </w:r>
    </w:p>
    <w:p w14:paraId="3F954870"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 xml:space="preserve">Tolson, P. J. 1992. The Reproductive Biology of the Neotropical Boid Genus Epicrates (Serpentes:Boidae). Page </w:t>
      </w:r>
      <w:r w:rsidRPr="005846EA">
        <w:rPr>
          <w:rFonts w:ascii="Calibri" w:hAnsi="Calibri" w:cs="Calibri"/>
          <w:i/>
          <w:iCs/>
          <w:noProof/>
          <w:szCs w:val="24"/>
        </w:rPr>
        <w:t>in</w:t>
      </w:r>
      <w:r w:rsidRPr="005846EA">
        <w:rPr>
          <w:rFonts w:ascii="Calibri" w:hAnsi="Calibri" w:cs="Calibri"/>
          <w:noProof/>
          <w:szCs w:val="24"/>
        </w:rPr>
        <w:t xml:space="preserve"> W. C. Hamlett, editor. Reproductive Biology of South American Vertebrates. Springer, New York, NY.</w:t>
      </w:r>
    </w:p>
    <w:p w14:paraId="5D08D89D"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Tolson, P. J. 1997. Population census and habitat assessment for the Puerto Rican boa, Epicrates inornatus, at the U.S. Naval Security Group Activity, Sabana Seca, Puerto Rico. Final Report. Puerta de Tierra, Puerto Rico.</w:t>
      </w:r>
    </w:p>
    <w:p w14:paraId="376AD667"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szCs w:val="24"/>
        </w:rPr>
      </w:pPr>
      <w:r w:rsidRPr="005846EA">
        <w:rPr>
          <w:rFonts w:ascii="Calibri" w:hAnsi="Calibri" w:cs="Calibri"/>
          <w:noProof/>
          <w:szCs w:val="24"/>
        </w:rPr>
        <w:t>Williams, B., J. Nichols, and M. Conroy. 2002. Analysis and Management of Wildlife Populations. First edition. Academic Press, San Diego, California.</w:t>
      </w:r>
    </w:p>
    <w:p w14:paraId="18AFFF51" w14:textId="77777777" w:rsidR="005846EA" w:rsidRPr="005846EA" w:rsidRDefault="005846EA" w:rsidP="005846EA">
      <w:pPr>
        <w:widowControl w:val="0"/>
        <w:autoSpaceDE w:val="0"/>
        <w:autoSpaceDN w:val="0"/>
        <w:adjustRightInd w:val="0"/>
        <w:spacing w:after="0" w:line="480" w:lineRule="auto"/>
        <w:ind w:left="480" w:hanging="480"/>
        <w:rPr>
          <w:rFonts w:ascii="Calibri" w:hAnsi="Calibri" w:cs="Calibri"/>
          <w:noProof/>
        </w:rPr>
      </w:pPr>
      <w:r w:rsidRPr="005846EA">
        <w:rPr>
          <w:rFonts w:ascii="Calibri" w:hAnsi="Calibri" w:cs="Calibri"/>
          <w:noProof/>
          <w:szCs w:val="24"/>
        </w:rPr>
        <w:t xml:space="preserve">Winne, C. T., J. D. Willson, B. D. Todd, K. M. Andrews, and J. W. Gibbons. 2007. Enigmatic Decline of a Protected Population of Eastern Kingsnakes, Lampropeltis Getula, in South Carolina. Copeia </w:t>
      </w:r>
      <w:r w:rsidRPr="005846EA">
        <w:rPr>
          <w:rFonts w:ascii="Calibri" w:hAnsi="Calibri" w:cs="Calibri"/>
          <w:noProof/>
          <w:szCs w:val="24"/>
        </w:rPr>
        <w:lastRenderedPageBreak/>
        <w:t>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18ED9721" w14:textId="77777777" w:rsidR="00E6605B" w:rsidRDefault="001A7715" w:rsidP="006D6A6C">
      <w:pPr>
        <w:spacing w:line="480" w:lineRule="auto"/>
      </w:pPr>
      <w:r>
        <w:br w:type="page"/>
      </w:r>
    </w:p>
    <w:p w14:paraId="376DA88D" w14:textId="77777777" w:rsidR="00BC0CFB" w:rsidRDefault="00BC0CFB" w:rsidP="006D6A6C">
      <w:pPr>
        <w:spacing w:line="480" w:lineRule="auto"/>
      </w:pPr>
      <w:r w:rsidRPr="00BC0CFB">
        <w:rPr>
          <w:b/>
          <w:bCs/>
        </w:rPr>
        <w:lastRenderedPageBreak/>
        <w:t>TABLES AND FIGURES</w:t>
      </w:r>
    </w:p>
    <w:p w14:paraId="606571C3" w14:textId="77777777" w:rsidR="00BC0CFB" w:rsidRDefault="00BC0CFB" w:rsidP="00BC0CFB">
      <w:pPr>
        <w:spacing w:after="0" w:line="240" w:lineRule="auto"/>
        <w:rPr>
          <w:rFonts w:eastAsiaTheme="minorEastAsia"/>
        </w:rPr>
      </w:pPr>
      <w:r w:rsidRPr="002A6EAC">
        <w:rPr>
          <w:rFonts w:eastAsiaTheme="minorEastAsia"/>
          <w:b/>
          <w:bCs/>
        </w:rPr>
        <w:t>Table 1</w:t>
      </w:r>
      <w:r>
        <w:rPr>
          <w:rFonts w:eastAsiaTheme="minorEastAsia"/>
        </w:rPr>
        <w:t xml:space="preserve">. Stage-specific demographic rates. Average values were determined by the expert team or drawn from available literature. </w:t>
      </w:r>
    </w:p>
    <w:p w14:paraId="2ECA21B4" w14:textId="77777777" w:rsidR="00BC0CFB" w:rsidRDefault="00BC0CFB" w:rsidP="00BC0CFB">
      <w:pPr>
        <w:spacing w:after="0" w:line="240" w:lineRule="auto"/>
        <w:rPr>
          <w:rFonts w:eastAsiaTheme="minorEastAsia"/>
        </w:rPr>
      </w:pP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2861"/>
        <w:gridCol w:w="1076"/>
        <w:gridCol w:w="3897"/>
      </w:tblGrid>
      <w:tr w:rsidR="00BC0CFB" w14:paraId="76CEFF6F" w14:textId="77777777" w:rsidTr="009E3840">
        <w:tc>
          <w:tcPr>
            <w:tcW w:w="1634" w:type="dxa"/>
            <w:tcBorders>
              <w:top w:val="single" w:sz="4" w:space="0" w:color="auto"/>
              <w:bottom w:val="single" w:sz="4" w:space="0" w:color="auto"/>
            </w:tcBorders>
            <w:vAlign w:val="center"/>
          </w:tcPr>
          <w:p w14:paraId="1B7BC465" w14:textId="77777777" w:rsidR="00BC0CFB" w:rsidRPr="00412319" w:rsidRDefault="00BC0CFB" w:rsidP="00BC0CFB">
            <w:pPr>
              <w:jc w:val="center"/>
              <w:rPr>
                <w:rFonts w:eastAsiaTheme="minorEastAsia"/>
                <w:b/>
              </w:rPr>
            </w:pPr>
            <w:r w:rsidRPr="00412319">
              <w:rPr>
                <w:rFonts w:eastAsiaTheme="minorEastAsia"/>
                <w:b/>
              </w:rPr>
              <w:t>Demographic rate</w:t>
            </w:r>
          </w:p>
        </w:tc>
        <w:tc>
          <w:tcPr>
            <w:tcW w:w="2861" w:type="dxa"/>
            <w:tcBorders>
              <w:top w:val="single" w:sz="4" w:space="0" w:color="auto"/>
              <w:bottom w:val="single" w:sz="4" w:space="0" w:color="auto"/>
            </w:tcBorders>
            <w:vAlign w:val="center"/>
          </w:tcPr>
          <w:p w14:paraId="762A0D89" w14:textId="77777777" w:rsidR="00BC0CFB" w:rsidRPr="00412319" w:rsidRDefault="00BC0CFB" w:rsidP="00BC0CFB">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46563F79" w14:textId="77777777" w:rsidR="00BC0CFB" w:rsidRPr="00412319" w:rsidRDefault="00BC0CFB" w:rsidP="00BC0CFB">
            <w:pPr>
              <w:jc w:val="center"/>
              <w:rPr>
                <w:rFonts w:eastAsiaTheme="minorEastAsia"/>
                <w:b/>
              </w:rPr>
            </w:pPr>
            <w:r>
              <w:rPr>
                <w:rFonts w:eastAsiaTheme="minorEastAsia"/>
                <w:b/>
              </w:rPr>
              <w:t>Average</w:t>
            </w:r>
          </w:p>
        </w:tc>
        <w:tc>
          <w:tcPr>
            <w:tcW w:w="3897" w:type="dxa"/>
            <w:tcBorders>
              <w:top w:val="single" w:sz="4" w:space="0" w:color="auto"/>
              <w:bottom w:val="single" w:sz="4" w:space="0" w:color="auto"/>
            </w:tcBorders>
            <w:vAlign w:val="center"/>
          </w:tcPr>
          <w:p w14:paraId="75CDE4CA" w14:textId="77777777" w:rsidR="00BC0CFB" w:rsidRPr="00412319" w:rsidRDefault="00BC0CFB" w:rsidP="00BC0CFB">
            <w:pPr>
              <w:jc w:val="center"/>
              <w:rPr>
                <w:rFonts w:eastAsiaTheme="minorEastAsia"/>
                <w:b/>
              </w:rPr>
            </w:pPr>
            <w:r>
              <w:rPr>
                <w:rFonts w:eastAsiaTheme="minorEastAsia"/>
                <w:b/>
              </w:rPr>
              <w:t>Rationale</w:t>
            </w:r>
          </w:p>
        </w:tc>
      </w:tr>
      <w:tr w:rsidR="00BC0CFB" w14:paraId="373FFF82" w14:textId="77777777" w:rsidTr="009E3840">
        <w:tc>
          <w:tcPr>
            <w:tcW w:w="1634" w:type="dxa"/>
            <w:tcBorders>
              <w:top w:val="single" w:sz="4" w:space="0" w:color="auto"/>
              <w:bottom w:val="nil"/>
            </w:tcBorders>
            <w:vAlign w:val="center"/>
          </w:tcPr>
          <w:p w14:paraId="7E2A2E72" w14:textId="77777777" w:rsidR="00BC0CFB" w:rsidRDefault="00EC69D4" w:rsidP="00BC0CFB">
            <w:pPr>
              <w:jc w:val="center"/>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YY</m:t>
                    </m:r>
                  </m:sup>
                </m:sSup>
              </m:oMath>
            </m:oMathPara>
          </w:p>
        </w:tc>
        <w:tc>
          <w:tcPr>
            <w:tcW w:w="2861" w:type="dxa"/>
            <w:tcBorders>
              <w:top w:val="single" w:sz="4" w:space="0" w:color="auto"/>
              <w:bottom w:val="nil"/>
            </w:tcBorders>
            <w:vAlign w:val="center"/>
          </w:tcPr>
          <w:p w14:paraId="3344C5A0" w14:textId="77777777" w:rsidR="00BC0CFB" w:rsidRDefault="00BC0CFB" w:rsidP="00BC0CFB">
            <w:pPr>
              <w:jc w:val="center"/>
              <w:rPr>
                <w:rFonts w:eastAsiaTheme="minorEastAsia"/>
              </w:rPr>
            </w:pPr>
            <w:r>
              <w:rPr>
                <w:rFonts w:eastAsiaTheme="minorEastAsia"/>
              </w:rPr>
              <w:t>Survival – Young of the year</w:t>
            </w:r>
          </w:p>
        </w:tc>
        <w:tc>
          <w:tcPr>
            <w:tcW w:w="1076" w:type="dxa"/>
            <w:tcBorders>
              <w:top w:val="single" w:sz="4" w:space="0" w:color="auto"/>
              <w:bottom w:val="nil"/>
            </w:tcBorders>
            <w:vAlign w:val="center"/>
          </w:tcPr>
          <w:p w14:paraId="705E487D" w14:textId="77777777" w:rsidR="00BC0CFB" w:rsidRDefault="00BC0CFB" w:rsidP="00BC0CFB">
            <w:pPr>
              <w:jc w:val="center"/>
              <w:rPr>
                <w:rFonts w:eastAsiaTheme="minorEastAsia"/>
              </w:rPr>
            </w:pPr>
            <w:r>
              <w:rPr>
                <w:rFonts w:eastAsiaTheme="minorEastAsia"/>
              </w:rPr>
              <w:t>0.1</w:t>
            </w:r>
          </w:p>
        </w:tc>
        <w:tc>
          <w:tcPr>
            <w:tcW w:w="3897" w:type="dxa"/>
            <w:tcBorders>
              <w:top w:val="single" w:sz="4" w:space="0" w:color="auto"/>
              <w:bottom w:val="nil"/>
            </w:tcBorders>
            <w:vAlign w:val="center"/>
          </w:tcPr>
          <w:p w14:paraId="6C0FDA8B" w14:textId="77777777" w:rsidR="00BC0CFB"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697F5D11" w14:textId="77777777" w:rsidTr="009E3840">
        <w:tc>
          <w:tcPr>
            <w:tcW w:w="1634" w:type="dxa"/>
            <w:tcBorders>
              <w:top w:val="nil"/>
            </w:tcBorders>
            <w:vAlign w:val="center"/>
          </w:tcPr>
          <w:p w14:paraId="2D39DF31" w14:textId="77777777" w:rsidR="00BC0CFB" w:rsidRDefault="00EC69D4"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861" w:type="dxa"/>
            <w:tcBorders>
              <w:top w:val="nil"/>
            </w:tcBorders>
            <w:vAlign w:val="center"/>
          </w:tcPr>
          <w:p w14:paraId="203420C9" w14:textId="77777777" w:rsidR="00BC0CFB" w:rsidRDefault="00BC0CFB" w:rsidP="00BC0CFB">
            <w:pPr>
              <w:jc w:val="center"/>
              <w:rPr>
                <w:rFonts w:eastAsiaTheme="minorEastAsia"/>
              </w:rPr>
            </w:pPr>
            <w:r>
              <w:rPr>
                <w:rFonts w:eastAsiaTheme="minorEastAsia"/>
              </w:rPr>
              <w:t>Survival – Young</w:t>
            </w:r>
          </w:p>
        </w:tc>
        <w:tc>
          <w:tcPr>
            <w:tcW w:w="1076" w:type="dxa"/>
            <w:tcBorders>
              <w:top w:val="nil"/>
            </w:tcBorders>
            <w:vAlign w:val="center"/>
          </w:tcPr>
          <w:p w14:paraId="0ADA8B86" w14:textId="77777777" w:rsidR="00BC0CFB" w:rsidRDefault="00BC0CFB" w:rsidP="00BC0CFB">
            <w:pPr>
              <w:jc w:val="center"/>
              <w:rPr>
                <w:rFonts w:eastAsiaTheme="minorEastAsia"/>
              </w:rPr>
            </w:pPr>
            <w:r>
              <w:rPr>
                <w:rFonts w:eastAsiaTheme="minorEastAsia"/>
              </w:rPr>
              <w:t>0.3</w:t>
            </w:r>
          </w:p>
        </w:tc>
        <w:tc>
          <w:tcPr>
            <w:tcW w:w="3897" w:type="dxa"/>
            <w:tcBorders>
              <w:top w:val="nil"/>
            </w:tcBorders>
            <w:vAlign w:val="center"/>
          </w:tcPr>
          <w:p w14:paraId="7D27589C" w14:textId="77777777" w:rsidR="00BC0CFB" w:rsidRPr="00436159"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32C81662" w14:textId="77777777" w:rsidTr="009E3840">
        <w:tc>
          <w:tcPr>
            <w:tcW w:w="1634" w:type="dxa"/>
            <w:vAlign w:val="center"/>
          </w:tcPr>
          <w:p w14:paraId="562253E1" w14:textId="77777777" w:rsidR="00BC0CFB" w:rsidRDefault="00EC69D4"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861" w:type="dxa"/>
            <w:vAlign w:val="center"/>
          </w:tcPr>
          <w:p w14:paraId="7DF8BE7E" w14:textId="77777777" w:rsidR="00BC0CFB" w:rsidRDefault="00BC0CFB" w:rsidP="00BC0CFB">
            <w:pPr>
              <w:jc w:val="center"/>
              <w:rPr>
                <w:rFonts w:eastAsiaTheme="minorEastAsia"/>
              </w:rPr>
            </w:pPr>
            <w:r>
              <w:rPr>
                <w:rFonts w:eastAsiaTheme="minorEastAsia"/>
              </w:rPr>
              <w:t>Survival – Juvenile</w:t>
            </w:r>
          </w:p>
        </w:tc>
        <w:tc>
          <w:tcPr>
            <w:tcW w:w="1076" w:type="dxa"/>
            <w:vAlign w:val="center"/>
          </w:tcPr>
          <w:p w14:paraId="4AB0ED38" w14:textId="77777777" w:rsidR="00BC0CFB" w:rsidRDefault="00BC0CFB" w:rsidP="00BC0CFB">
            <w:pPr>
              <w:jc w:val="center"/>
              <w:rPr>
                <w:rFonts w:eastAsiaTheme="minorEastAsia"/>
              </w:rPr>
            </w:pPr>
            <w:r>
              <w:rPr>
                <w:rFonts w:eastAsiaTheme="minorEastAsia"/>
              </w:rPr>
              <w:t>0.9</w:t>
            </w:r>
          </w:p>
        </w:tc>
        <w:tc>
          <w:tcPr>
            <w:tcW w:w="3897" w:type="dxa"/>
            <w:vAlign w:val="center"/>
          </w:tcPr>
          <w:p w14:paraId="00896A85" w14:textId="77777777" w:rsidR="00BC0CFB" w:rsidRDefault="00BC0CFB" w:rsidP="00BC0CFB">
            <w:pPr>
              <w:jc w:val="center"/>
              <w:rPr>
                <w:rFonts w:eastAsiaTheme="minorEastAsia"/>
              </w:rPr>
            </w:pPr>
            <w:r>
              <w:rPr>
                <w:rFonts w:eastAsiaTheme="minorEastAsia"/>
              </w:rPr>
              <w:t>Expert opinion</w:t>
            </w:r>
          </w:p>
        </w:tc>
      </w:tr>
      <w:tr w:rsidR="00BC0CFB" w14:paraId="1D8645DE" w14:textId="77777777" w:rsidTr="009E3840">
        <w:tc>
          <w:tcPr>
            <w:tcW w:w="1634" w:type="dxa"/>
            <w:vAlign w:val="center"/>
          </w:tcPr>
          <w:p w14:paraId="410F6B92" w14:textId="77777777" w:rsidR="00BC0CFB" w:rsidRDefault="00EC69D4"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861" w:type="dxa"/>
            <w:vAlign w:val="center"/>
          </w:tcPr>
          <w:p w14:paraId="079E8756" w14:textId="77777777" w:rsidR="00BC0CFB" w:rsidRDefault="00BC0CFB" w:rsidP="00BC0CFB">
            <w:pPr>
              <w:jc w:val="center"/>
              <w:rPr>
                <w:rFonts w:eastAsiaTheme="minorEastAsia"/>
              </w:rPr>
            </w:pPr>
            <w:r>
              <w:rPr>
                <w:rFonts w:eastAsiaTheme="minorEastAsia"/>
              </w:rPr>
              <w:t>Survival – Subadult</w:t>
            </w:r>
          </w:p>
        </w:tc>
        <w:tc>
          <w:tcPr>
            <w:tcW w:w="1076" w:type="dxa"/>
            <w:vAlign w:val="center"/>
          </w:tcPr>
          <w:p w14:paraId="67BAAE61" w14:textId="77777777" w:rsidR="00BC0CFB" w:rsidRDefault="00BC0CFB" w:rsidP="00BC0CFB">
            <w:pPr>
              <w:jc w:val="center"/>
              <w:rPr>
                <w:rFonts w:eastAsiaTheme="minorEastAsia"/>
              </w:rPr>
            </w:pPr>
            <w:r>
              <w:rPr>
                <w:rFonts w:eastAsiaTheme="minorEastAsia"/>
              </w:rPr>
              <w:t>0.72</w:t>
            </w:r>
          </w:p>
        </w:tc>
        <w:tc>
          <w:tcPr>
            <w:tcW w:w="3897" w:type="dxa"/>
            <w:vAlign w:val="center"/>
          </w:tcPr>
          <w:p w14:paraId="7FC0ABA8" w14:textId="77777777" w:rsidR="00BC0CFB" w:rsidRDefault="00BC0CFB" w:rsidP="00BC0CFB">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BC0CFB" w14:paraId="62C2103E" w14:textId="77777777" w:rsidTr="009E3840">
        <w:tc>
          <w:tcPr>
            <w:tcW w:w="1634" w:type="dxa"/>
            <w:vAlign w:val="center"/>
          </w:tcPr>
          <w:p w14:paraId="4333169D" w14:textId="77777777" w:rsidR="00BC0CFB" w:rsidRDefault="00EC69D4"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861" w:type="dxa"/>
            <w:vAlign w:val="center"/>
          </w:tcPr>
          <w:p w14:paraId="19F74B05" w14:textId="77777777" w:rsidR="00BC0CFB" w:rsidRDefault="00BC0CFB" w:rsidP="00BC0CFB">
            <w:pPr>
              <w:jc w:val="center"/>
              <w:rPr>
                <w:rFonts w:eastAsiaTheme="minorEastAsia"/>
              </w:rPr>
            </w:pPr>
            <w:r>
              <w:rPr>
                <w:rFonts w:eastAsiaTheme="minorEastAsia"/>
              </w:rPr>
              <w:t>Survival – Adult</w:t>
            </w:r>
          </w:p>
        </w:tc>
        <w:tc>
          <w:tcPr>
            <w:tcW w:w="1076" w:type="dxa"/>
            <w:vAlign w:val="center"/>
          </w:tcPr>
          <w:p w14:paraId="3F05CB52" w14:textId="77777777" w:rsidR="00BC0CFB" w:rsidRDefault="00BC0CFB" w:rsidP="00BC0CFB">
            <w:pPr>
              <w:jc w:val="center"/>
              <w:rPr>
                <w:rFonts w:eastAsiaTheme="minorEastAsia"/>
              </w:rPr>
            </w:pPr>
            <w:r>
              <w:rPr>
                <w:rFonts w:eastAsiaTheme="minorEastAsia"/>
              </w:rPr>
              <w:t>0.9</w:t>
            </w:r>
          </w:p>
        </w:tc>
        <w:tc>
          <w:tcPr>
            <w:tcW w:w="3897" w:type="dxa"/>
            <w:vAlign w:val="center"/>
          </w:tcPr>
          <w:p w14:paraId="5C55CDB9" w14:textId="7870E35C" w:rsidR="00BC0CFB" w:rsidRPr="00436159" w:rsidRDefault="00BC0CFB" w:rsidP="00BC0CFB">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sidR="009B75B9">
              <w:rPr>
                <w:rFonts w:eastAsiaTheme="minorEastAsia"/>
                <w:vertAlign w:val="superscript"/>
              </w:rPr>
              <w:t>b</w:t>
            </w:r>
            <w:proofErr w:type="spellEnd"/>
          </w:p>
        </w:tc>
      </w:tr>
      <w:tr w:rsidR="00BC0CFB" w14:paraId="5E608EE0" w14:textId="77777777" w:rsidTr="009E3840">
        <w:tc>
          <w:tcPr>
            <w:tcW w:w="1634" w:type="dxa"/>
            <w:vAlign w:val="center"/>
          </w:tcPr>
          <w:p w14:paraId="49F5F2CA" w14:textId="77777777" w:rsidR="00BC0CFB" w:rsidRDefault="00EC69D4"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861" w:type="dxa"/>
            <w:vAlign w:val="center"/>
          </w:tcPr>
          <w:p w14:paraId="7B70082B" w14:textId="77777777" w:rsidR="00BC0CFB" w:rsidRDefault="00BC0CFB" w:rsidP="00BC0CFB">
            <w:pPr>
              <w:jc w:val="center"/>
              <w:rPr>
                <w:rFonts w:eastAsiaTheme="minorEastAsia"/>
              </w:rPr>
            </w:pPr>
            <w:r>
              <w:rPr>
                <w:rFonts w:eastAsiaTheme="minorEastAsia"/>
              </w:rPr>
              <w:t>Growth – Young to Juvenile</w:t>
            </w:r>
          </w:p>
        </w:tc>
        <w:tc>
          <w:tcPr>
            <w:tcW w:w="1076" w:type="dxa"/>
            <w:vAlign w:val="center"/>
          </w:tcPr>
          <w:p w14:paraId="13F66331" w14:textId="77777777" w:rsidR="00BC0CFB" w:rsidRDefault="00BC0CFB" w:rsidP="00BC0CFB">
            <w:pPr>
              <w:jc w:val="center"/>
              <w:rPr>
                <w:rFonts w:eastAsiaTheme="minorEastAsia"/>
              </w:rPr>
            </w:pPr>
            <w:r>
              <w:rPr>
                <w:rFonts w:eastAsiaTheme="minorEastAsia"/>
              </w:rPr>
              <w:t>0.67</w:t>
            </w:r>
          </w:p>
        </w:tc>
        <w:tc>
          <w:tcPr>
            <w:tcW w:w="3897" w:type="dxa"/>
            <w:vAlign w:val="center"/>
          </w:tcPr>
          <w:p w14:paraId="6E481528" w14:textId="77777777" w:rsidR="00BC0CFB" w:rsidRDefault="00BC0CFB" w:rsidP="00BC0CFB">
            <w:pPr>
              <w:jc w:val="center"/>
              <w:rPr>
                <w:rFonts w:eastAsiaTheme="minorEastAsia"/>
              </w:rPr>
            </w:pPr>
            <w:r>
              <w:rPr>
                <w:rFonts w:eastAsiaTheme="minorEastAsia"/>
              </w:rPr>
              <w:t>Expert opinion – approximately 2/3 of the young of the year grow enough to become juveniles in the next year.</w:t>
            </w:r>
          </w:p>
        </w:tc>
      </w:tr>
      <w:tr w:rsidR="00BC0CFB" w14:paraId="6B46C6D7" w14:textId="77777777" w:rsidTr="009E3840">
        <w:tc>
          <w:tcPr>
            <w:tcW w:w="1634" w:type="dxa"/>
            <w:vAlign w:val="center"/>
          </w:tcPr>
          <w:p w14:paraId="3955FE38" w14:textId="77777777" w:rsidR="00BC0CFB" w:rsidRDefault="00EC69D4"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861" w:type="dxa"/>
            <w:vAlign w:val="center"/>
          </w:tcPr>
          <w:p w14:paraId="330671D4" w14:textId="77777777" w:rsidR="00BC0CFB" w:rsidRDefault="00BC0CFB" w:rsidP="00BC0CFB">
            <w:pPr>
              <w:jc w:val="center"/>
              <w:rPr>
                <w:rFonts w:eastAsiaTheme="minorEastAsia"/>
              </w:rPr>
            </w:pPr>
            <w:r>
              <w:rPr>
                <w:rFonts w:eastAsiaTheme="minorEastAsia"/>
              </w:rPr>
              <w:t>Growth – Juvenile to Subadult</w:t>
            </w:r>
          </w:p>
        </w:tc>
        <w:tc>
          <w:tcPr>
            <w:tcW w:w="1076" w:type="dxa"/>
            <w:vAlign w:val="center"/>
          </w:tcPr>
          <w:p w14:paraId="1949906F" w14:textId="77777777" w:rsidR="00BC0CFB" w:rsidRDefault="00BC0CFB" w:rsidP="00BC0CFB">
            <w:pPr>
              <w:jc w:val="center"/>
              <w:rPr>
                <w:rFonts w:eastAsiaTheme="minorEastAsia"/>
              </w:rPr>
            </w:pPr>
            <w:r>
              <w:rPr>
                <w:rFonts w:eastAsiaTheme="minorEastAsia"/>
              </w:rPr>
              <w:t>0.5</w:t>
            </w:r>
          </w:p>
        </w:tc>
        <w:tc>
          <w:tcPr>
            <w:tcW w:w="3897" w:type="dxa"/>
            <w:vAlign w:val="center"/>
          </w:tcPr>
          <w:p w14:paraId="3636B191" w14:textId="77777777" w:rsidR="00BC0CFB" w:rsidRDefault="00BC0CFB" w:rsidP="00BC0CFB">
            <w:pPr>
              <w:jc w:val="center"/>
              <w:rPr>
                <w:rFonts w:eastAsiaTheme="minorEastAsia"/>
              </w:rPr>
            </w:pPr>
            <w:r>
              <w:rPr>
                <w:rFonts w:eastAsiaTheme="minorEastAsia"/>
              </w:rPr>
              <w:t>Expert opinion – juvenile stage typically lasts two years</w:t>
            </w:r>
          </w:p>
        </w:tc>
      </w:tr>
      <w:tr w:rsidR="00BC0CFB" w14:paraId="5FB341EB" w14:textId="77777777" w:rsidTr="009E3840">
        <w:tc>
          <w:tcPr>
            <w:tcW w:w="1634" w:type="dxa"/>
            <w:vAlign w:val="center"/>
          </w:tcPr>
          <w:p w14:paraId="154704AB" w14:textId="77777777" w:rsidR="00BC0CFB" w:rsidRDefault="00EC69D4"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861" w:type="dxa"/>
            <w:vAlign w:val="center"/>
          </w:tcPr>
          <w:p w14:paraId="608AD096" w14:textId="77777777" w:rsidR="00BC0CFB" w:rsidRDefault="00BC0CFB" w:rsidP="00BC0CFB">
            <w:pPr>
              <w:jc w:val="center"/>
              <w:rPr>
                <w:rFonts w:eastAsiaTheme="minorEastAsia"/>
              </w:rPr>
            </w:pPr>
            <w:r>
              <w:rPr>
                <w:rFonts w:eastAsiaTheme="minorEastAsia"/>
              </w:rPr>
              <w:t>Growth – Subadult to Adult</w:t>
            </w:r>
          </w:p>
        </w:tc>
        <w:tc>
          <w:tcPr>
            <w:tcW w:w="1076" w:type="dxa"/>
            <w:vAlign w:val="center"/>
          </w:tcPr>
          <w:p w14:paraId="4870FABC" w14:textId="77777777" w:rsidR="00BC0CFB" w:rsidRDefault="00BC0CFB" w:rsidP="00BC0CFB">
            <w:pPr>
              <w:jc w:val="center"/>
              <w:rPr>
                <w:rFonts w:eastAsiaTheme="minorEastAsia"/>
              </w:rPr>
            </w:pPr>
            <w:r>
              <w:rPr>
                <w:rFonts w:eastAsiaTheme="minorEastAsia"/>
              </w:rPr>
              <w:t>0.25</w:t>
            </w:r>
          </w:p>
        </w:tc>
        <w:tc>
          <w:tcPr>
            <w:tcW w:w="3897" w:type="dxa"/>
            <w:vAlign w:val="center"/>
          </w:tcPr>
          <w:p w14:paraId="314FDBE2" w14:textId="77777777" w:rsidR="00BC0CFB" w:rsidRDefault="00BC0CFB" w:rsidP="00BC0CFB">
            <w:pPr>
              <w:jc w:val="center"/>
              <w:rPr>
                <w:rFonts w:eastAsiaTheme="minorEastAsia"/>
              </w:rPr>
            </w:pPr>
            <w:r>
              <w:rPr>
                <w:rFonts w:eastAsiaTheme="minorEastAsia"/>
              </w:rPr>
              <w:t>Expert opinion – subadult stage typically lasts four years</w:t>
            </w:r>
          </w:p>
        </w:tc>
      </w:tr>
      <w:tr w:rsidR="00BC0CFB" w14:paraId="7104EF2A" w14:textId="77777777" w:rsidTr="009E3840">
        <w:tc>
          <w:tcPr>
            <w:tcW w:w="1634" w:type="dxa"/>
            <w:vAlign w:val="center"/>
          </w:tcPr>
          <w:p w14:paraId="7AF4C5E2" w14:textId="77777777" w:rsidR="00BC0CFB" w:rsidRDefault="00EC69D4"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861" w:type="dxa"/>
            <w:vAlign w:val="center"/>
          </w:tcPr>
          <w:p w14:paraId="1B58766D" w14:textId="77777777" w:rsidR="00BC0CFB" w:rsidRDefault="00BC0CFB" w:rsidP="00BC0CFB">
            <w:pPr>
              <w:jc w:val="center"/>
              <w:rPr>
                <w:rFonts w:eastAsiaTheme="minorEastAsia"/>
              </w:rPr>
            </w:pPr>
            <w:r>
              <w:rPr>
                <w:rFonts w:eastAsiaTheme="minorEastAsia"/>
              </w:rPr>
              <w:t>Fecundity – Adult</w:t>
            </w:r>
          </w:p>
        </w:tc>
        <w:tc>
          <w:tcPr>
            <w:tcW w:w="1076" w:type="dxa"/>
            <w:vAlign w:val="center"/>
          </w:tcPr>
          <w:p w14:paraId="2BC3E8E0" w14:textId="77777777" w:rsidR="00BC0CFB" w:rsidRDefault="00BC0CFB" w:rsidP="00BC0CFB">
            <w:pPr>
              <w:jc w:val="center"/>
              <w:rPr>
                <w:rFonts w:eastAsiaTheme="minorEastAsia"/>
              </w:rPr>
            </w:pPr>
            <w:r>
              <w:rPr>
                <w:rFonts w:eastAsiaTheme="minorEastAsia"/>
              </w:rPr>
              <w:t>4.5</w:t>
            </w:r>
          </w:p>
        </w:tc>
        <w:tc>
          <w:tcPr>
            <w:tcW w:w="3897" w:type="dxa"/>
            <w:vAlign w:val="center"/>
          </w:tcPr>
          <w:p w14:paraId="15C99279" w14:textId="1DCF4A98" w:rsidR="00BC0CFB" w:rsidRPr="005F08A1" w:rsidRDefault="00BC0CFB" w:rsidP="00BC0CFB">
            <w:pPr>
              <w:jc w:val="center"/>
              <w:rPr>
                <w:rFonts w:eastAsiaTheme="minorEastAsia"/>
              </w:rPr>
            </w:pPr>
            <w:r>
              <w:rPr>
                <w:rFonts w:eastAsiaTheme="minorEastAsia"/>
              </w:rPr>
              <w:t>Average clutch size is 18 (range = 12-</w:t>
            </w:r>
            <w:proofErr w:type="gramStart"/>
            <w:r>
              <w:rPr>
                <w:rFonts w:eastAsiaTheme="minorEastAsia"/>
              </w:rPr>
              <w:t>32)</w:t>
            </w:r>
            <w:r w:rsidRPr="00436159">
              <w:rPr>
                <w:rFonts w:eastAsiaTheme="minorEastAsia"/>
                <w:vertAlign w:val="superscript"/>
              </w:rPr>
              <w:t>b</w:t>
            </w:r>
            <w:proofErr w:type="gramEnd"/>
            <w:r w:rsidRPr="00436159">
              <w:rPr>
                <w:rFonts w:eastAsiaTheme="minorEastAsia"/>
                <w:vertAlign w:val="superscript"/>
              </w:rPr>
              <w:t>,c</w:t>
            </w:r>
            <w:r>
              <w:rPr>
                <w:rFonts w:eastAsiaTheme="minorEastAsia"/>
              </w:rPr>
              <w:t xml:space="preserve"> This clutch size is multiplied by 0.5 because only females produce young (assumes a 50:50 sex ratio) and multiplied by 0.5 again because females reproduce </w:t>
            </w:r>
            <w:proofErr w:type="spellStart"/>
            <w:r>
              <w:rPr>
                <w:rFonts w:eastAsiaTheme="minorEastAsia"/>
              </w:rPr>
              <w:t>biennially</w:t>
            </w:r>
            <w:r w:rsidR="009B75B9">
              <w:rPr>
                <w:rFonts w:eastAsiaTheme="minorEastAsia"/>
                <w:vertAlign w:val="superscript"/>
              </w:rPr>
              <w:t>c</w:t>
            </w:r>
            <w:proofErr w:type="spellEnd"/>
          </w:p>
        </w:tc>
      </w:tr>
      <w:tr w:rsidR="00BC0CFB" w14:paraId="03494396" w14:textId="77777777" w:rsidTr="009E3840">
        <w:tc>
          <w:tcPr>
            <w:tcW w:w="1634" w:type="dxa"/>
            <w:vAlign w:val="center"/>
          </w:tcPr>
          <w:p w14:paraId="65581BD6" w14:textId="77777777" w:rsidR="00BC0CFB" w:rsidRDefault="00EC69D4"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861" w:type="dxa"/>
            <w:vAlign w:val="center"/>
          </w:tcPr>
          <w:p w14:paraId="0030CB12" w14:textId="77777777" w:rsidR="00BC0CFB" w:rsidRDefault="00BC0CFB" w:rsidP="00BC0CFB">
            <w:pPr>
              <w:jc w:val="center"/>
              <w:rPr>
                <w:rFonts w:eastAsiaTheme="minorEastAsia"/>
              </w:rPr>
            </w:pPr>
            <w:r>
              <w:rPr>
                <w:rFonts w:eastAsiaTheme="minorEastAsia"/>
              </w:rPr>
              <w:t>Fecundity – Subadult</w:t>
            </w:r>
          </w:p>
        </w:tc>
        <w:tc>
          <w:tcPr>
            <w:tcW w:w="1076" w:type="dxa"/>
            <w:vAlign w:val="center"/>
          </w:tcPr>
          <w:p w14:paraId="6AEB1B59" w14:textId="77777777" w:rsidR="00BC0CFB" w:rsidRDefault="00BC0CFB" w:rsidP="00BC0CFB">
            <w:pPr>
              <w:jc w:val="center"/>
              <w:rPr>
                <w:rFonts w:eastAsiaTheme="minorEastAsia"/>
              </w:rPr>
            </w:pPr>
            <w:r>
              <w:rPr>
                <w:rFonts w:eastAsiaTheme="minorEastAsia"/>
              </w:rPr>
              <w:t>2</w:t>
            </w:r>
          </w:p>
        </w:tc>
        <w:tc>
          <w:tcPr>
            <w:tcW w:w="3897" w:type="dxa"/>
            <w:vAlign w:val="center"/>
          </w:tcPr>
          <w:p w14:paraId="58850CCF" w14:textId="77777777" w:rsidR="00BC0CFB" w:rsidRDefault="00BC0CFB" w:rsidP="00BC0CFB">
            <w:pPr>
              <w:jc w:val="center"/>
              <w:rPr>
                <w:rFonts w:eastAsiaTheme="minorEastAsia"/>
              </w:rPr>
            </w:pPr>
            <w:r>
              <w:rPr>
                <w:rFonts w:eastAsiaTheme="minorEastAsia"/>
              </w:rPr>
              <w:t>Expert opinion – some larger subadults may breed, but with a lower breeding probability</w:t>
            </w:r>
          </w:p>
        </w:tc>
      </w:tr>
    </w:tbl>
    <w:p w14:paraId="54BB7143" w14:textId="7E7A2C69" w:rsidR="00BC0CFB" w:rsidRDefault="009B75B9" w:rsidP="00BC0CFB">
      <w:pPr>
        <w:spacing w:after="0" w:line="240" w:lineRule="auto"/>
        <w:rPr>
          <w:rFonts w:eastAsiaTheme="minorEastAsia"/>
        </w:rPr>
      </w:pPr>
      <w:proofErr w:type="spellStart"/>
      <w:r>
        <w:rPr>
          <w:rFonts w:eastAsiaTheme="minorEastAsia"/>
          <w:vertAlign w:val="superscript"/>
        </w:rPr>
        <w:t>a</w:t>
      </w:r>
      <w:r w:rsidR="00BC0CFB">
        <w:rPr>
          <w:rFonts w:eastAsiaTheme="minorEastAsia"/>
        </w:rPr>
        <w:fldChar w:fldCharType="begin" w:fldLock="1"/>
      </w:r>
      <w:r w:rsidR="00BC0CFB">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BC0CFB">
        <w:rPr>
          <w:rFonts w:eastAsiaTheme="minorEastAsia"/>
        </w:rPr>
        <w:fldChar w:fldCharType="separate"/>
      </w:r>
      <w:r w:rsidR="00BC0CFB" w:rsidRPr="004641A5">
        <w:rPr>
          <w:rFonts w:eastAsiaTheme="minorEastAsia"/>
          <w:noProof/>
        </w:rPr>
        <w:t>Tolson</w:t>
      </w:r>
      <w:proofErr w:type="spellEnd"/>
      <w:r w:rsidR="00BC0CFB" w:rsidRPr="004641A5">
        <w:rPr>
          <w:rFonts w:eastAsiaTheme="minorEastAsia"/>
          <w:noProof/>
        </w:rPr>
        <w:t xml:space="preserve"> 1992</w:t>
      </w:r>
      <w:r w:rsidR="00BC0CFB">
        <w:rPr>
          <w:rFonts w:eastAsiaTheme="minorEastAsia"/>
        </w:rPr>
        <w:fldChar w:fldCharType="end"/>
      </w:r>
    </w:p>
    <w:p w14:paraId="35F500EA" w14:textId="7949FF88" w:rsidR="00BC0CFB" w:rsidRDefault="009B75B9" w:rsidP="00BC0CFB">
      <w:pPr>
        <w:spacing w:after="0" w:line="240" w:lineRule="auto"/>
        <w:rPr>
          <w:rFonts w:eastAsiaTheme="minorEastAsia"/>
        </w:rPr>
      </w:pPr>
      <w:proofErr w:type="spellStart"/>
      <w:r>
        <w:rPr>
          <w:rFonts w:eastAsiaTheme="minorEastAsia"/>
          <w:vertAlign w:val="superscript"/>
        </w:rPr>
        <w:t>b</w:t>
      </w:r>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BC0CFB">
        <w:rPr>
          <w:rFonts w:eastAsiaTheme="minorEastAsia"/>
          <w:vertAlign w:val="superscript"/>
        </w:rPr>
        <w:fldChar w:fldCharType="separate"/>
      </w:r>
      <w:r w:rsidR="00BC0CFB" w:rsidRPr="004641A5">
        <w:rPr>
          <w:rFonts w:eastAsiaTheme="minorEastAsia"/>
          <w:noProof/>
        </w:rPr>
        <w:t>Puente</w:t>
      </w:r>
      <w:r w:rsidR="00BC0CFB">
        <w:rPr>
          <w:rFonts w:eastAsiaTheme="minorEastAsia"/>
          <w:noProof/>
        </w:rPr>
        <w:t>-</w:t>
      </w:r>
      <w:r w:rsidR="00BC0CFB" w:rsidRPr="004641A5">
        <w:rPr>
          <w:rFonts w:eastAsiaTheme="minorEastAsia"/>
          <w:noProof/>
        </w:rPr>
        <w:t>Rolon</w:t>
      </w:r>
      <w:proofErr w:type="spellEnd"/>
      <w:r w:rsidR="00BC0CFB" w:rsidRPr="004641A5">
        <w:rPr>
          <w:rFonts w:eastAsiaTheme="minorEastAsia"/>
          <w:noProof/>
        </w:rPr>
        <w:t xml:space="preserve"> 2012</w:t>
      </w:r>
      <w:r w:rsidR="00BC0CFB">
        <w:rPr>
          <w:rFonts w:eastAsiaTheme="minorEastAsia"/>
          <w:vertAlign w:val="superscript"/>
        </w:rPr>
        <w:fldChar w:fldCharType="end"/>
      </w:r>
    </w:p>
    <w:p w14:paraId="1330E83A" w14:textId="7CF3A0DD" w:rsidR="00BC0CFB" w:rsidRPr="009002A2" w:rsidRDefault="009B75B9" w:rsidP="00BC0CFB">
      <w:pPr>
        <w:spacing w:after="0" w:line="240" w:lineRule="auto"/>
        <w:rPr>
          <w:rFonts w:eastAsiaTheme="minorEastAsia"/>
        </w:rPr>
      </w:pPr>
      <w:proofErr w:type="spellStart"/>
      <w:r>
        <w:rPr>
          <w:rFonts w:eastAsiaTheme="minorEastAsia"/>
          <w:vertAlign w:val="superscript"/>
        </w:rPr>
        <w:t>c</w:t>
      </w:r>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sidR="00BC0CFB">
        <w:rPr>
          <w:rFonts w:eastAsiaTheme="minorEastAsia"/>
          <w:vertAlign w:val="superscript"/>
        </w:rPr>
        <w:fldChar w:fldCharType="separate"/>
      </w:r>
      <w:r w:rsidR="00BC0CFB" w:rsidRPr="009002A2">
        <w:rPr>
          <w:rFonts w:eastAsiaTheme="minorEastAsia"/>
          <w:noProof/>
        </w:rPr>
        <w:t>Huff</w:t>
      </w:r>
      <w:proofErr w:type="spellEnd"/>
      <w:r w:rsidR="00BC0CFB" w:rsidRPr="009002A2">
        <w:rPr>
          <w:rFonts w:eastAsiaTheme="minorEastAsia"/>
          <w:noProof/>
        </w:rPr>
        <w:t xml:space="preserve"> 1978</w:t>
      </w:r>
      <w:r w:rsidR="00BC0CFB">
        <w:rPr>
          <w:rFonts w:eastAsiaTheme="minorEastAsia"/>
          <w:vertAlign w:val="superscript"/>
        </w:rPr>
        <w:fldChar w:fldCharType="end"/>
      </w:r>
    </w:p>
    <w:p w14:paraId="5649BD07" w14:textId="77777777" w:rsidR="00BC0CFB" w:rsidRDefault="00BC0CFB" w:rsidP="00BC0CFB">
      <w:pPr>
        <w:spacing w:after="0" w:line="480" w:lineRule="auto"/>
        <w:rPr>
          <w:rFonts w:eastAsiaTheme="minorEastAsia"/>
        </w:rPr>
      </w:pPr>
    </w:p>
    <w:p w14:paraId="5CB9AF94" w14:textId="2FA5549F" w:rsidR="00BC0CFB" w:rsidRDefault="00BC0CFB" w:rsidP="006D6A6C">
      <w:pPr>
        <w:spacing w:line="480" w:lineRule="auto"/>
      </w:pPr>
    </w:p>
    <w:p w14:paraId="7E8B63B3" w14:textId="77777777" w:rsidR="00FF62D9" w:rsidRDefault="00FF62D9" w:rsidP="00FF62D9">
      <w:pPr>
        <w:spacing w:after="0" w:line="480" w:lineRule="auto"/>
        <w:ind w:firstLine="720"/>
        <w:rPr>
          <w:b/>
          <w:bCs/>
        </w:rPr>
      </w:pPr>
    </w:p>
    <w:p w14:paraId="447CB45A" w14:textId="77777777" w:rsidR="00FF62D9" w:rsidRDefault="00FF62D9" w:rsidP="00FF62D9">
      <w:pPr>
        <w:spacing w:after="0" w:line="480" w:lineRule="auto"/>
        <w:ind w:firstLine="720"/>
        <w:rPr>
          <w:b/>
          <w:bCs/>
        </w:rPr>
      </w:pPr>
    </w:p>
    <w:p w14:paraId="7F1FB0F1" w14:textId="576FBB4B" w:rsidR="00FF62D9" w:rsidRDefault="00FF62D9" w:rsidP="00FF62D9">
      <w:pPr>
        <w:spacing w:after="0" w:line="240" w:lineRule="auto"/>
        <w:rPr>
          <w:rFonts w:cstheme="minorHAnsi"/>
        </w:rPr>
      </w:pPr>
      <w:r>
        <w:rPr>
          <w:b/>
          <w:bCs/>
        </w:rPr>
        <w:lastRenderedPageBreak/>
        <w:t>Table 2.</w:t>
      </w:r>
      <w:r>
        <w:t xml:space="preserve"> The probabilities of quasi-extinction, population growth, and population decrease for each scenario. We evaluated quasi-extinction probability at four thresholds due to our uncertainties about how that threshold should be determined. The probability of population growth and decline are the proportion of replicates in which the average population growth rate (</w:t>
      </w:r>
      <w:r>
        <w:rPr>
          <w:rFonts w:cstheme="minorHAnsi"/>
        </w:rPr>
        <w:t>λ</w:t>
      </w:r>
      <w:r>
        <w:t>) was greater than 1 or less than 1, respectively.</w:t>
      </w:r>
      <w:r w:rsidRPr="002F2ADF">
        <w:rPr>
          <w:rFonts w:cstheme="minorHAnsi"/>
        </w:rPr>
        <w:t xml:space="preserve"> </w:t>
      </w:r>
      <w:r w:rsidRPr="00382BB7">
        <w:rPr>
          <w:rFonts w:cstheme="minorHAnsi"/>
        </w:rPr>
        <w:t>Average population growth rate and percent change in population size are presented as the median and 95% quantiles among all replicates.</w:t>
      </w:r>
    </w:p>
    <w:p w14:paraId="747122A1" w14:textId="77777777" w:rsidR="009E3840" w:rsidRDefault="009E3840" w:rsidP="00FF62D9">
      <w:pPr>
        <w:spacing w:after="0" w:line="240" w:lineRule="auto"/>
      </w:pPr>
    </w:p>
    <w:tbl>
      <w:tblPr>
        <w:tblStyle w:val="TableGrid2"/>
        <w:tblW w:w="97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FF62D9" w:rsidRPr="00382BB7" w14:paraId="5731A8AB" w14:textId="77777777" w:rsidTr="00FF62D9">
        <w:trPr>
          <w:trHeight w:val="783"/>
        </w:trPr>
        <w:tc>
          <w:tcPr>
            <w:tcW w:w="900" w:type="dxa"/>
            <w:vMerge w:val="restart"/>
            <w:tcBorders>
              <w:top w:val="single" w:sz="4" w:space="0" w:color="auto"/>
            </w:tcBorders>
            <w:vAlign w:val="center"/>
          </w:tcPr>
          <w:p w14:paraId="7DD3FBFE"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48773596"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204F8E2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r>
              <w:rPr>
                <w:rFonts w:asciiTheme="minorHAnsi" w:hAnsiTheme="minorHAnsi" w:cstheme="minorHAnsi"/>
                <w:sz w:val="22"/>
                <w:szCs w:val="22"/>
              </w:rPr>
              <w:t xml:space="preserve"> (λ ≥ 1)</w:t>
            </w:r>
          </w:p>
        </w:tc>
        <w:tc>
          <w:tcPr>
            <w:tcW w:w="1620" w:type="dxa"/>
            <w:vMerge w:val="restart"/>
            <w:tcBorders>
              <w:top w:val="single" w:sz="4" w:space="0" w:color="auto"/>
            </w:tcBorders>
            <w:vAlign w:val="center"/>
          </w:tcPr>
          <w:p w14:paraId="270CBBF8"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E93D81C"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decline</w:t>
            </w:r>
            <w:r>
              <w:rPr>
                <w:rFonts w:asciiTheme="minorHAnsi" w:hAnsiTheme="minorHAnsi" w:cstheme="minorHAnsi"/>
                <w:sz w:val="22"/>
                <w:szCs w:val="22"/>
              </w:rPr>
              <w:t xml:space="preserve"> (λ &lt; 1) </w:t>
            </w:r>
          </w:p>
        </w:tc>
        <w:tc>
          <w:tcPr>
            <w:tcW w:w="1620" w:type="dxa"/>
            <w:vMerge w:val="restart"/>
            <w:tcBorders>
              <w:top w:val="single" w:sz="4" w:space="0" w:color="auto"/>
            </w:tcBorders>
            <w:vAlign w:val="center"/>
          </w:tcPr>
          <w:p w14:paraId="78D67ACB" w14:textId="77777777" w:rsidR="00FF62D9" w:rsidRPr="00382BB7" w:rsidRDefault="00FF62D9" w:rsidP="002D1307">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FF62D9" w:rsidRPr="00382BB7" w14:paraId="58B3BB63" w14:textId="77777777" w:rsidTr="00FF62D9">
        <w:trPr>
          <w:trHeight w:val="270"/>
        </w:trPr>
        <w:tc>
          <w:tcPr>
            <w:tcW w:w="900" w:type="dxa"/>
            <w:vMerge/>
            <w:tcBorders>
              <w:bottom w:val="single" w:sz="4" w:space="0" w:color="auto"/>
            </w:tcBorders>
            <w:vAlign w:val="center"/>
          </w:tcPr>
          <w:p w14:paraId="272089C1" w14:textId="77777777" w:rsidR="00FF62D9" w:rsidRPr="00382BB7" w:rsidRDefault="00FF62D9" w:rsidP="002D1307">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6517E9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F7239A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7C1A8A7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213FE0E9"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AA41C18"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4D68933"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655A6A7A" w14:textId="77777777" w:rsidR="00FF62D9" w:rsidRPr="00382BB7" w:rsidRDefault="00FF62D9" w:rsidP="002D1307">
            <w:pPr>
              <w:jc w:val="center"/>
              <w:rPr>
                <w:rFonts w:asciiTheme="minorHAnsi" w:hAnsiTheme="minorHAnsi" w:cstheme="minorHAnsi"/>
                <w:sz w:val="22"/>
                <w:szCs w:val="22"/>
              </w:rPr>
            </w:pPr>
          </w:p>
        </w:tc>
      </w:tr>
      <w:tr w:rsidR="00FF62D9" w:rsidRPr="00382BB7" w14:paraId="742E55E8" w14:textId="77777777" w:rsidTr="00FF62D9">
        <w:trPr>
          <w:trHeight w:val="691"/>
        </w:trPr>
        <w:tc>
          <w:tcPr>
            <w:tcW w:w="900" w:type="dxa"/>
            <w:tcBorders>
              <w:top w:val="single" w:sz="4" w:space="0" w:color="auto"/>
            </w:tcBorders>
            <w:vAlign w:val="center"/>
          </w:tcPr>
          <w:p w14:paraId="0228A27B"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6BEDF02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2223974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4A6EB6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461682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77E4767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12A1306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4CC9FD5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1.00</w:t>
            </w:r>
          </w:p>
          <w:p w14:paraId="7C08AEFF"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(0.933, 1.06)</w:t>
            </w:r>
          </w:p>
        </w:tc>
      </w:tr>
      <w:tr w:rsidR="00FF62D9" w:rsidRPr="00382BB7" w14:paraId="467E526A" w14:textId="77777777" w:rsidTr="00FF62D9">
        <w:trPr>
          <w:trHeight w:val="606"/>
        </w:trPr>
        <w:tc>
          <w:tcPr>
            <w:tcW w:w="900" w:type="dxa"/>
            <w:vAlign w:val="center"/>
          </w:tcPr>
          <w:p w14:paraId="30A2AD6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6BE40A15"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2663BF8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5BB6F66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517CA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4CB6C44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1A93C4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31EB5E95"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0.994</w:t>
            </w:r>
          </w:p>
          <w:p w14:paraId="2D984AE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(0.927, 1.06)</w:t>
            </w:r>
          </w:p>
        </w:tc>
      </w:tr>
      <w:tr w:rsidR="00FF62D9" w:rsidRPr="00382BB7" w14:paraId="4AE31801" w14:textId="77777777" w:rsidTr="00FF62D9">
        <w:trPr>
          <w:trHeight w:val="675"/>
        </w:trPr>
        <w:tc>
          <w:tcPr>
            <w:tcW w:w="900" w:type="dxa"/>
            <w:vAlign w:val="center"/>
          </w:tcPr>
          <w:p w14:paraId="772C85D2"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0216B6EA"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C73D89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34911C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653C69A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59AEA58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C1209A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7B09606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0.987</w:t>
            </w:r>
          </w:p>
          <w:p w14:paraId="31C418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(0.921, 1.05)</w:t>
            </w:r>
          </w:p>
        </w:tc>
      </w:tr>
      <w:tr w:rsidR="00FF62D9" w:rsidRPr="00382BB7" w14:paraId="20BF94BE" w14:textId="77777777" w:rsidTr="00FF62D9">
        <w:trPr>
          <w:trHeight w:val="667"/>
        </w:trPr>
        <w:tc>
          <w:tcPr>
            <w:tcW w:w="900" w:type="dxa"/>
            <w:vAlign w:val="center"/>
          </w:tcPr>
          <w:p w14:paraId="051CC68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3BF87BD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6B49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8714B5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D644CA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1BDC984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8CAA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10D559FD"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0.981</w:t>
            </w:r>
          </w:p>
          <w:p w14:paraId="63E9F096"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(0.916, 1.04)</w:t>
            </w:r>
          </w:p>
        </w:tc>
      </w:tr>
    </w:tbl>
    <w:p w14:paraId="70BA063A" w14:textId="77777777" w:rsidR="00FF62D9" w:rsidRDefault="00FF62D9" w:rsidP="00FF62D9">
      <w:pPr>
        <w:spacing w:after="0" w:line="240" w:lineRule="auto"/>
      </w:pPr>
      <w:r>
        <w:t xml:space="preserve"> </w:t>
      </w:r>
    </w:p>
    <w:p w14:paraId="74AC2E9A" w14:textId="77777777" w:rsidR="00FF62D9" w:rsidRDefault="00FF62D9" w:rsidP="006D6A6C">
      <w:pPr>
        <w:spacing w:line="480" w:lineRule="auto"/>
      </w:pPr>
    </w:p>
    <w:p w14:paraId="61439D83" w14:textId="39092FC7" w:rsidR="00BC0CFB" w:rsidRDefault="00BC0CFB" w:rsidP="006D6A6C">
      <w:pPr>
        <w:spacing w:line="480" w:lineRule="auto"/>
      </w:pPr>
    </w:p>
    <w:p w14:paraId="307AAE0D" w14:textId="64A82E18" w:rsidR="00FF62D9" w:rsidRDefault="00FF62D9" w:rsidP="006D6A6C">
      <w:pPr>
        <w:spacing w:line="480" w:lineRule="auto"/>
      </w:pPr>
    </w:p>
    <w:p w14:paraId="22FD41E3" w14:textId="4F30E26B" w:rsidR="00FF62D9" w:rsidRDefault="00FF62D9" w:rsidP="006D6A6C">
      <w:pPr>
        <w:spacing w:line="480" w:lineRule="auto"/>
      </w:pPr>
    </w:p>
    <w:p w14:paraId="216AF226" w14:textId="7861978E" w:rsidR="00FF62D9" w:rsidRDefault="00FF62D9" w:rsidP="006D6A6C">
      <w:pPr>
        <w:spacing w:line="480" w:lineRule="auto"/>
      </w:pPr>
    </w:p>
    <w:p w14:paraId="53002A21" w14:textId="7B1AF636" w:rsidR="00FF62D9" w:rsidRDefault="00FF62D9" w:rsidP="006D6A6C">
      <w:pPr>
        <w:spacing w:line="480" w:lineRule="auto"/>
      </w:pPr>
    </w:p>
    <w:p w14:paraId="54646004" w14:textId="57C45000" w:rsidR="00FF62D9" w:rsidRDefault="00FF62D9" w:rsidP="006D6A6C">
      <w:pPr>
        <w:spacing w:line="480" w:lineRule="auto"/>
      </w:pPr>
    </w:p>
    <w:p w14:paraId="213DF4B5" w14:textId="405164A3" w:rsidR="00FF62D9" w:rsidRDefault="00FF62D9" w:rsidP="006D6A6C">
      <w:pPr>
        <w:spacing w:line="480" w:lineRule="auto"/>
      </w:pPr>
    </w:p>
    <w:p w14:paraId="0D8EA6E5" w14:textId="09D0307C" w:rsidR="00FF62D9" w:rsidRDefault="00FF62D9" w:rsidP="006D6A6C">
      <w:pPr>
        <w:spacing w:line="480" w:lineRule="auto"/>
      </w:pPr>
    </w:p>
    <w:p w14:paraId="2202805D" w14:textId="77777777" w:rsidR="00FF62D9" w:rsidRDefault="00FF62D9" w:rsidP="006D6A6C">
      <w:pPr>
        <w:spacing w:line="480" w:lineRule="auto"/>
      </w:pPr>
    </w:p>
    <w:p w14:paraId="0A692413" w14:textId="77777777" w:rsidR="00BC0CFB" w:rsidRDefault="00BC0CFB" w:rsidP="00BC0CFB">
      <w:pPr>
        <w:spacing w:after="0" w:line="480" w:lineRule="auto"/>
        <w:jc w:val="center"/>
      </w:pPr>
      <w:r>
        <w:rPr>
          <w:noProof/>
        </w:rPr>
        <w:lastRenderedPageBreak/>
        <w:drawing>
          <wp:inline distT="0" distB="0" distL="0" distR="0" wp14:anchorId="32AD7715" wp14:editId="43BE2124">
            <wp:extent cx="5943600" cy="2780665"/>
            <wp:effectExtent l="0" t="0" r="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boa_life-cycle_y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7E99A6F8" w14:textId="77777777" w:rsidR="00BC0CFB" w:rsidRDefault="00BC0CFB" w:rsidP="00BC0CFB">
      <w:pPr>
        <w:spacing w:after="0" w:line="480" w:lineRule="auto"/>
      </w:pPr>
    </w:p>
    <w:p w14:paraId="67A76F87" w14:textId="77777777" w:rsidR="00BC0CFB" w:rsidRDefault="00BC0CFB" w:rsidP="00BC0CFB">
      <w:pPr>
        <w:spacing w:after="0" w:line="480" w:lineRule="auto"/>
      </w:pPr>
      <w:r w:rsidRPr="002A6EAC">
        <w:rPr>
          <w:b/>
          <w:bCs/>
        </w:rPr>
        <w:t>Figure 1</w:t>
      </w:r>
      <w:r>
        <w:t>. Life cycle and stage-based matrix model for the Puerto Rican boa.</w:t>
      </w:r>
    </w:p>
    <w:p w14:paraId="1D6E7C91" w14:textId="77777777" w:rsidR="00BC0CFB" w:rsidRDefault="00BC0CFB" w:rsidP="00BC0CFB">
      <w:pPr>
        <w:spacing w:after="0" w:line="480" w:lineRule="auto"/>
      </w:pPr>
      <w:r>
        <w:t xml:space="preserve"> </w:t>
      </w:r>
    </w:p>
    <w:p w14:paraId="1B2B13EE" w14:textId="4C43412C" w:rsidR="00BC0CFB" w:rsidRDefault="00BC0CFB" w:rsidP="006D6A6C">
      <w:pPr>
        <w:spacing w:line="480" w:lineRule="auto"/>
      </w:pPr>
    </w:p>
    <w:p w14:paraId="4B281E1C" w14:textId="65D00DC4" w:rsidR="00BC0CFB" w:rsidRDefault="00BC0CFB" w:rsidP="006D6A6C">
      <w:pPr>
        <w:spacing w:line="480" w:lineRule="auto"/>
      </w:pPr>
    </w:p>
    <w:p w14:paraId="79AD11CF" w14:textId="69018216" w:rsidR="00BC0CFB" w:rsidRDefault="00BC0CFB" w:rsidP="006D6A6C">
      <w:pPr>
        <w:spacing w:line="480" w:lineRule="auto"/>
      </w:pPr>
    </w:p>
    <w:p w14:paraId="79E87A34" w14:textId="340028EC" w:rsidR="00BC0CFB" w:rsidRDefault="00BC0CFB" w:rsidP="006D6A6C">
      <w:pPr>
        <w:spacing w:line="480" w:lineRule="auto"/>
      </w:pPr>
    </w:p>
    <w:p w14:paraId="052EB5B9" w14:textId="4C401C4D" w:rsidR="00BC0CFB" w:rsidRDefault="00BC0CFB" w:rsidP="006D6A6C">
      <w:pPr>
        <w:spacing w:line="480" w:lineRule="auto"/>
      </w:pPr>
    </w:p>
    <w:p w14:paraId="528A9A00" w14:textId="7A030702" w:rsidR="00BC0CFB" w:rsidRDefault="00BC0CFB" w:rsidP="006D6A6C">
      <w:pPr>
        <w:spacing w:line="480" w:lineRule="auto"/>
      </w:pPr>
    </w:p>
    <w:p w14:paraId="6130CABD" w14:textId="5AE2339E" w:rsidR="00BC0CFB" w:rsidRDefault="00BC0CFB" w:rsidP="006D6A6C">
      <w:pPr>
        <w:spacing w:line="480" w:lineRule="auto"/>
      </w:pPr>
    </w:p>
    <w:p w14:paraId="32E3119C" w14:textId="2D3690F3" w:rsidR="00BC0CFB" w:rsidRDefault="00BC0CFB" w:rsidP="006D6A6C">
      <w:pPr>
        <w:spacing w:line="480" w:lineRule="auto"/>
      </w:pPr>
    </w:p>
    <w:p w14:paraId="12B1150D" w14:textId="77777777" w:rsidR="00BC0CFB" w:rsidRDefault="00BC0CFB" w:rsidP="006D6A6C">
      <w:pPr>
        <w:spacing w:line="480" w:lineRule="auto"/>
      </w:pPr>
    </w:p>
    <w:p w14:paraId="37D187A3" w14:textId="77777777" w:rsidR="00BC0CFB" w:rsidRDefault="00BC0CFB" w:rsidP="00BC0CFB">
      <w:pPr>
        <w:spacing w:after="0" w:line="480" w:lineRule="auto"/>
        <w:rPr>
          <w:rFonts w:eastAsiaTheme="minorEastAsia"/>
        </w:rPr>
      </w:pPr>
    </w:p>
    <w:p w14:paraId="7C4D3DE5" w14:textId="77777777" w:rsidR="00BC0CFB" w:rsidRDefault="00BC0CFB" w:rsidP="00BC0CFB">
      <w:pPr>
        <w:spacing w:after="0" w:line="480" w:lineRule="auto"/>
        <w:rPr>
          <w:rFonts w:eastAsiaTheme="minorEastAsia"/>
        </w:rPr>
      </w:pPr>
      <w:r>
        <w:rPr>
          <w:rFonts w:eastAsiaTheme="minorEastAsia"/>
          <w:noProof/>
        </w:rPr>
        <w:lastRenderedPageBreak/>
        <w:drawing>
          <wp:inline distT="0" distB="0" distL="0" distR="0" wp14:anchorId="7E275F32" wp14:editId="477C09C2">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2"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3A4C778C" w14:textId="77777777" w:rsidR="00BC0CFB" w:rsidRDefault="00BC0CFB" w:rsidP="00BC0CFB">
      <w:pPr>
        <w:spacing w:after="0" w:line="240" w:lineRule="auto"/>
        <w:rPr>
          <w:rFonts w:eastAsiaTheme="minorEastAsia"/>
          <w:b/>
          <w:bCs/>
        </w:rPr>
      </w:pPr>
    </w:p>
    <w:p w14:paraId="22930B5B" w14:textId="04A78FF0" w:rsidR="00BC0CFB" w:rsidRPr="00AA518B" w:rsidRDefault="00BC0CFB" w:rsidP="00BC0CFB">
      <w:pPr>
        <w:spacing w:after="0" w:line="240" w:lineRule="auto"/>
        <w:rPr>
          <w:rFonts w:eastAsiaTheme="minorEastAsia"/>
        </w:rPr>
      </w:pPr>
      <w:r>
        <w:rPr>
          <w:rFonts w:eastAsiaTheme="minorEastAsia"/>
          <w:b/>
          <w:bCs/>
        </w:rPr>
        <w:t>Figure 2.</w:t>
      </w:r>
      <w:r>
        <w:rPr>
          <w:rFonts w:eastAsiaTheme="minorEastAsia"/>
        </w:rPr>
        <w:t xml:space="preserve"> 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w:t>
      </w:r>
      <w:r w:rsidR="009E3840">
        <w:rPr>
          <w:rFonts w:eastAsiaTheme="minorEastAsia"/>
        </w:rPr>
        <w:t>ed</w:t>
      </w:r>
      <w:r>
        <w:rPr>
          <w:rFonts w:eastAsiaTheme="minorEastAsia"/>
        </w:rPr>
        <w:t xml:space="preserve"> rural) versus natural (sparsely-populated rural) areas.</w:t>
      </w:r>
    </w:p>
    <w:p w14:paraId="40D91A5F" w14:textId="77777777" w:rsidR="00BC0CFB" w:rsidRDefault="00BC0CFB" w:rsidP="006D6A6C">
      <w:pPr>
        <w:spacing w:line="480" w:lineRule="auto"/>
      </w:pPr>
    </w:p>
    <w:p w14:paraId="3FF31896" w14:textId="77777777" w:rsidR="00FF62D9" w:rsidRDefault="00FF62D9" w:rsidP="006D6A6C">
      <w:pPr>
        <w:spacing w:line="480" w:lineRule="auto"/>
      </w:pPr>
    </w:p>
    <w:p w14:paraId="6E2CBF37" w14:textId="77777777" w:rsidR="00FF62D9" w:rsidRDefault="00FF62D9" w:rsidP="006D6A6C">
      <w:pPr>
        <w:spacing w:line="480" w:lineRule="auto"/>
      </w:pPr>
    </w:p>
    <w:p w14:paraId="7BFA34C4" w14:textId="77777777" w:rsidR="00FF62D9" w:rsidRDefault="00FF62D9" w:rsidP="006D6A6C">
      <w:pPr>
        <w:spacing w:line="480" w:lineRule="auto"/>
      </w:pPr>
    </w:p>
    <w:p w14:paraId="6F886A9D" w14:textId="77777777" w:rsidR="00FF62D9" w:rsidRDefault="00FF62D9" w:rsidP="006D6A6C">
      <w:pPr>
        <w:spacing w:line="480" w:lineRule="auto"/>
      </w:pPr>
    </w:p>
    <w:p w14:paraId="2056B92D" w14:textId="77777777" w:rsidR="00FF62D9" w:rsidRPr="009627CF" w:rsidRDefault="00FF62D9" w:rsidP="00FF62D9">
      <w:pPr>
        <w:spacing w:after="0" w:line="480" w:lineRule="auto"/>
        <w:ind w:firstLine="720"/>
      </w:pPr>
    </w:p>
    <w:p w14:paraId="3A0AC3AC" w14:textId="77777777" w:rsidR="00FF62D9" w:rsidRPr="009627CF" w:rsidRDefault="00FF62D9" w:rsidP="00FF62D9">
      <w:pPr>
        <w:spacing w:after="0" w:line="480" w:lineRule="auto"/>
        <w:ind w:firstLine="720"/>
        <w:rPr>
          <w:rFonts w:eastAsiaTheme="minorEastAsia"/>
          <w:i/>
          <w:iCs/>
        </w:rPr>
      </w:pPr>
    </w:p>
    <w:p w14:paraId="4A016C89" w14:textId="77777777" w:rsidR="00FF62D9" w:rsidRDefault="00FF62D9" w:rsidP="00FF62D9">
      <w:pPr>
        <w:spacing w:after="0" w:line="480" w:lineRule="auto"/>
        <w:rPr>
          <w:rFonts w:eastAsiaTheme="minorEastAsia"/>
          <w:noProof/>
        </w:rPr>
      </w:pPr>
      <w:r>
        <w:rPr>
          <w:rFonts w:eastAsiaTheme="minorEastAsia"/>
        </w:rPr>
        <w:t xml:space="preserve"> </w:t>
      </w:r>
    </w:p>
    <w:p w14:paraId="33AD8F73" w14:textId="77777777" w:rsidR="00FF62D9" w:rsidRDefault="00FF62D9" w:rsidP="00FF62D9">
      <w:pPr>
        <w:spacing w:line="480" w:lineRule="auto"/>
        <w:rPr>
          <w:rFonts w:eastAsiaTheme="minorEastAsia"/>
          <w:noProof/>
        </w:rPr>
      </w:pPr>
      <w:r>
        <w:rPr>
          <w:rFonts w:eastAsiaTheme="minorEastAsia"/>
          <w:noProof/>
        </w:rPr>
        <w:lastRenderedPageBreak/>
        <w:drawing>
          <wp:inline distT="0" distB="0" distL="0" distR="0" wp14:anchorId="43EFF953" wp14:editId="683CBE51">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2464F3CA" w14:textId="77777777" w:rsidR="00FF62D9" w:rsidRDefault="00FF62D9" w:rsidP="00FF62D9">
      <w:pPr>
        <w:spacing w:line="480" w:lineRule="auto"/>
        <w:rPr>
          <w:rFonts w:eastAsiaTheme="minorEastAsia"/>
          <w:noProof/>
        </w:rPr>
      </w:pPr>
      <w:r>
        <w:rPr>
          <w:rFonts w:eastAsiaTheme="minorEastAsia"/>
          <w:noProof/>
        </w:rPr>
        <w:drawing>
          <wp:inline distT="0" distB="0" distL="0" distR="0" wp14:anchorId="7D5E091B" wp14:editId="1B904F4A">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4FE94B06" w14:textId="276F9BB4" w:rsidR="00FF62D9" w:rsidRDefault="00FF62D9" w:rsidP="00FF62D9">
      <w:pPr>
        <w:spacing w:line="240" w:lineRule="auto"/>
        <w:rPr>
          <w:rFonts w:eastAsiaTheme="minorEastAsia"/>
          <w:b/>
          <w:bCs/>
          <w:noProof/>
        </w:rPr>
      </w:pPr>
      <w:r w:rsidRPr="002E34DB">
        <w:rPr>
          <w:rFonts w:eastAsiaTheme="minorEastAsia"/>
          <w:b/>
          <w:bCs/>
          <w:noProof/>
        </w:rPr>
        <w:t>Figure</w:t>
      </w:r>
      <w:r>
        <w:rPr>
          <w:rFonts w:eastAsiaTheme="minorEastAsia"/>
          <w:b/>
          <w:bCs/>
          <w:noProof/>
        </w:rPr>
        <w:t xml:space="preserve"> 3</w:t>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(A) for each stage (adult – orange, subadult – blue, juvenile – green, young – purple) and fecundity (B). </w:t>
      </w:r>
      <w:r w:rsidRPr="002E34DB">
        <w:rPr>
          <w:rFonts w:eastAsiaTheme="minorEastAsia"/>
          <w:b/>
          <w:bCs/>
          <w:noProof/>
        </w:rPr>
        <w:t xml:space="preserve"> </w:t>
      </w:r>
      <w:r w:rsidRPr="002E34DB">
        <w:rPr>
          <w:rFonts w:eastAsiaTheme="minorEastAsia"/>
          <w:b/>
          <w:bCs/>
          <w:noProof/>
        </w:rPr>
        <w:br w:type="page"/>
      </w:r>
    </w:p>
    <w:p w14:paraId="7FB51A0F" w14:textId="1C95D389" w:rsidR="00FF62D9" w:rsidRDefault="00FF62D9" w:rsidP="00FF62D9">
      <w:pPr>
        <w:spacing w:line="240" w:lineRule="auto"/>
        <w:rPr>
          <w:rFonts w:eastAsiaTheme="minorEastAsia"/>
          <w:b/>
          <w:bCs/>
          <w:noProof/>
        </w:rPr>
      </w:pPr>
    </w:p>
    <w:p w14:paraId="6DC639BF" w14:textId="77777777" w:rsidR="00FF62D9" w:rsidRDefault="00FF62D9" w:rsidP="006D6A6C">
      <w:pPr>
        <w:spacing w:line="480" w:lineRule="auto"/>
      </w:pPr>
    </w:p>
    <w:p w14:paraId="6FD008FA" w14:textId="1D819DAD" w:rsidR="00A6587E" w:rsidRDefault="009E3840" w:rsidP="009E3840">
      <w:pPr>
        <w:spacing w:after="0" w:line="480" w:lineRule="auto"/>
        <w:jc w:val="center"/>
        <w:rPr>
          <w:rFonts w:eastAsiaTheme="minorEastAsia"/>
          <w:b/>
        </w:rPr>
      </w:pPr>
      <w:r>
        <w:rPr>
          <w:rFonts w:eastAsiaTheme="minorEastAsia"/>
          <w:b/>
          <w:noProof/>
        </w:rPr>
        <w:drawing>
          <wp:inline distT="0" distB="0" distL="0" distR="0" wp14:anchorId="108AAC2D" wp14:editId="4D8BB657">
            <wp:extent cx="5943600" cy="507047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iagram.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1AF54D6B" w14:textId="77777777" w:rsidR="00A6587E" w:rsidRDefault="00A6587E" w:rsidP="00A6587E">
      <w:pPr>
        <w:spacing w:after="0" w:line="240" w:lineRule="auto"/>
        <w:rPr>
          <w:rFonts w:eastAsiaTheme="minorEastAsia"/>
          <w:b/>
        </w:rPr>
      </w:pPr>
    </w:p>
    <w:p w14:paraId="4FA7B93E" w14:textId="172DEF6F" w:rsidR="00A6587E" w:rsidRPr="0052605F" w:rsidRDefault="00A6587E" w:rsidP="00A6587E">
      <w:pPr>
        <w:spacing w:after="0" w:line="240" w:lineRule="auto"/>
        <w:rPr>
          <w:rFonts w:eastAsiaTheme="minorEastAsia"/>
          <w:bCs/>
        </w:rPr>
      </w:pPr>
      <w:r>
        <w:rPr>
          <w:rFonts w:eastAsiaTheme="minorEastAsia"/>
          <w:b/>
        </w:rPr>
        <w:t xml:space="preserve">Figure </w:t>
      </w:r>
      <w:r w:rsidR="00CD4D87">
        <w:rPr>
          <w:rFonts w:eastAsiaTheme="minorEastAsia"/>
          <w:b/>
        </w:rPr>
        <w:t>4</w:t>
      </w:r>
      <w:r>
        <w:rPr>
          <w:rFonts w:eastAsiaTheme="minorEastAsia"/>
          <w:b/>
        </w:rPr>
        <w:t xml:space="preserve">. </w:t>
      </w:r>
      <w:r>
        <w:rPr>
          <w:rFonts w:eastAsiaTheme="minorEastAsia"/>
          <w:bCs/>
        </w:rPr>
        <w:t>Conceptual diagram of the stochastic simulation model used to assess the future condition of PR boas under different rates of urbanization. White hexagons on the left represent model inputs and gray hexagons on the right represent model outputs. Rectangles represent values calculated within each replication of the simulation.</w:t>
      </w:r>
    </w:p>
    <w:p w14:paraId="707A6247" w14:textId="77777777" w:rsidR="00A6587E" w:rsidRDefault="00A6587E" w:rsidP="00A6587E">
      <w:pPr>
        <w:spacing w:after="0" w:line="480" w:lineRule="auto"/>
        <w:rPr>
          <w:rFonts w:eastAsiaTheme="minorEastAsia"/>
          <w:b/>
        </w:rPr>
      </w:pPr>
    </w:p>
    <w:p w14:paraId="085AA947" w14:textId="77777777" w:rsidR="00A6587E" w:rsidRDefault="00A6587E" w:rsidP="006D6A6C">
      <w:pPr>
        <w:spacing w:line="480" w:lineRule="auto"/>
      </w:pPr>
    </w:p>
    <w:p w14:paraId="6FA25E1A" w14:textId="77777777" w:rsidR="00A6587E" w:rsidRDefault="00A6587E" w:rsidP="006D6A6C">
      <w:pPr>
        <w:spacing w:line="480" w:lineRule="auto"/>
      </w:pPr>
    </w:p>
    <w:p w14:paraId="7F2B41BB" w14:textId="77777777" w:rsidR="00A6587E" w:rsidRDefault="00A6587E" w:rsidP="006D6A6C">
      <w:pPr>
        <w:spacing w:line="480" w:lineRule="auto"/>
      </w:pPr>
    </w:p>
    <w:p w14:paraId="582AEC5D" w14:textId="77777777" w:rsidR="00A6587E" w:rsidRDefault="00A6587E" w:rsidP="00A6587E">
      <w:pPr>
        <w:spacing w:line="240" w:lineRule="auto"/>
        <w:jc w:val="center"/>
        <w:rPr>
          <w:b/>
          <w:bCs/>
        </w:rPr>
      </w:pPr>
      <w:r>
        <w:rPr>
          <w:b/>
          <w:bCs/>
          <w:noProof/>
        </w:rPr>
        <w:lastRenderedPageBreak/>
        <w:drawing>
          <wp:inline distT="0" distB="0" distL="0" distR="0" wp14:anchorId="6BB37C26" wp14:editId="5FAEA8F4">
            <wp:extent cx="5499100" cy="4124325"/>
            <wp:effectExtent l="0" t="0" r="635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fin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14:paraId="71B56655" w14:textId="23622C2D" w:rsidR="00BC0CFB" w:rsidRDefault="00A6587E" w:rsidP="006D6A6C">
      <w:pPr>
        <w:spacing w:after="0" w:line="240" w:lineRule="auto"/>
        <w:rPr>
          <w:b/>
          <w:bCs/>
        </w:rPr>
      </w:pPr>
      <w:r>
        <w:rPr>
          <w:b/>
          <w:bCs/>
        </w:rPr>
        <w:t xml:space="preserve">Figure 5. </w:t>
      </w:r>
      <w:r>
        <w:t xml:space="preserve">Projected change in population size over 30 years for four potential scenarios of land cover change. Solid black lines show the medians among all replicates, and shaded gray regions show the 95% quantiles (95% of replications fell within this range). The dashed line is at 0, indicating no change in population size. </w:t>
      </w:r>
    </w:p>
    <w:sectPr w:rsidR="00BC0CFB" w:rsidSect="00B76DE7">
      <w:foot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E9393" w14:textId="77777777" w:rsidR="00EC69D4" w:rsidRDefault="00EC69D4" w:rsidP="001102B8">
      <w:pPr>
        <w:spacing w:after="0" w:line="240" w:lineRule="auto"/>
      </w:pPr>
      <w:r>
        <w:separator/>
      </w:r>
    </w:p>
  </w:endnote>
  <w:endnote w:type="continuationSeparator" w:id="0">
    <w:p w14:paraId="63A5E4BA" w14:textId="77777777" w:rsidR="00EC69D4" w:rsidRDefault="00EC69D4"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5A8B0915" w:rsidR="00AC1CF2" w:rsidRDefault="00AC1CF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C721D43" w14:textId="77777777" w:rsidR="00AC1CF2" w:rsidRDefault="00AC1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30615" w14:textId="77777777" w:rsidR="00EC69D4" w:rsidRDefault="00EC69D4" w:rsidP="001102B8">
      <w:pPr>
        <w:spacing w:after="0" w:line="240" w:lineRule="auto"/>
      </w:pPr>
      <w:r>
        <w:separator/>
      </w:r>
    </w:p>
  </w:footnote>
  <w:footnote w:type="continuationSeparator" w:id="0">
    <w:p w14:paraId="512217B9" w14:textId="77777777" w:rsidR="00EC69D4" w:rsidRDefault="00EC69D4"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186"/>
    <w:rsid w:val="000078F7"/>
    <w:rsid w:val="00015663"/>
    <w:rsid w:val="000210EC"/>
    <w:rsid w:val="00022A53"/>
    <w:rsid w:val="00034E9F"/>
    <w:rsid w:val="00042DFF"/>
    <w:rsid w:val="00073A88"/>
    <w:rsid w:val="00076575"/>
    <w:rsid w:val="00077FB2"/>
    <w:rsid w:val="00081D83"/>
    <w:rsid w:val="00082ED8"/>
    <w:rsid w:val="00091A8F"/>
    <w:rsid w:val="00095B13"/>
    <w:rsid w:val="00095C92"/>
    <w:rsid w:val="000A41B6"/>
    <w:rsid w:val="000B166C"/>
    <w:rsid w:val="000B1788"/>
    <w:rsid w:val="000B5CAA"/>
    <w:rsid w:val="000C28B0"/>
    <w:rsid w:val="000C3F84"/>
    <w:rsid w:val="000C5842"/>
    <w:rsid w:val="000D0A79"/>
    <w:rsid w:val="000D384B"/>
    <w:rsid w:val="000D4071"/>
    <w:rsid w:val="000D463C"/>
    <w:rsid w:val="000D4659"/>
    <w:rsid w:val="000E73D4"/>
    <w:rsid w:val="000F29BE"/>
    <w:rsid w:val="00101321"/>
    <w:rsid w:val="001043AC"/>
    <w:rsid w:val="001102B8"/>
    <w:rsid w:val="001108BB"/>
    <w:rsid w:val="00114C54"/>
    <w:rsid w:val="00121CE4"/>
    <w:rsid w:val="001226FA"/>
    <w:rsid w:val="00122890"/>
    <w:rsid w:val="001335F9"/>
    <w:rsid w:val="00144BC9"/>
    <w:rsid w:val="001642BE"/>
    <w:rsid w:val="00166FC3"/>
    <w:rsid w:val="00167218"/>
    <w:rsid w:val="001832A5"/>
    <w:rsid w:val="00184A85"/>
    <w:rsid w:val="001A7715"/>
    <w:rsid w:val="001B63D3"/>
    <w:rsid w:val="001C1AC5"/>
    <w:rsid w:val="001C6A31"/>
    <w:rsid w:val="001E1311"/>
    <w:rsid w:val="001E7C6F"/>
    <w:rsid w:val="001F025F"/>
    <w:rsid w:val="001F0A61"/>
    <w:rsid w:val="001F4DCA"/>
    <w:rsid w:val="002134FC"/>
    <w:rsid w:val="00214D7F"/>
    <w:rsid w:val="00216008"/>
    <w:rsid w:val="00217027"/>
    <w:rsid w:val="0021777C"/>
    <w:rsid w:val="002327E6"/>
    <w:rsid w:val="00233A5F"/>
    <w:rsid w:val="00253BA2"/>
    <w:rsid w:val="00253E3D"/>
    <w:rsid w:val="00254EF6"/>
    <w:rsid w:val="00264D4C"/>
    <w:rsid w:val="0027512B"/>
    <w:rsid w:val="0028015D"/>
    <w:rsid w:val="002836A7"/>
    <w:rsid w:val="00286121"/>
    <w:rsid w:val="002933CB"/>
    <w:rsid w:val="00294AA5"/>
    <w:rsid w:val="00297767"/>
    <w:rsid w:val="002A06B5"/>
    <w:rsid w:val="002A6EAC"/>
    <w:rsid w:val="002B0335"/>
    <w:rsid w:val="002B6313"/>
    <w:rsid w:val="002C224E"/>
    <w:rsid w:val="002C4CFD"/>
    <w:rsid w:val="002D1307"/>
    <w:rsid w:val="002D13EC"/>
    <w:rsid w:val="002D755C"/>
    <w:rsid w:val="002D7CA6"/>
    <w:rsid w:val="002E34DB"/>
    <w:rsid w:val="002F1498"/>
    <w:rsid w:val="002F2ADF"/>
    <w:rsid w:val="00311555"/>
    <w:rsid w:val="00311EE7"/>
    <w:rsid w:val="00313179"/>
    <w:rsid w:val="00316A2E"/>
    <w:rsid w:val="0031746E"/>
    <w:rsid w:val="00326522"/>
    <w:rsid w:val="003313A3"/>
    <w:rsid w:val="00334BF8"/>
    <w:rsid w:val="0034207A"/>
    <w:rsid w:val="003444C5"/>
    <w:rsid w:val="00354A69"/>
    <w:rsid w:val="00355140"/>
    <w:rsid w:val="003575E5"/>
    <w:rsid w:val="003649E4"/>
    <w:rsid w:val="003650AA"/>
    <w:rsid w:val="003653ED"/>
    <w:rsid w:val="00365F47"/>
    <w:rsid w:val="00373C7B"/>
    <w:rsid w:val="0037507A"/>
    <w:rsid w:val="00383DCF"/>
    <w:rsid w:val="00384D34"/>
    <w:rsid w:val="0038639C"/>
    <w:rsid w:val="00392BD7"/>
    <w:rsid w:val="00394B9E"/>
    <w:rsid w:val="00397C61"/>
    <w:rsid w:val="003C28AD"/>
    <w:rsid w:val="003C45C7"/>
    <w:rsid w:val="003D6292"/>
    <w:rsid w:val="003F24B3"/>
    <w:rsid w:val="003F4E81"/>
    <w:rsid w:val="003F7FFA"/>
    <w:rsid w:val="0040207E"/>
    <w:rsid w:val="00404992"/>
    <w:rsid w:val="00404D9C"/>
    <w:rsid w:val="0040786F"/>
    <w:rsid w:val="00412319"/>
    <w:rsid w:val="00424CBD"/>
    <w:rsid w:val="004259C2"/>
    <w:rsid w:val="004342E5"/>
    <w:rsid w:val="00436159"/>
    <w:rsid w:val="00436DEF"/>
    <w:rsid w:val="00437784"/>
    <w:rsid w:val="00445AC8"/>
    <w:rsid w:val="0044675A"/>
    <w:rsid w:val="00450657"/>
    <w:rsid w:val="00454EEA"/>
    <w:rsid w:val="004560F4"/>
    <w:rsid w:val="00461D1B"/>
    <w:rsid w:val="00462F2F"/>
    <w:rsid w:val="004636E5"/>
    <w:rsid w:val="004641A5"/>
    <w:rsid w:val="00471FAC"/>
    <w:rsid w:val="00473112"/>
    <w:rsid w:val="004749F0"/>
    <w:rsid w:val="004801F2"/>
    <w:rsid w:val="00481F12"/>
    <w:rsid w:val="0048697E"/>
    <w:rsid w:val="0049085E"/>
    <w:rsid w:val="00495509"/>
    <w:rsid w:val="00495BDF"/>
    <w:rsid w:val="004B5936"/>
    <w:rsid w:val="004B67BF"/>
    <w:rsid w:val="004C0CBC"/>
    <w:rsid w:val="004C42D6"/>
    <w:rsid w:val="004C473A"/>
    <w:rsid w:val="004C5493"/>
    <w:rsid w:val="004D240F"/>
    <w:rsid w:val="004D3169"/>
    <w:rsid w:val="004E7B8E"/>
    <w:rsid w:val="0050375B"/>
    <w:rsid w:val="005056DD"/>
    <w:rsid w:val="0050757F"/>
    <w:rsid w:val="005108A1"/>
    <w:rsid w:val="00510D9F"/>
    <w:rsid w:val="00511623"/>
    <w:rsid w:val="005205A1"/>
    <w:rsid w:val="00521A79"/>
    <w:rsid w:val="005234B0"/>
    <w:rsid w:val="0052605F"/>
    <w:rsid w:val="00526C80"/>
    <w:rsid w:val="00527C28"/>
    <w:rsid w:val="00537FE8"/>
    <w:rsid w:val="005614FF"/>
    <w:rsid w:val="00565A75"/>
    <w:rsid w:val="00567A6E"/>
    <w:rsid w:val="005764E8"/>
    <w:rsid w:val="005844B8"/>
    <w:rsid w:val="005846EA"/>
    <w:rsid w:val="0058493C"/>
    <w:rsid w:val="005869C9"/>
    <w:rsid w:val="005963C3"/>
    <w:rsid w:val="005A1F42"/>
    <w:rsid w:val="005A5955"/>
    <w:rsid w:val="005A64D5"/>
    <w:rsid w:val="005A729A"/>
    <w:rsid w:val="005B705E"/>
    <w:rsid w:val="005C00B2"/>
    <w:rsid w:val="005C30B8"/>
    <w:rsid w:val="005C6569"/>
    <w:rsid w:val="005E1952"/>
    <w:rsid w:val="005F08A1"/>
    <w:rsid w:val="005F5714"/>
    <w:rsid w:val="005F7871"/>
    <w:rsid w:val="006024C8"/>
    <w:rsid w:val="00603A70"/>
    <w:rsid w:val="00605D4F"/>
    <w:rsid w:val="00607B82"/>
    <w:rsid w:val="00622ECF"/>
    <w:rsid w:val="006508E6"/>
    <w:rsid w:val="00652A44"/>
    <w:rsid w:val="00667EB9"/>
    <w:rsid w:val="006711CC"/>
    <w:rsid w:val="00671B5F"/>
    <w:rsid w:val="006758D5"/>
    <w:rsid w:val="0067684E"/>
    <w:rsid w:val="006957A0"/>
    <w:rsid w:val="00697785"/>
    <w:rsid w:val="006979C5"/>
    <w:rsid w:val="006A01F4"/>
    <w:rsid w:val="006A0E18"/>
    <w:rsid w:val="006A57AC"/>
    <w:rsid w:val="006A7B80"/>
    <w:rsid w:val="006C4B83"/>
    <w:rsid w:val="006C6308"/>
    <w:rsid w:val="006C6E5E"/>
    <w:rsid w:val="006D166F"/>
    <w:rsid w:val="006D239F"/>
    <w:rsid w:val="006D2DBD"/>
    <w:rsid w:val="006D5A9F"/>
    <w:rsid w:val="006D6A6C"/>
    <w:rsid w:val="006D6F4F"/>
    <w:rsid w:val="006D7852"/>
    <w:rsid w:val="006E70D2"/>
    <w:rsid w:val="006F12B1"/>
    <w:rsid w:val="006F551D"/>
    <w:rsid w:val="006F7012"/>
    <w:rsid w:val="00703370"/>
    <w:rsid w:val="00703B06"/>
    <w:rsid w:val="007126E0"/>
    <w:rsid w:val="00750D6A"/>
    <w:rsid w:val="007543A0"/>
    <w:rsid w:val="007615D7"/>
    <w:rsid w:val="00761CC8"/>
    <w:rsid w:val="0077066C"/>
    <w:rsid w:val="00770BE3"/>
    <w:rsid w:val="00774E9A"/>
    <w:rsid w:val="00780C40"/>
    <w:rsid w:val="00783C98"/>
    <w:rsid w:val="00783F29"/>
    <w:rsid w:val="007949C4"/>
    <w:rsid w:val="00794EF1"/>
    <w:rsid w:val="007A1583"/>
    <w:rsid w:val="007A184A"/>
    <w:rsid w:val="007A19D4"/>
    <w:rsid w:val="007B2F03"/>
    <w:rsid w:val="007B3963"/>
    <w:rsid w:val="007B4DC8"/>
    <w:rsid w:val="007C79B9"/>
    <w:rsid w:val="007D7153"/>
    <w:rsid w:val="007E40EA"/>
    <w:rsid w:val="007F2AF5"/>
    <w:rsid w:val="007F4473"/>
    <w:rsid w:val="00801552"/>
    <w:rsid w:val="00802B52"/>
    <w:rsid w:val="008142EB"/>
    <w:rsid w:val="00814D4B"/>
    <w:rsid w:val="0082073D"/>
    <w:rsid w:val="00830857"/>
    <w:rsid w:val="00837719"/>
    <w:rsid w:val="00841AB0"/>
    <w:rsid w:val="008710CE"/>
    <w:rsid w:val="00874800"/>
    <w:rsid w:val="00874F8B"/>
    <w:rsid w:val="00882617"/>
    <w:rsid w:val="008927BB"/>
    <w:rsid w:val="008A0E1B"/>
    <w:rsid w:val="008A1129"/>
    <w:rsid w:val="008A6C4E"/>
    <w:rsid w:val="008A72F9"/>
    <w:rsid w:val="008B4CC4"/>
    <w:rsid w:val="008C135A"/>
    <w:rsid w:val="008D11DC"/>
    <w:rsid w:val="008D71D5"/>
    <w:rsid w:val="008E39C1"/>
    <w:rsid w:val="008E54F7"/>
    <w:rsid w:val="008E57F9"/>
    <w:rsid w:val="008F370D"/>
    <w:rsid w:val="009002A2"/>
    <w:rsid w:val="00900997"/>
    <w:rsid w:val="009013A4"/>
    <w:rsid w:val="0090219F"/>
    <w:rsid w:val="00903C5C"/>
    <w:rsid w:val="00914B28"/>
    <w:rsid w:val="00923AC6"/>
    <w:rsid w:val="009251A6"/>
    <w:rsid w:val="00926795"/>
    <w:rsid w:val="00927C2F"/>
    <w:rsid w:val="00931223"/>
    <w:rsid w:val="00931887"/>
    <w:rsid w:val="0093240B"/>
    <w:rsid w:val="00937D55"/>
    <w:rsid w:val="00943C72"/>
    <w:rsid w:val="00945FF2"/>
    <w:rsid w:val="009627CF"/>
    <w:rsid w:val="00972F5D"/>
    <w:rsid w:val="009803A2"/>
    <w:rsid w:val="00983542"/>
    <w:rsid w:val="00984554"/>
    <w:rsid w:val="009851D6"/>
    <w:rsid w:val="00987D1B"/>
    <w:rsid w:val="009908A1"/>
    <w:rsid w:val="00994C2C"/>
    <w:rsid w:val="009A3897"/>
    <w:rsid w:val="009A6B23"/>
    <w:rsid w:val="009A7442"/>
    <w:rsid w:val="009B75B9"/>
    <w:rsid w:val="009C4879"/>
    <w:rsid w:val="009D7718"/>
    <w:rsid w:val="009E095A"/>
    <w:rsid w:val="009E2208"/>
    <w:rsid w:val="009E3840"/>
    <w:rsid w:val="009E795B"/>
    <w:rsid w:val="009F54BD"/>
    <w:rsid w:val="00A0511C"/>
    <w:rsid w:val="00A10910"/>
    <w:rsid w:val="00A11F64"/>
    <w:rsid w:val="00A154BC"/>
    <w:rsid w:val="00A22471"/>
    <w:rsid w:val="00A24863"/>
    <w:rsid w:val="00A30061"/>
    <w:rsid w:val="00A44291"/>
    <w:rsid w:val="00A44A76"/>
    <w:rsid w:val="00A45198"/>
    <w:rsid w:val="00A461AC"/>
    <w:rsid w:val="00A500FE"/>
    <w:rsid w:val="00A51C99"/>
    <w:rsid w:val="00A54224"/>
    <w:rsid w:val="00A6587E"/>
    <w:rsid w:val="00A714ED"/>
    <w:rsid w:val="00A76C74"/>
    <w:rsid w:val="00A83D89"/>
    <w:rsid w:val="00A94E62"/>
    <w:rsid w:val="00AA518B"/>
    <w:rsid w:val="00AB31CA"/>
    <w:rsid w:val="00AB577F"/>
    <w:rsid w:val="00AB5DC1"/>
    <w:rsid w:val="00AB6CC9"/>
    <w:rsid w:val="00AC11C7"/>
    <w:rsid w:val="00AC17E0"/>
    <w:rsid w:val="00AC1CF2"/>
    <w:rsid w:val="00B004EC"/>
    <w:rsid w:val="00B102C1"/>
    <w:rsid w:val="00B10BA4"/>
    <w:rsid w:val="00B12730"/>
    <w:rsid w:val="00B2108E"/>
    <w:rsid w:val="00B221C8"/>
    <w:rsid w:val="00B33BA8"/>
    <w:rsid w:val="00B4293C"/>
    <w:rsid w:val="00B43F11"/>
    <w:rsid w:val="00B46480"/>
    <w:rsid w:val="00B53F77"/>
    <w:rsid w:val="00B62839"/>
    <w:rsid w:val="00B633BC"/>
    <w:rsid w:val="00B64DDF"/>
    <w:rsid w:val="00B650C2"/>
    <w:rsid w:val="00B76DE7"/>
    <w:rsid w:val="00B86D92"/>
    <w:rsid w:val="00B93EBF"/>
    <w:rsid w:val="00B956C3"/>
    <w:rsid w:val="00BA10A9"/>
    <w:rsid w:val="00BA1E8B"/>
    <w:rsid w:val="00BC0CFB"/>
    <w:rsid w:val="00BC0D6E"/>
    <w:rsid w:val="00BC1616"/>
    <w:rsid w:val="00BC4DB1"/>
    <w:rsid w:val="00BC7712"/>
    <w:rsid w:val="00BC793C"/>
    <w:rsid w:val="00BD157F"/>
    <w:rsid w:val="00BD62A3"/>
    <w:rsid w:val="00BF1E29"/>
    <w:rsid w:val="00C012F3"/>
    <w:rsid w:val="00C03507"/>
    <w:rsid w:val="00C053E5"/>
    <w:rsid w:val="00C0601F"/>
    <w:rsid w:val="00C132C9"/>
    <w:rsid w:val="00C161C1"/>
    <w:rsid w:val="00C20044"/>
    <w:rsid w:val="00C353EB"/>
    <w:rsid w:val="00C37F60"/>
    <w:rsid w:val="00C450A2"/>
    <w:rsid w:val="00C479C6"/>
    <w:rsid w:val="00C47E9D"/>
    <w:rsid w:val="00C6385A"/>
    <w:rsid w:val="00C63C32"/>
    <w:rsid w:val="00C6518F"/>
    <w:rsid w:val="00C806A3"/>
    <w:rsid w:val="00C860A0"/>
    <w:rsid w:val="00C874BE"/>
    <w:rsid w:val="00C93FA0"/>
    <w:rsid w:val="00CA7B2C"/>
    <w:rsid w:val="00CB2972"/>
    <w:rsid w:val="00CC6F5D"/>
    <w:rsid w:val="00CD2789"/>
    <w:rsid w:val="00CD4D87"/>
    <w:rsid w:val="00CE0246"/>
    <w:rsid w:val="00CE41BF"/>
    <w:rsid w:val="00D033D6"/>
    <w:rsid w:val="00D039AA"/>
    <w:rsid w:val="00D06828"/>
    <w:rsid w:val="00D13906"/>
    <w:rsid w:val="00D36EDF"/>
    <w:rsid w:val="00D4624C"/>
    <w:rsid w:val="00D52E2F"/>
    <w:rsid w:val="00D619A4"/>
    <w:rsid w:val="00D629E4"/>
    <w:rsid w:val="00D81519"/>
    <w:rsid w:val="00D81544"/>
    <w:rsid w:val="00D924CB"/>
    <w:rsid w:val="00D9320B"/>
    <w:rsid w:val="00D97AC3"/>
    <w:rsid w:val="00D97E17"/>
    <w:rsid w:val="00DA171B"/>
    <w:rsid w:val="00DA7FD9"/>
    <w:rsid w:val="00DB1797"/>
    <w:rsid w:val="00DB2862"/>
    <w:rsid w:val="00DB357E"/>
    <w:rsid w:val="00DB3FAC"/>
    <w:rsid w:val="00DB428A"/>
    <w:rsid w:val="00DB5B02"/>
    <w:rsid w:val="00DC3F89"/>
    <w:rsid w:val="00DC4411"/>
    <w:rsid w:val="00DC7083"/>
    <w:rsid w:val="00DC7F13"/>
    <w:rsid w:val="00DD6D97"/>
    <w:rsid w:val="00DF60A5"/>
    <w:rsid w:val="00E12521"/>
    <w:rsid w:val="00E16764"/>
    <w:rsid w:val="00E20A75"/>
    <w:rsid w:val="00E27F39"/>
    <w:rsid w:val="00E40E64"/>
    <w:rsid w:val="00E4173A"/>
    <w:rsid w:val="00E42C7A"/>
    <w:rsid w:val="00E47218"/>
    <w:rsid w:val="00E501BF"/>
    <w:rsid w:val="00E56E3C"/>
    <w:rsid w:val="00E570C0"/>
    <w:rsid w:val="00E63637"/>
    <w:rsid w:val="00E65515"/>
    <w:rsid w:val="00E6605B"/>
    <w:rsid w:val="00E8385D"/>
    <w:rsid w:val="00E96341"/>
    <w:rsid w:val="00EB05A4"/>
    <w:rsid w:val="00EB6CF3"/>
    <w:rsid w:val="00EC225F"/>
    <w:rsid w:val="00EC2593"/>
    <w:rsid w:val="00EC6916"/>
    <w:rsid w:val="00EC69D4"/>
    <w:rsid w:val="00ED045C"/>
    <w:rsid w:val="00ED33FB"/>
    <w:rsid w:val="00ED5D47"/>
    <w:rsid w:val="00EF0DF6"/>
    <w:rsid w:val="00EF4526"/>
    <w:rsid w:val="00EF70A5"/>
    <w:rsid w:val="00F05B7B"/>
    <w:rsid w:val="00F05F8C"/>
    <w:rsid w:val="00F103AB"/>
    <w:rsid w:val="00F12394"/>
    <w:rsid w:val="00F13379"/>
    <w:rsid w:val="00F21B1E"/>
    <w:rsid w:val="00F21F37"/>
    <w:rsid w:val="00F2318C"/>
    <w:rsid w:val="00F275B9"/>
    <w:rsid w:val="00F31F41"/>
    <w:rsid w:val="00F42CD8"/>
    <w:rsid w:val="00F44017"/>
    <w:rsid w:val="00F56E66"/>
    <w:rsid w:val="00F57C2F"/>
    <w:rsid w:val="00F763EF"/>
    <w:rsid w:val="00F83F9C"/>
    <w:rsid w:val="00F93FDE"/>
    <w:rsid w:val="00FB0B96"/>
    <w:rsid w:val="00FD0984"/>
    <w:rsid w:val="00FD53E9"/>
    <w:rsid w:val="00FE208B"/>
    <w:rsid w:val="00FE3416"/>
    <w:rsid w:val="00FF09FA"/>
    <w:rsid w:val="00FF4148"/>
    <w:rsid w:val="00FF62D9"/>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 w:type="paragraph" w:styleId="Revision">
    <w:name w:val="Revision"/>
    <w:hidden/>
    <w:uiPriority w:val="99"/>
    <w:semiHidden/>
    <w:rsid w:val="00C035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684600616">
      <w:bodyDiv w:val="1"/>
      <w:marLeft w:val="0"/>
      <w:marRight w:val="0"/>
      <w:marTop w:val="0"/>
      <w:marBottom w:val="0"/>
      <w:divBdr>
        <w:top w:val="none" w:sz="0" w:space="0" w:color="auto"/>
        <w:left w:val="none" w:sz="0" w:space="0" w:color="auto"/>
        <w:bottom w:val="none" w:sz="0" w:space="0" w:color="auto"/>
        <w:right w:val="none" w:sz="0" w:space="0" w:color="auto"/>
      </w:divBdr>
      <w:divsChild>
        <w:div w:id="477965384">
          <w:marLeft w:val="0"/>
          <w:marRight w:val="0"/>
          <w:marTop w:val="0"/>
          <w:marBottom w:val="0"/>
          <w:divBdr>
            <w:top w:val="none" w:sz="0" w:space="0" w:color="auto"/>
            <w:left w:val="none" w:sz="0" w:space="0" w:color="auto"/>
            <w:bottom w:val="none" w:sz="0" w:space="0" w:color="auto"/>
            <w:right w:val="none" w:sz="0" w:space="0" w:color="auto"/>
          </w:divBdr>
        </w:div>
      </w:divsChild>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tif"/><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D5D6EE138A004AB995AEEED5A5F060" ma:contentTypeVersion="9" ma:contentTypeDescription="Create a new document." ma:contentTypeScope="" ma:versionID="2e6e81be0ef744f64f7060cd651d0418">
  <xsd:schema xmlns:xsd="http://www.w3.org/2001/XMLSchema" xmlns:xs="http://www.w3.org/2001/XMLSchema" xmlns:p="http://schemas.microsoft.com/office/2006/metadata/properties" xmlns:ns3="306a32c3-258c-4523-a766-ac593a1ad2d0" xmlns:ns4="74470756-9a4f-4b06-bf25-65d2ab5828b3" targetNamespace="http://schemas.microsoft.com/office/2006/metadata/properties" ma:root="true" ma:fieldsID="b1923cc488c2dd84f9ce707dc1bd4b26" ns3:_="" ns4:_="">
    <xsd:import namespace="306a32c3-258c-4523-a766-ac593a1ad2d0"/>
    <xsd:import namespace="74470756-9a4f-4b06-bf25-65d2ab5828b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a32c3-258c-4523-a766-ac593a1ad2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470756-9a4f-4b06-bf25-65d2ab5828b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2E63-9B37-4C69-AD70-C24BA338E8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a32c3-258c-4523-a766-ac593a1ad2d0"/>
    <ds:schemaRef ds:uri="74470756-9a4f-4b06-bf25-65d2ab582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58F76C-5E3D-42D4-B5D4-1CB1CA5509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E2E5A4-CD2E-4636-A976-E4B65D1A7653}">
  <ds:schemaRefs>
    <ds:schemaRef ds:uri="http://schemas.microsoft.com/sharepoint/v3/contenttype/forms"/>
  </ds:schemaRefs>
</ds:datastoreItem>
</file>

<file path=customXml/itemProps4.xml><?xml version="1.0" encoding="utf-8"?>
<ds:datastoreItem xmlns:ds="http://schemas.openxmlformats.org/officeDocument/2006/customXml" ds:itemID="{698BAA88-EA10-40FE-9720-6A8CFC0BC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37749</Words>
  <Characters>215175</Characters>
  <Application>Microsoft Office Word</Application>
  <DocSecurity>0</DocSecurity>
  <Lines>1793</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5</cp:revision>
  <cp:lastPrinted>2019-11-01T15:56:00Z</cp:lastPrinted>
  <dcterms:created xsi:type="dcterms:W3CDTF">2020-04-17T15:12:00Z</dcterms:created>
  <dcterms:modified xsi:type="dcterms:W3CDTF">2020-04-17T20:53:00Z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vt:lpwstr>
  </property>
  <property fmtid="{D5CDD505-2E9C-101B-9397-08002B2CF9AE}" pid="15" name="Mendeley Recent Style Name 6_1">
    <vt:lpwstr>Ecology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y fmtid="{D5CDD505-2E9C-101B-9397-08002B2CF9AE}" pid="25" name="ContentTypeId">
    <vt:lpwstr>0x01010037D5D6EE138A004AB995AEEED5A5F060</vt:lpwstr>
  </property>
</Properties>
</file>