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AB92C" w14:textId="16702B1A" w:rsidR="00D52E2F" w:rsidRPr="00B46480" w:rsidRDefault="00B46480" w:rsidP="005C00B2">
      <w:pPr>
        <w:spacing w:after="0" w:line="240" w:lineRule="auto"/>
        <w:rPr>
          <w:b/>
        </w:rPr>
      </w:pPr>
      <w:r>
        <w:rPr>
          <w:b/>
        </w:rPr>
        <w:t>A stochastic population projection for the Puerto Rican boa (</w:t>
      </w:r>
      <w:proofErr w:type="spellStart"/>
      <w:r w:rsidR="00605D4F">
        <w:rPr>
          <w:b/>
          <w:i/>
        </w:rPr>
        <w:t>Chilabothrus</w:t>
      </w:r>
      <w:proofErr w:type="spellEnd"/>
      <w:r>
        <w:rPr>
          <w:b/>
          <w:i/>
        </w:rPr>
        <w:t xml:space="preserve"> </w:t>
      </w:r>
      <w:proofErr w:type="spellStart"/>
      <w:r>
        <w:rPr>
          <w:b/>
          <w:i/>
        </w:rPr>
        <w:t>inornatus</w:t>
      </w:r>
      <w:proofErr w:type="spellEnd"/>
      <w:r>
        <w:rPr>
          <w:b/>
        </w:rPr>
        <w:t xml:space="preserve">) </w:t>
      </w:r>
    </w:p>
    <w:p w14:paraId="1584629E" w14:textId="650FCB32" w:rsidR="006508E6" w:rsidRDefault="00D729F0" w:rsidP="005C00B2">
      <w:pPr>
        <w:spacing w:after="0" w:line="240" w:lineRule="auto"/>
      </w:pPr>
      <w:r>
        <w:t>Anna M. Tucker</w:t>
      </w:r>
    </w:p>
    <w:p w14:paraId="317ADC21" w14:textId="77777777" w:rsidR="00D729F0" w:rsidRDefault="00D729F0" w:rsidP="005C00B2">
      <w:pPr>
        <w:spacing w:after="0" w:line="240" w:lineRule="auto"/>
      </w:pPr>
    </w:p>
    <w:p w14:paraId="7299D457" w14:textId="6B701234" w:rsidR="00F05B7B" w:rsidRPr="00F05B7B" w:rsidRDefault="00F05B7B" w:rsidP="005C00B2">
      <w:pPr>
        <w:spacing w:after="0" w:line="240" w:lineRule="auto"/>
        <w:rPr>
          <w:i/>
          <w:iCs/>
        </w:rPr>
      </w:pPr>
      <w:r w:rsidRPr="00F05B7B">
        <w:rPr>
          <w:i/>
          <w:iCs/>
        </w:rPr>
        <w:t>This draft manuscript is distributed solely for purposes of scientific peer review. Its content is deliberative and pre-decisional, so it must not be disclosed or released. This manuscript does not represent any official USGS finding or policy.</w:t>
      </w:r>
    </w:p>
    <w:p w14:paraId="16EF1966" w14:textId="77777777" w:rsidR="006508E6" w:rsidRDefault="006508E6" w:rsidP="005C00B2">
      <w:pPr>
        <w:spacing w:after="0" w:line="240" w:lineRule="auto"/>
      </w:pPr>
    </w:p>
    <w:p w14:paraId="289E1EBE" w14:textId="1F92A313" w:rsidR="005C00B2" w:rsidRPr="008427D7" w:rsidRDefault="008427D7" w:rsidP="005C00B2">
      <w:pPr>
        <w:spacing w:after="0" w:line="240" w:lineRule="auto"/>
        <w:rPr>
          <w:b/>
          <w:bCs/>
        </w:rPr>
      </w:pPr>
      <w:r w:rsidRPr="008427D7">
        <w:rPr>
          <w:b/>
          <w:bCs/>
        </w:rPr>
        <w:t>Introduction</w:t>
      </w:r>
    </w:p>
    <w:p w14:paraId="1B21FC92" w14:textId="01E332E0" w:rsidR="005C00B2" w:rsidRDefault="005C00B2" w:rsidP="005C00B2">
      <w:pPr>
        <w:spacing w:after="0" w:line="240" w:lineRule="auto"/>
      </w:pPr>
    </w:p>
    <w:p w14:paraId="4B1FEA1B" w14:textId="21DD9DDF" w:rsidR="00162446" w:rsidRDefault="005C00B2" w:rsidP="005C00B2">
      <w:pPr>
        <w:spacing w:after="0" w:line="240" w:lineRule="auto"/>
      </w:pPr>
      <w:r>
        <w:t>The Puerto Rican boa (</w:t>
      </w:r>
      <w:proofErr w:type="spellStart"/>
      <w:r w:rsidR="00095B13">
        <w:rPr>
          <w:i/>
        </w:rPr>
        <w:t>Chilabothrus</w:t>
      </w:r>
      <w:proofErr w:type="spellEnd"/>
      <w:r w:rsidRPr="005C00B2">
        <w:rPr>
          <w:i/>
        </w:rPr>
        <w:t xml:space="preserve"> </w:t>
      </w:r>
      <w:proofErr w:type="spellStart"/>
      <w:r w:rsidRPr="005C00B2">
        <w:rPr>
          <w:i/>
        </w:rPr>
        <w:t>inornatus</w:t>
      </w:r>
      <w:proofErr w:type="spellEnd"/>
      <w:r>
        <w:t>) is a terrestrial boa endemic to the island of Puerto Rico. This species has been classified as Endangered in the United States since 1970. Here we used expert opinion and published studies to develop a demographic projection model, which was used to assess the predicted future status of the Puerto Rican boa (hereafter, PR boa) under several potential scenarios.</w:t>
      </w:r>
    </w:p>
    <w:p w14:paraId="16E07CE8" w14:textId="4DFE39B2" w:rsidR="00162446" w:rsidRDefault="00162446" w:rsidP="005C00B2">
      <w:pPr>
        <w:spacing w:after="0" w:line="240" w:lineRule="auto"/>
      </w:pPr>
    </w:p>
    <w:p w14:paraId="2CF838A8" w14:textId="77777777" w:rsidR="008427D7" w:rsidRDefault="008427D7" w:rsidP="005C00B2">
      <w:pPr>
        <w:spacing w:after="0" w:line="240" w:lineRule="auto"/>
      </w:pPr>
    </w:p>
    <w:p w14:paraId="5B24B2DA" w14:textId="4B97C64C" w:rsidR="005C00B2" w:rsidRDefault="005C00B2" w:rsidP="005C00B2">
      <w:pPr>
        <w:spacing w:after="0" w:line="240" w:lineRule="auto"/>
      </w:pPr>
      <w:r>
        <w:rPr>
          <w:b/>
        </w:rPr>
        <w:t>Methods</w:t>
      </w:r>
    </w:p>
    <w:p w14:paraId="189F2143" w14:textId="45C96A1D" w:rsidR="005C00B2" w:rsidRDefault="005C00B2" w:rsidP="005C00B2">
      <w:pPr>
        <w:spacing w:after="0" w:line="240" w:lineRule="auto"/>
      </w:pPr>
    </w:p>
    <w:p w14:paraId="5AF8BB6B" w14:textId="3EDB4455" w:rsidR="006508E6" w:rsidRDefault="006508E6" w:rsidP="005C00B2">
      <w:pPr>
        <w:spacing w:after="0" w:line="240" w:lineRule="auto"/>
      </w:pPr>
      <w:r>
        <w:rPr>
          <w:i/>
        </w:rPr>
        <w:t>Expert Meeting</w:t>
      </w:r>
    </w:p>
    <w:p w14:paraId="7CD9514F" w14:textId="40BC8469" w:rsidR="006508E6" w:rsidRDefault="006024C8" w:rsidP="005C00B2">
      <w:pPr>
        <w:spacing w:after="0" w:line="240" w:lineRule="auto"/>
      </w:pPr>
      <w:r>
        <w:t xml:space="preserve">On March 5-6, 2018, a team of species experts met to develop a modeling framework that would inform this SSA. </w:t>
      </w:r>
      <w:r w:rsidR="005F6E68">
        <w:t>During that meeting the team developed a life cycle model (Figure 1) and identified key threats; the discussions during that meeting provided the basis for the projection model described here.</w:t>
      </w:r>
      <w:r w:rsidR="008639D1">
        <w:t xml:space="preserve"> Meeting participants and affiliations are listed in Table 1.</w:t>
      </w:r>
    </w:p>
    <w:p w14:paraId="1B309886" w14:textId="32580121" w:rsidR="008639D1" w:rsidRDefault="008639D1" w:rsidP="005C00B2">
      <w:pPr>
        <w:spacing w:after="0" w:line="240" w:lineRule="auto"/>
      </w:pPr>
    </w:p>
    <w:p w14:paraId="75302E85" w14:textId="5C42D3FC" w:rsidR="008639D1" w:rsidRDefault="008639D1" w:rsidP="005C00B2">
      <w:pPr>
        <w:spacing w:after="0" w:line="240" w:lineRule="auto"/>
      </w:pPr>
      <w:r>
        <w:t xml:space="preserve">At the meeting, participants discussed the current knowledge of PR boa life history and ecology and identified gaps in knowledge. Gaps included the status of food availability and prey across sites, size information related to transitions across life stages, the stress induced by breeding, and some demographic rates for wild populations. </w:t>
      </w:r>
    </w:p>
    <w:p w14:paraId="0ACB5CF7" w14:textId="36BA3138" w:rsidR="005861B6" w:rsidRDefault="005861B6" w:rsidP="005C00B2">
      <w:pPr>
        <w:spacing w:after="0" w:line="240" w:lineRule="auto"/>
      </w:pPr>
    </w:p>
    <w:p w14:paraId="528D1023" w14:textId="08B0DFCA" w:rsidR="00A84F94" w:rsidRPr="005861B6" w:rsidRDefault="005861B6" w:rsidP="005C00B2">
      <w:pPr>
        <w:spacing w:after="0" w:line="240" w:lineRule="auto"/>
      </w:pPr>
      <w:r>
        <w:t xml:space="preserve">Experts agreed that the PR boa status should be assessed as a single analysis unit comprising the island of Puerto Rico. Historic clines in population structure resulting in differences in genetics, morphology, and behavior no longer exist due to human-assisted movements of boas, both intentional and unintentional (F. Bird </w:t>
      </w:r>
      <w:r>
        <w:rPr>
          <w:i/>
          <w:iCs/>
        </w:rPr>
        <w:t>pers. comm.</w:t>
      </w:r>
      <w:r>
        <w:t xml:space="preserve">). Today the boas are a homogenous population with high genetic diversity (A. Puente, </w:t>
      </w:r>
      <w:r>
        <w:rPr>
          <w:i/>
          <w:iCs/>
        </w:rPr>
        <w:t>pers. comm</w:t>
      </w:r>
      <w:r>
        <w:t>.).</w:t>
      </w:r>
    </w:p>
    <w:p w14:paraId="469D7EB9" w14:textId="7093F291" w:rsidR="008639D1" w:rsidRDefault="008639D1" w:rsidP="005C00B2">
      <w:pPr>
        <w:spacing w:after="0" w:line="240" w:lineRule="auto"/>
      </w:pPr>
    </w:p>
    <w:p w14:paraId="76CD858E" w14:textId="16547295" w:rsidR="008639D1" w:rsidRDefault="008639D1" w:rsidP="005C00B2">
      <w:pPr>
        <w:spacing w:after="0" w:line="240" w:lineRule="auto"/>
      </w:pPr>
      <w:r w:rsidRPr="007F60DB">
        <w:rPr>
          <w:b/>
          <w:bCs/>
        </w:rPr>
        <w:t>Table 1</w:t>
      </w:r>
      <w:r>
        <w:t>. Participants of the expert meeting held March 5-6, 2018 to inform the SSA for the Puerto Rican boa.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6798"/>
      </w:tblGrid>
      <w:tr w:rsidR="008639D1" w14:paraId="4724569B" w14:textId="77777777" w:rsidTr="008639D1">
        <w:tc>
          <w:tcPr>
            <w:tcW w:w="2267" w:type="dxa"/>
            <w:tcBorders>
              <w:top w:val="single" w:sz="4" w:space="0" w:color="auto"/>
              <w:bottom w:val="single" w:sz="4" w:space="0" w:color="auto"/>
            </w:tcBorders>
            <w:vAlign w:val="center"/>
          </w:tcPr>
          <w:p w14:paraId="5500FC6D" w14:textId="48711B14" w:rsidR="008639D1" w:rsidRDefault="008639D1" w:rsidP="008639D1">
            <w:pPr>
              <w:jc w:val="center"/>
            </w:pPr>
            <w:r>
              <w:t>Name</w:t>
            </w:r>
          </w:p>
        </w:tc>
        <w:tc>
          <w:tcPr>
            <w:tcW w:w="6798" w:type="dxa"/>
            <w:tcBorders>
              <w:top w:val="single" w:sz="4" w:space="0" w:color="auto"/>
              <w:bottom w:val="single" w:sz="4" w:space="0" w:color="auto"/>
            </w:tcBorders>
            <w:vAlign w:val="center"/>
          </w:tcPr>
          <w:p w14:paraId="21E0C64E" w14:textId="3CB7B6CD" w:rsidR="008639D1" w:rsidRDefault="008639D1" w:rsidP="008639D1">
            <w:pPr>
              <w:jc w:val="center"/>
            </w:pPr>
            <w:r>
              <w:t>Affiliation</w:t>
            </w:r>
          </w:p>
        </w:tc>
      </w:tr>
      <w:tr w:rsidR="008639D1" w14:paraId="1B5161A4" w14:textId="77777777" w:rsidTr="008639D1">
        <w:tc>
          <w:tcPr>
            <w:tcW w:w="2267" w:type="dxa"/>
            <w:tcBorders>
              <w:top w:val="single" w:sz="4" w:space="0" w:color="auto"/>
            </w:tcBorders>
            <w:vAlign w:val="center"/>
          </w:tcPr>
          <w:p w14:paraId="581B61F5" w14:textId="0C0AF8FA" w:rsidR="008639D1" w:rsidRDefault="008639D1" w:rsidP="008639D1">
            <w:pPr>
              <w:jc w:val="center"/>
            </w:pPr>
            <w:r>
              <w:t>Fernando Bird</w:t>
            </w:r>
          </w:p>
        </w:tc>
        <w:tc>
          <w:tcPr>
            <w:tcW w:w="6798" w:type="dxa"/>
            <w:tcBorders>
              <w:top w:val="single" w:sz="4" w:space="0" w:color="auto"/>
            </w:tcBorders>
            <w:vAlign w:val="center"/>
          </w:tcPr>
          <w:p w14:paraId="2D89D231" w14:textId="539ADD09" w:rsidR="008639D1" w:rsidRDefault="008639D1" w:rsidP="008639D1">
            <w:pPr>
              <w:jc w:val="center"/>
            </w:pPr>
            <w:r>
              <w:t>University of Puerto Rico</w:t>
            </w:r>
          </w:p>
        </w:tc>
      </w:tr>
      <w:tr w:rsidR="008639D1" w14:paraId="27180F72" w14:textId="77777777" w:rsidTr="008639D1">
        <w:tc>
          <w:tcPr>
            <w:tcW w:w="2267" w:type="dxa"/>
            <w:vAlign w:val="center"/>
          </w:tcPr>
          <w:p w14:paraId="1C1BA121" w14:textId="4A9F58CE" w:rsidR="008639D1" w:rsidRDefault="008639D1" w:rsidP="008639D1">
            <w:pPr>
              <w:jc w:val="center"/>
            </w:pPr>
            <w:r>
              <w:t>Alberto Puente-</w:t>
            </w:r>
            <w:proofErr w:type="spellStart"/>
            <w:r>
              <w:t>Rolon</w:t>
            </w:r>
            <w:proofErr w:type="spellEnd"/>
          </w:p>
        </w:tc>
        <w:tc>
          <w:tcPr>
            <w:tcW w:w="6798" w:type="dxa"/>
            <w:vAlign w:val="center"/>
          </w:tcPr>
          <w:p w14:paraId="6B012C94" w14:textId="5D1BEDFE" w:rsidR="008639D1" w:rsidRDefault="008639D1" w:rsidP="008639D1">
            <w:pPr>
              <w:jc w:val="center"/>
            </w:pPr>
            <w:r>
              <w:t>University of Puerto Rico</w:t>
            </w:r>
          </w:p>
        </w:tc>
      </w:tr>
      <w:tr w:rsidR="008639D1" w14:paraId="10974F8F" w14:textId="77777777" w:rsidTr="008639D1">
        <w:tc>
          <w:tcPr>
            <w:tcW w:w="2267" w:type="dxa"/>
            <w:vAlign w:val="center"/>
          </w:tcPr>
          <w:p w14:paraId="61154E9F" w14:textId="7F5BD1E2" w:rsidR="008639D1" w:rsidRDefault="008639D1" w:rsidP="008639D1">
            <w:pPr>
              <w:jc w:val="center"/>
            </w:pPr>
            <w:r>
              <w:t xml:space="preserve">Rafael </w:t>
            </w:r>
            <w:proofErr w:type="spellStart"/>
            <w:r>
              <w:t>Joglar</w:t>
            </w:r>
            <w:proofErr w:type="spellEnd"/>
          </w:p>
        </w:tc>
        <w:tc>
          <w:tcPr>
            <w:tcW w:w="6798" w:type="dxa"/>
            <w:vAlign w:val="center"/>
          </w:tcPr>
          <w:p w14:paraId="09760B2C" w14:textId="13860A75" w:rsidR="008639D1" w:rsidRDefault="008639D1" w:rsidP="008639D1">
            <w:pPr>
              <w:jc w:val="center"/>
            </w:pPr>
            <w:r>
              <w:t>University of Puerto Rico</w:t>
            </w:r>
          </w:p>
        </w:tc>
      </w:tr>
      <w:tr w:rsidR="008639D1" w14:paraId="22D52DB2" w14:textId="77777777" w:rsidTr="008639D1">
        <w:tc>
          <w:tcPr>
            <w:tcW w:w="2267" w:type="dxa"/>
            <w:vAlign w:val="center"/>
          </w:tcPr>
          <w:p w14:paraId="17D3D9BF" w14:textId="6FA14D9B" w:rsidR="008639D1" w:rsidRDefault="008639D1" w:rsidP="008639D1">
            <w:pPr>
              <w:jc w:val="center"/>
            </w:pPr>
            <w:r>
              <w:t xml:space="preserve">Daniel </w:t>
            </w:r>
            <w:proofErr w:type="spellStart"/>
            <w:r>
              <w:t>Savila</w:t>
            </w:r>
            <w:proofErr w:type="spellEnd"/>
          </w:p>
        </w:tc>
        <w:tc>
          <w:tcPr>
            <w:tcW w:w="6798" w:type="dxa"/>
            <w:vAlign w:val="center"/>
          </w:tcPr>
          <w:p w14:paraId="35554217" w14:textId="184BF489" w:rsidR="008639D1" w:rsidRDefault="008639D1" w:rsidP="008639D1">
            <w:pPr>
              <w:jc w:val="center"/>
            </w:pPr>
            <w:r>
              <w:t>University of Puerto Rico</w:t>
            </w:r>
          </w:p>
        </w:tc>
      </w:tr>
      <w:tr w:rsidR="008639D1" w14:paraId="1FEA3846" w14:textId="77777777" w:rsidTr="008639D1">
        <w:tc>
          <w:tcPr>
            <w:tcW w:w="2267" w:type="dxa"/>
            <w:vAlign w:val="center"/>
          </w:tcPr>
          <w:p w14:paraId="6746C820" w14:textId="401780A6" w:rsidR="008639D1" w:rsidRDefault="008639D1" w:rsidP="008639D1">
            <w:pPr>
              <w:jc w:val="center"/>
            </w:pPr>
            <w:proofErr w:type="spellStart"/>
            <w:r>
              <w:t>Eneilis</w:t>
            </w:r>
            <w:proofErr w:type="spellEnd"/>
            <w:r>
              <w:t xml:space="preserve"> </w:t>
            </w:r>
            <w:proofErr w:type="spellStart"/>
            <w:r>
              <w:t>Mulero</w:t>
            </w:r>
            <w:proofErr w:type="spellEnd"/>
          </w:p>
        </w:tc>
        <w:tc>
          <w:tcPr>
            <w:tcW w:w="6798" w:type="dxa"/>
            <w:vAlign w:val="center"/>
          </w:tcPr>
          <w:p w14:paraId="217851E3" w14:textId="34F0F0EE" w:rsidR="008639D1" w:rsidRDefault="008639D1" w:rsidP="008639D1">
            <w:pPr>
              <w:jc w:val="center"/>
            </w:pPr>
            <w:r>
              <w:t>University of Puerto Rico</w:t>
            </w:r>
          </w:p>
        </w:tc>
      </w:tr>
      <w:tr w:rsidR="008639D1" w14:paraId="742810B1" w14:textId="77777777" w:rsidTr="008639D1">
        <w:tc>
          <w:tcPr>
            <w:tcW w:w="2267" w:type="dxa"/>
            <w:vAlign w:val="center"/>
          </w:tcPr>
          <w:p w14:paraId="777DA1DA" w14:textId="0455CDC4" w:rsidR="008639D1" w:rsidRDefault="008639D1" w:rsidP="008639D1">
            <w:pPr>
              <w:jc w:val="center"/>
            </w:pPr>
            <w:r>
              <w:t xml:space="preserve">Peter </w:t>
            </w:r>
            <w:proofErr w:type="spellStart"/>
            <w:r>
              <w:t>Tolson</w:t>
            </w:r>
            <w:proofErr w:type="spellEnd"/>
          </w:p>
        </w:tc>
        <w:tc>
          <w:tcPr>
            <w:tcW w:w="6798" w:type="dxa"/>
            <w:vAlign w:val="center"/>
          </w:tcPr>
          <w:p w14:paraId="29B732E4" w14:textId="35C572CF" w:rsidR="008639D1" w:rsidRDefault="008639D1" w:rsidP="008639D1">
            <w:pPr>
              <w:jc w:val="center"/>
            </w:pPr>
            <w:r>
              <w:t>Toledo Zoo</w:t>
            </w:r>
          </w:p>
        </w:tc>
      </w:tr>
      <w:tr w:rsidR="008639D1" w14:paraId="53252B93" w14:textId="77777777" w:rsidTr="008639D1">
        <w:tc>
          <w:tcPr>
            <w:tcW w:w="2267" w:type="dxa"/>
            <w:vAlign w:val="center"/>
          </w:tcPr>
          <w:p w14:paraId="40155B86" w14:textId="1B131F13" w:rsidR="008639D1" w:rsidRDefault="008639D1" w:rsidP="008639D1">
            <w:pPr>
              <w:jc w:val="center"/>
            </w:pPr>
            <w:r>
              <w:t xml:space="preserve">Miguel </w:t>
            </w:r>
            <w:proofErr w:type="spellStart"/>
            <w:r>
              <w:t>Toño</w:t>
            </w:r>
            <w:proofErr w:type="spellEnd"/>
            <w:r>
              <w:t xml:space="preserve"> Garcia</w:t>
            </w:r>
          </w:p>
        </w:tc>
        <w:tc>
          <w:tcPr>
            <w:tcW w:w="6798" w:type="dxa"/>
            <w:vAlign w:val="center"/>
          </w:tcPr>
          <w:p w14:paraId="0E64FC06" w14:textId="38DF4467" w:rsidR="008639D1" w:rsidRDefault="008639D1" w:rsidP="008639D1">
            <w:pPr>
              <w:jc w:val="center"/>
            </w:pPr>
            <w:r>
              <w:t>USFWS</w:t>
            </w:r>
          </w:p>
        </w:tc>
      </w:tr>
      <w:tr w:rsidR="008639D1" w14:paraId="3E649440" w14:textId="77777777" w:rsidTr="008639D1">
        <w:tc>
          <w:tcPr>
            <w:tcW w:w="2267" w:type="dxa"/>
            <w:vAlign w:val="center"/>
          </w:tcPr>
          <w:p w14:paraId="0C91BFB0" w14:textId="7B9714C2" w:rsidR="008639D1" w:rsidRDefault="008639D1" w:rsidP="008639D1">
            <w:pPr>
              <w:jc w:val="center"/>
            </w:pPr>
            <w:r>
              <w:t>Jose Cruz-Burgos</w:t>
            </w:r>
          </w:p>
        </w:tc>
        <w:tc>
          <w:tcPr>
            <w:tcW w:w="6798" w:type="dxa"/>
            <w:vAlign w:val="center"/>
          </w:tcPr>
          <w:p w14:paraId="4E737537" w14:textId="78C85E27" w:rsidR="008639D1" w:rsidRDefault="008639D1" w:rsidP="008639D1">
            <w:pPr>
              <w:jc w:val="center"/>
            </w:pPr>
            <w:r>
              <w:t>USFWS Caribbean Ecological Services Field Office</w:t>
            </w:r>
          </w:p>
        </w:tc>
      </w:tr>
      <w:tr w:rsidR="008639D1" w14:paraId="711895FE" w14:textId="77777777" w:rsidTr="008639D1">
        <w:tc>
          <w:tcPr>
            <w:tcW w:w="2267" w:type="dxa"/>
            <w:vAlign w:val="center"/>
          </w:tcPr>
          <w:p w14:paraId="296F2B56" w14:textId="04F50F88" w:rsidR="008639D1" w:rsidRDefault="008639D1" w:rsidP="008639D1">
            <w:pPr>
              <w:jc w:val="center"/>
            </w:pPr>
            <w:r>
              <w:t xml:space="preserve">Jan Paul </w:t>
            </w:r>
            <w:proofErr w:type="spellStart"/>
            <w:r>
              <w:t>Zegarra</w:t>
            </w:r>
            <w:proofErr w:type="spellEnd"/>
          </w:p>
        </w:tc>
        <w:tc>
          <w:tcPr>
            <w:tcW w:w="6798" w:type="dxa"/>
            <w:vAlign w:val="center"/>
          </w:tcPr>
          <w:p w14:paraId="28DE3EB6" w14:textId="66714F59" w:rsidR="008639D1" w:rsidRDefault="008639D1" w:rsidP="008639D1">
            <w:pPr>
              <w:jc w:val="center"/>
            </w:pPr>
            <w:r>
              <w:t>USFWS Caribbean Ecological Services Field Office</w:t>
            </w:r>
          </w:p>
        </w:tc>
      </w:tr>
      <w:tr w:rsidR="008639D1" w14:paraId="72CA29F3" w14:textId="77777777" w:rsidTr="008639D1">
        <w:tc>
          <w:tcPr>
            <w:tcW w:w="2267" w:type="dxa"/>
            <w:vAlign w:val="center"/>
          </w:tcPr>
          <w:p w14:paraId="53C30611" w14:textId="31D3B315" w:rsidR="008639D1" w:rsidRDefault="008639D1" w:rsidP="008639D1">
            <w:pPr>
              <w:jc w:val="center"/>
            </w:pPr>
            <w:r>
              <w:t xml:space="preserve">Nicole </w:t>
            </w:r>
            <w:proofErr w:type="spellStart"/>
            <w:r>
              <w:t>Angeli</w:t>
            </w:r>
            <w:proofErr w:type="spellEnd"/>
          </w:p>
        </w:tc>
        <w:tc>
          <w:tcPr>
            <w:tcW w:w="6798" w:type="dxa"/>
            <w:vAlign w:val="center"/>
          </w:tcPr>
          <w:p w14:paraId="7BCC9702" w14:textId="5C2B4F8B" w:rsidR="008639D1" w:rsidRDefault="008639D1" w:rsidP="008639D1">
            <w:pPr>
              <w:jc w:val="center"/>
            </w:pPr>
            <w:r>
              <w:t>Auburn University, Alabama Fish and Wildlife Cooperative Research Unit</w:t>
            </w:r>
          </w:p>
        </w:tc>
      </w:tr>
      <w:tr w:rsidR="008639D1" w14:paraId="5CF0C1C1" w14:textId="77777777" w:rsidTr="008639D1">
        <w:tc>
          <w:tcPr>
            <w:tcW w:w="2267" w:type="dxa"/>
            <w:vAlign w:val="center"/>
          </w:tcPr>
          <w:p w14:paraId="4A181C60" w14:textId="13ACF833" w:rsidR="008639D1" w:rsidRDefault="008639D1" w:rsidP="008639D1">
            <w:pPr>
              <w:jc w:val="center"/>
            </w:pPr>
            <w:proofErr w:type="spellStart"/>
            <w:r>
              <w:t>Conor</w:t>
            </w:r>
            <w:proofErr w:type="spellEnd"/>
            <w:r>
              <w:t xml:space="preserve"> McGowan</w:t>
            </w:r>
          </w:p>
        </w:tc>
        <w:tc>
          <w:tcPr>
            <w:tcW w:w="6798" w:type="dxa"/>
            <w:vAlign w:val="center"/>
          </w:tcPr>
          <w:p w14:paraId="1A056B44" w14:textId="605A06EB" w:rsidR="008639D1" w:rsidRDefault="008639D1" w:rsidP="008639D1">
            <w:pPr>
              <w:jc w:val="center"/>
            </w:pPr>
            <w:r>
              <w:t>USGS, Alabama Fish and Wildlife Cooperative Research Unit</w:t>
            </w:r>
          </w:p>
        </w:tc>
      </w:tr>
    </w:tbl>
    <w:p w14:paraId="39518743" w14:textId="77777777" w:rsidR="008639D1" w:rsidRPr="006508E6" w:rsidRDefault="008639D1" w:rsidP="005C00B2">
      <w:pPr>
        <w:spacing w:after="0" w:line="240" w:lineRule="auto"/>
      </w:pPr>
    </w:p>
    <w:p w14:paraId="657E9FE8" w14:textId="77777777" w:rsidR="006508E6" w:rsidRDefault="006508E6" w:rsidP="005C00B2">
      <w:pPr>
        <w:spacing w:after="0" w:line="240" w:lineRule="auto"/>
      </w:pPr>
    </w:p>
    <w:p w14:paraId="13B1B856" w14:textId="67C808F1" w:rsidR="005C00B2" w:rsidRDefault="005C00B2" w:rsidP="005C00B2">
      <w:pPr>
        <w:spacing w:after="0" w:line="240" w:lineRule="auto"/>
      </w:pPr>
      <w:r>
        <w:rPr>
          <w:i/>
        </w:rPr>
        <w:t>Demographic Matrix Model</w:t>
      </w:r>
    </w:p>
    <w:p w14:paraId="17C10609" w14:textId="347FE481" w:rsidR="009E095A" w:rsidRDefault="006508E6" w:rsidP="00C37F60">
      <w:pPr>
        <w:spacing w:after="0" w:line="240" w:lineRule="auto"/>
      </w:pPr>
      <w:r>
        <w:t xml:space="preserve">We developed a </w:t>
      </w:r>
      <w:r w:rsidR="00C37F60">
        <w:t>stage</w:t>
      </w:r>
      <w:r>
        <w:t>-based</w:t>
      </w:r>
      <w:r w:rsidR="00CB2972">
        <w:t xml:space="preserve"> </w:t>
      </w:r>
      <w:proofErr w:type="spellStart"/>
      <w:r>
        <w:t>Lefkovitch</w:t>
      </w:r>
      <w:proofErr w:type="spellEnd"/>
      <w:r>
        <w:t xml:space="preserve"> matrix model</w:t>
      </w:r>
      <w:r w:rsidR="00C37F60">
        <w:t xml:space="preserve"> </w:t>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This model was chosen to represent the growth and maturation process </w:t>
      </w:r>
      <w:r w:rsidR="005764E8">
        <w:t>because it</w:t>
      </w:r>
      <w:r w:rsidR="00C37F60">
        <w:t xml:space="preserve"> allows us to account for stage-specific differences in survival and reproductive output. We considered four life stages</w:t>
      </w:r>
      <w:r w:rsidR="00671B5F">
        <w:t xml:space="preserve"> based on size</w:t>
      </w:r>
      <w:r w:rsidR="00C37F60">
        <w:t>: 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 xml:space="preserve">for each size class from the expert team or </w:t>
      </w:r>
      <w:r w:rsidR="00E60A80">
        <w:t>drew estimates</w:t>
      </w:r>
      <w:r w:rsidR="00C37F60">
        <w:t xml:space="preserve"> from the available literature (Table </w:t>
      </w:r>
      <w:r w:rsidR="00DE2C8E">
        <w:t>2</w:t>
      </w:r>
      <w:r w:rsidR="00C37F60">
        <w:t xml:space="preserve">). The experts used personal information, unpublished data and inference from captive zoo populations to determine productivity and survival rates. The experts also directed us to graduate theses and dissertations that were completed but not widely available through literature searches. </w:t>
      </w:r>
    </w:p>
    <w:p w14:paraId="26BFA64B" w14:textId="77777777" w:rsidR="009E095A" w:rsidRDefault="009E095A" w:rsidP="00C37F60">
      <w:pPr>
        <w:spacing w:after="0" w:line="240" w:lineRule="auto"/>
      </w:pPr>
    </w:p>
    <w:p w14:paraId="633EE3AB" w14:textId="631138DF" w:rsidR="00C37F60" w:rsidRPr="00412319" w:rsidRDefault="00C37F60" w:rsidP="00C37F60">
      <w:pPr>
        <w:spacing w:after="0" w:line="240" w:lineRule="auto"/>
      </w:pPr>
      <w:r>
        <w:t>The probabilities of transitioning between size classes was determined by estimating the length of time spent in each age class. For example, experts believed that snakes remained in the juvenile age class for 2 years on average, so the mean transition rate from juvenile to sub-adult was 0.5.  In other words, 50% of the animals in the juvenile age class transitioned to the subadult stage because each year half the animals would transition to the next stage.</w:t>
      </w:r>
    </w:p>
    <w:p w14:paraId="22753D88" w14:textId="77777777" w:rsidR="00C37F60" w:rsidRDefault="00C37F60" w:rsidP="005C00B2">
      <w:pPr>
        <w:spacing w:after="0" w:line="240" w:lineRule="auto"/>
      </w:pPr>
    </w:p>
    <w:p w14:paraId="0079FF2C" w14:textId="77777777" w:rsidR="00C37F60" w:rsidRDefault="00C37F60" w:rsidP="005C00B2">
      <w:pPr>
        <w:spacing w:after="0" w:line="240" w:lineRule="auto"/>
      </w:pPr>
    </w:p>
    <w:p w14:paraId="43F3148E" w14:textId="77777777" w:rsidR="00CB2972" w:rsidRDefault="00CB2972" w:rsidP="00CB2972">
      <w:pPr>
        <w:spacing w:after="0" w:line="240" w:lineRule="auto"/>
      </w:pPr>
    </w:p>
    <w:p w14:paraId="5F68735C" w14:textId="77777777" w:rsidR="00CB2972" w:rsidRDefault="00CB2972" w:rsidP="00CB2972">
      <w:pPr>
        <w:spacing w:after="0" w:line="240" w:lineRule="auto"/>
      </w:pPr>
    </w:p>
    <w:p w14:paraId="3E29981F" w14:textId="4D8A7CC0" w:rsidR="00CB2972" w:rsidRDefault="0052605F" w:rsidP="0052605F">
      <w:pPr>
        <w:spacing w:after="0" w:line="240" w:lineRule="auto"/>
        <w:jc w:val="center"/>
      </w:pPr>
      <w:r>
        <w:rPr>
          <w:noProof/>
        </w:rPr>
        <w:drawing>
          <wp:inline distT="0" distB="0" distL="0" distR="0" wp14:anchorId="54E0B973" wp14:editId="4537BEE4">
            <wp:extent cx="6284499" cy="3067050"/>
            <wp:effectExtent l="0" t="0" r="254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boa_life-cyc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1276" cy="3080118"/>
                    </a:xfrm>
                    <a:prstGeom prst="rect">
                      <a:avLst/>
                    </a:prstGeom>
                  </pic:spPr>
                </pic:pic>
              </a:graphicData>
            </a:graphic>
          </wp:inline>
        </w:drawing>
      </w:r>
    </w:p>
    <w:p w14:paraId="13A6C877" w14:textId="77777777" w:rsidR="00DD6D97" w:rsidRDefault="00DD6D97" w:rsidP="00CB2972">
      <w:pPr>
        <w:spacing w:after="0" w:line="240" w:lineRule="auto"/>
      </w:pPr>
    </w:p>
    <w:p w14:paraId="5CBDA471" w14:textId="11B5DB1B" w:rsidR="00CB2972" w:rsidRDefault="00CB2972" w:rsidP="00CB2972">
      <w:pPr>
        <w:spacing w:after="0" w:line="240" w:lineRule="auto"/>
      </w:pPr>
      <w:r w:rsidRPr="002A6EAC">
        <w:rPr>
          <w:b/>
          <w:bCs/>
        </w:rPr>
        <w:t>Figure 1</w:t>
      </w:r>
      <w:r>
        <w:t xml:space="preserve">. Life cycle </w:t>
      </w:r>
      <w:r w:rsidR="00923AC6">
        <w:t>and stage-based matrix model</w:t>
      </w:r>
      <w:r w:rsidR="00A461AC">
        <w:t xml:space="preserve"> for the Puerto Rican boa</w:t>
      </w:r>
      <w:r w:rsidR="00E60A80">
        <w:t xml:space="preserve">, based on an annual time step and pre-breeding census. In each time step, the probabilities of survival are denoted using the letter </w:t>
      </w:r>
      <m:oMath>
        <m:r>
          <w:rPr>
            <w:rFonts w:ascii="Cambria Math" w:hAnsi="Cambria Math"/>
          </w:rPr>
          <m:t>S</m:t>
        </m:r>
      </m:oMath>
      <w:r w:rsidR="00E60A80">
        <w:rPr>
          <w:rFonts w:eastAsiaTheme="minorEastAsia"/>
        </w:rPr>
        <w:t xml:space="preserve">, probabilities of growth from one stage to the next is denoted </w:t>
      </w:r>
      <m:oMath>
        <m:r>
          <w:rPr>
            <w:rFonts w:ascii="Cambria Math" w:eastAsiaTheme="minorEastAsia" w:hAnsi="Cambria Math"/>
          </w:rPr>
          <m:t>G</m:t>
        </m:r>
      </m:oMath>
      <w:r w:rsidR="00E60A80">
        <w:rPr>
          <w:rFonts w:eastAsiaTheme="minorEastAsia"/>
        </w:rPr>
        <w:t xml:space="preserve">, and the average fecundity (number of offspring produced per individual) is denoted </w:t>
      </w:r>
      <m:oMath>
        <m:r>
          <w:rPr>
            <w:rFonts w:ascii="Cambria Math" w:eastAsiaTheme="minorEastAsia" w:hAnsi="Cambria Math"/>
          </w:rPr>
          <m:t>F</m:t>
        </m:r>
      </m:oMath>
      <w:r w:rsidR="00E60A80">
        <w:rPr>
          <w:rFonts w:eastAsiaTheme="minorEastAsia"/>
        </w:rPr>
        <w:t xml:space="preserve">.  </w:t>
      </w:r>
    </w:p>
    <w:p w14:paraId="23CBCF12" w14:textId="77777777" w:rsidR="00510D9F" w:rsidRDefault="00510D9F" w:rsidP="005C00B2">
      <w:pPr>
        <w:spacing w:after="0" w:line="240" w:lineRule="auto"/>
        <w:rPr>
          <w:rFonts w:eastAsiaTheme="minorEastAsia"/>
          <w:b/>
          <w:bCs/>
        </w:rPr>
      </w:pPr>
      <w:r>
        <w:rPr>
          <w:rFonts w:eastAsiaTheme="minorEastAsia"/>
          <w:b/>
          <w:bCs/>
        </w:rPr>
        <w:br w:type="page"/>
      </w:r>
    </w:p>
    <w:p w14:paraId="49233518" w14:textId="54C8FD76" w:rsidR="00DB3FAC" w:rsidRDefault="00DB3FAC" w:rsidP="005C00B2">
      <w:pPr>
        <w:spacing w:after="0" w:line="240" w:lineRule="auto"/>
        <w:rPr>
          <w:rFonts w:eastAsiaTheme="minorEastAsia"/>
        </w:rPr>
      </w:pPr>
      <w:r w:rsidRPr="002A6EAC">
        <w:rPr>
          <w:rFonts w:eastAsiaTheme="minorEastAsia"/>
          <w:b/>
          <w:bCs/>
        </w:rPr>
        <w:lastRenderedPageBreak/>
        <w:t xml:space="preserve">Table </w:t>
      </w:r>
      <w:r w:rsidR="00DE2C8E">
        <w:rPr>
          <w:rFonts w:eastAsiaTheme="minorEastAsia"/>
          <w:b/>
          <w:bCs/>
        </w:rPr>
        <w:t>2</w:t>
      </w:r>
      <w:r>
        <w:rPr>
          <w:rFonts w:eastAsiaTheme="minorEastAsia"/>
        </w:rPr>
        <w:t>. Stage-specific demographic ra</w:t>
      </w:r>
      <w:r w:rsidR="00510D9F">
        <w:rPr>
          <w:rFonts w:eastAsiaTheme="minorEastAsia"/>
        </w:rPr>
        <w:t>tes. Average values were determined by the expert team or drawn from available literature. Standard deviations (SD) were calculated assuming that rates varied within 15% of the average.</w:t>
      </w:r>
    </w:p>
    <w:tbl>
      <w:tblPr>
        <w:tblStyle w:val="TableGrid"/>
        <w:tblW w:w="94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1800"/>
        <w:gridCol w:w="1076"/>
        <w:gridCol w:w="1665"/>
        <w:gridCol w:w="3487"/>
      </w:tblGrid>
      <w:tr w:rsidR="00510D9F" w14:paraId="42C8E87E" w14:textId="77777777" w:rsidTr="00DE2C8E">
        <w:tc>
          <w:tcPr>
            <w:tcW w:w="1440" w:type="dxa"/>
            <w:tcBorders>
              <w:top w:val="single" w:sz="4" w:space="0" w:color="auto"/>
              <w:bottom w:val="single" w:sz="4" w:space="0" w:color="auto"/>
            </w:tcBorders>
            <w:vAlign w:val="center"/>
          </w:tcPr>
          <w:p w14:paraId="4F1BCC81" w14:textId="621CDB4C" w:rsidR="00510D9F" w:rsidRPr="00412319" w:rsidRDefault="00510D9F" w:rsidP="00412319">
            <w:pPr>
              <w:jc w:val="center"/>
              <w:rPr>
                <w:rFonts w:eastAsiaTheme="minorEastAsia"/>
                <w:b/>
              </w:rPr>
            </w:pPr>
            <w:r w:rsidRPr="00412319">
              <w:rPr>
                <w:rFonts w:eastAsiaTheme="minorEastAsia"/>
                <w:b/>
              </w:rPr>
              <w:t>Demographic rate</w:t>
            </w:r>
          </w:p>
        </w:tc>
        <w:tc>
          <w:tcPr>
            <w:tcW w:w="1800" w:type="dxa"/>
            <w:tcBorders>
              <w:top w:val="single" w:sz="4" w:space="0" w:color="auto"/>
              <w:bottom w:val="single" w:sz="4" w:space="0" w:color="auto"/>
            </w:tcBorders>
            <w:vAlign w:val="center"/>
          </w:tcPr>
          <w:p w14:paraId="3EE3F938" w14:textId="1C4A6756" w:rsidR="00510D9F" w:rsidRPr="00412319" w:rsidRDefault="00510D9F" w:rsidP="00412319">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788161DA" w14:textId="722968EB" w:rsidR="00510D9F" w:rsidRPr="00412319" w:rsidRDefault="00510D9F" w:rsidP="00404D9C">
            <w:pPr>
              <w:jc w:val="center"/>
              <w:rPr>
                <w:rFonts w:eastAsiaTheme="minorEastAsia"/>
                <w:b/>
              </w:rPr>
            </w:pPr>
            <w:r>
              <w:rPr>
                <w:rFonts w:eastAsiaTheme="minorEastAsia"/>
                <w:b/>
              </w:rPr>
              <w:t>Average</w:t>
            </w:r>
          </w:p>
        </w:tc>
        <w:tc>
          <w:tcPr>
            <w:tcW w:w="1665" w:type="dxa"/>
            <w:tcBorders>
              <w:top w:val="single" w:sz="4" w:space="0" w:color="auto"/>
              <w:bottom w:val="single" w:sz="4" w:space="0" w:color="auto"/>
            </w:tcBorders>
            <w:vAlign w:val="center"/>
          </w:tcPr>
          <w:p w14:paraId="1179DABC" w14:textId="77777777" w:rsidR="00510D9F" w:rsidRDefault="00510D9F" w:rsidP="00510D9F">
            <w:pPr>
              <w:jc w:val="center"/>
              <w:rPr>
                <w:rFonts w:eastAsiaTheme="minorEastAsia"/>
                <w:b/>
              </w:rPr>
            </w:pPr>
            <w:r>
              <w:rPr>
                <w:rFonts w:eastAsiaTheme="minorEastAsia"/>
                <w:b/>
              </w:rPr>
              <w:t>SD</w:t>
            </w:r>
            <w:r w:rsidR="00162446">
              <w:rPr>
                <w:rFonts w:eastAsiaTheme="minorEastAsia"/>
                <w:b/>
              </w:rPr>
              <w:t xml:space="preserve"> </w:t>
            </w:r>
          </w:p>
          <w:p w14:paraId="45A6C144" w14:textId="0A0FB219" w:rsidR="00162446" w:rsidRDefault="00162446" w:rsidP="00510D9F">
            <w:pPr>
              <w:jc w:val="center"/>
              <w:rPr>
                <w:rFonts w:eastAsiaTheme="minorEastAsia"/>
                <w:b/>
              </w:rPr>
            </w:pPr>
            <w:r>
              <w:rPr>
                <w:rFonts w:eastAsiaTheme="minorEastAsia"/>
                <w:b/>
              </w:rPr>
              <w:t>(Average*0.15)</w:t>
            </w:r>
          </w:p>
        </w:tc>
        <w:tc>
          <w:tcPr>
            <w:tcW w:w="3487" w:type="dxa"/>
            <w:tcBorders>
              <w:top w:val="single" w:sz="4" w:space="0" w:color="auto"/>
              <w:bottom w:val="single" w:sz="4" w:space="0" w:color="auto"/>
            </w:tcBorders>
            <w:vAlign w:val="center"/>
          </w:tcPr>
          <w:p w14:paraId="1693E51B" w14:textId="3F9B58B4" w:rsidR="00510D9F" w:rsidRPr="00412319" w:rsidRDefault="00510D9F" w:rsidP="00412319">
            <w:pPr>
              <w:jc w:val="center"/>
              <w:rPr>
                <w:rFonts w:eastAsiaTheme="minorEastAsia"/>
                <w:b/>
              </w:rPr>
            </w:pPr>
            <w:r>
              <w:rPr>
                <w:rFonts w:eastAsiaTheme="minorEastAsia"/>
                <w:b/>
              </w:rPr>
              <w:t>Rationale</w:t>
            </w:r>
          </w:p>
        </w:tc>
      </w:tr>
      <w:tr w:rsidR="00510D9F" w14:paraId="53565AEB" w14:textId="77777777" w:rsidTr="00DE2C8E">
        <w:tc>
          <w:tcPr>
            <w:tcW w:w="1440" w:type="dxa"/>
            <w:tcBorders>
              <w:top w:val="single" w:sz="4" w:space="0" w:color="auto"/>
            </w:tcBorders>
            <w:vAlign w:val="center"/>
          </w:tcPr>
          <w:p w14:paraId="308BFFA4" w14:textId="6B054B9F" w:rsidR="00510D9F" w:rsidRDefault="00667C9A"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1800" w:type="dxa"/>
            <w:tcBorders>
              <w:top w:val="single" w:sz="4" w:space="0" w:color="auto"/>
            </w:tcBorders>
            <w:vAlign w:val="center"/>
          </w:tcPr>
          <w:p w14:paraId="0F03ED10" w14:textId="7BB5B4DF" w:rsidR="00510D9F" w:rsidRDefault="00510D9F" w:rsidP="00412319">
            <w:pPr>
              <w:jc w:val="center"/>
              <w:rPr>
                <w:rFonts w:eastAsiaTheme="minorEastAsia"/>
              </w:rPr>
            </w:pPr>
            <w:r>
              <w:rPr>
                <w:rFonts w:eastAsiaTheme="minorEastAsia"/>
              </w:rPr>
              <w:t>Survival – young of the year</w:t>
            </w:r>
          </w:p>
        </w:tc>
        <w:tc>
          <w:tcPr>
            <w:tcW w:w="1076" w:type="dxa"/>
            <w:tcBorders>
              <w:top w:val="single" w:sz="4" w:space="0" w:color="auto"/>
            </w:tcBorders>
            <w:vAlign w:val="center"/>
          </w:tcPr>
          <w:p w14:paraId="05DB1691" w14:textId="4ADCADCA" w:rsidR="00510D9F" w:rsidRDefault="00510D9F" w:rsidP="00412319">
            <w:pPr>
              <w:jc w:val="center"/>
              <w:rPr>
                <w:rFonts w:eastAsiaTheme="minorEastAsia"/>
              </w:rPr>
            </w:pPr>
            <w:r>
              <w:rPr>
                <w:rFonts w:eastAsiaTheme="minorEastAsia"/>
              </w:rPr>
              <w:t>0.3</w:t>
            </w:r>
          </w:p>
        </w:tc>
        <w:tc>
          <w:tcPr>
            <w:tcW w:w="1665" w:type="dxa"/>
            <w:tcBorders>
              <w:top w:val="single" w:sz="4" w:space="0" w:color="auto"/>
            </w:tcBorders>
            <w:vAlign w:val="center"/>
          </w:tcPr>
          <w:p w14:paraId="2744A9BE" w14:textId="05F5D1FF" w:rsidR="00510D9F" w:rsidRDefault="00510D9F" w:rsidP="00510D9F">
            <w:pPr>
              <w:jc w:val="center"/>
              <w:rPr>
                <w:rFonts w:eastAsiaTheme="minorEastAsia"/>
              </w:rPr>
            </w:pPr>
            <w:r>
              <w:rPr>
                <w:rFonts w:eastAsiaTheme="minorEastAsia"/>
              </w:rPr>
              <w:t>0.0</w:t>
            </w:r>
            <w:r w:rsidR="00162446">
              <w:rPr>
                <w:rFonts w:eastAsiaTheme="minorEastAsia"/>
              </w:rPr>
              <w:t>5</w:t>
            </w:r>
          </w:p>
        </w:tc>
        <w:tc>
          <w:tcPr>
            <w:tcW w:w="3487" w:type="dxa"/>
            <w:tcBorders>
              <w:top w:val="single" w:sz="4" w:space="0" w:color="auto"/>
            </w:tcBorders>
            <w:vAlign w:val="center"/>
          </w:tcPr>
          <w:p w14:paraId="40FD5FF0" w14:textId="2951194F" w:rsidR="00510D9F" w:rsidRPr="00436159" w:rsidRDefault="00510D9F" w:rsidP="00412319">
            <w:pPr>
              <w:jc w:val="center"/>
              <w:rPr>
                <w:rFonts w:eastAsiaTheme="minorEastAsia"/>
              </w:rPr>
            </w:pPr>
            <w:r>
              <w:rPr>
                <w:rFonts w:eastAsiaTheme="minorEastAsia"/>
              </w:rPr>
              <w:t xml:space="preserve">Expert opinion, informed by studies of Cuban </w:t>
            </w:r>
            <w:proofErr w:type="spellStart"/>
            <w:r>
              <w:rPr>
                <w:rFonts w:eastAsiaTheme="minorEastAsia"/>
              </w:rPr>
              <w:t>boa</w:t>
            </w:r>
            <w:r>
              <w:rPr>
                <w:rFonts w:eastAsiaTheme="minorEastAsia"/>
                <w:vertAlign w:val="superscript"/>
              </w:rPr>
              <w:t>a</w:t>
            </w:r>
            <w:proofErr w:type="spellEnd"/>
          </w:p>
        </w:tc>
      </w:tr>
      <w:tr w:rsidR="00510D9F" w14:paraId="73CB1F5C" w14:textId="77777777" w:rsidTr="00DE2C8E">
        <w:tc>
          <w:tcPr>
            <w:tcW w:w="1440" w:type="dxa"/>
            <w:vAlign w:val="center"/>
          </w:tcPr>
          <w:p w14:paraId="32EAD651" w14:textId="150C9006" w:rsidR="00510D9F" w:rsidRDefault="00667C9A"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1800" w:type="dxa"/>
            <w:vAlign w:val="center"/>
          </w:tcPr>
          <w:p w14:paraId="2EBFE4EC" w14:textId="70CA1517" w:rsidR="00510D9F" w:rsidRDefault="00510D9F" w:rsidP="00412319">
            <w:pPr>
              <w:jc w:val="center"/>
              <w:rPr>
                <w:rFonts w:eastAsiaTheme="minorEastAsia"/>
              </w:rPr>
            </w:pPr>
            <w:r>
              <w:rPr>
                <w:rFonts w:eastAsiaTheme="minorEastAsia"/>
              </w:rPr>
              <w:t>Survival – Juvenile</w:t>
            </w:r>
          </w:p>
        </w:tc>
        <w:tc>
          <w:tcPr>
            <w:tcW w:w="1076" w:type="dxa"/>
            <w:vAlign w:val="center"/>
          </w:tcPr>
          <w:p w14:paraId="762CBF4F" w14:textId="41660802" w:rsidR="00510D9F" w:rsidRDefault="00510D9F" w:rsidP="00412319">
            <w:pPr>
              <w:jc w:val="center"/>
              <w:rPr>
                <w:rFonts w:eastAsiaTheme="minorEastAsia"/>
              </w:rPr>
            </w:pPr>
            <w:r>
              <w:rPr>
                <w:rFonts w:eastAsiaTheme="minorEastAsia"/>
              </w:rPr>
              <w:t>0.9</w:t>
            </w:r>
          </w:p>
        </w:tc>
        <w:tc>
          <w:tcPr>
            <w:tcW w:w="1665" w:type="dxa"/>
            <w:vAlign w:val="center"/>
          </w:tcPr>
          <w:p w14:paraId="349512CA" w14:textId="6884112C" w:rsidR="00510D9F" w:rsidRDefault="00510D9F" w:rsidP="00510D9F">
            <w:pPr>
              <w:jc w:val="center"/>
              <w:rPr>
                <w:rFonts w:eastAsiaTheme="minorEastAsia"/>
              </w:rPr>
            </w:pPr>
            <w:r>
              <w:rPr>
                <w:rFonts w:eastAsiaTheme="minorEastAsia"/>
              </w:rPr>
              <w:t>0.1</w:t>
            </w:r>
            <w:r w:rsidR="00162446">
              <w:rPr>
                <w:rFonts w:eastAsiaTheme="minorEastAsia"/>
              </w:rPr>
              <w:t>4</w:t>
            </w:r>
          </w:p>
        </w:tc>
        <w:tc>
          <w:tcPr>
            <w:tcW w:w="3487" w:type="dxa"/>
            <w:vAlign w:val="center"/>
          </w:tcPr>
          <w:p w14:paraId="2DB42A65" w14:textId="1030A0CA" w:rsidR="00510D9F" w:rsidRDefault="00510D9F" w:rsidP="00412319">
            <w:pPr>
              <w:jc w:val="center"/>
              <w:rPr>
                <w:rFonts w:eastAsiaTheme="minorEastAsia"/>
              </w:rPr>
            </w:pPr>
            <w:r>
              <w:rPr>
                <w:rFonts w:eastAsiaTheme="minorEastAsia"/>
              </w:rPr>
              <w:t>Expert opinion</w:t>
            </w:r>
          </w:p>
        </w:tc>
      </w:tr>
      <w:tr w:rsidR="00510D9F" w14:paraId="5B99EE02" w14:textId="77777777" w:rsidTr="00DE2C8E">
        <w:tc>
          <w:tcPr>
            <w:tcW w:w="1440" w:type="dxa"/>
            <w:vAlign w:val="center"/>
          </w:tcPr>
          <w:p w14:paraId="527EEEE0" w14:textId="3010CE2E" w:rsidR="00510D9F" w:rsidRDefault="00667C9A"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1800" w:type="dxa"/>
            <w:vAlign w:val="center"/>
          </w:tcPr>
          <w:p w14:paraId="1B738A41" w14:textId="1397FD75" w:rsidR="00510D9F" w:rsidRDefault="00510D9F" w:rsidP="00412319">
            <w:pPr>
              <w:jc w:val="center"/>
              <w:rPr>
                <w:rFonts w:eastAsiaTheme="minorEastAsia"/>
              </w:rPr>
            </w:pPr>
            <w:r>
              <w:rPr>
                <w:rFonts w:eastAsiaTheme="minorEastAsia"/>
              </w:rPr>
              <w:t>Survival – Subadult</w:t>
            </w:r>
          </w:p>
        </w:tc>
        <w:tc>
          <w:tcPr>
            <w:tcW w:w="1076" w:type="dxa"/>
            <w:vAlign w:val="center"/>
          </w:tcPr>
          <w:p w14:paraId="6A9EFB49" w14:textId="0CBDD8F1" w:rsidR="00510D9F" w:rsidRDefault="00510D9F" w:rsidP="00412319">
            <w:pPr>
              <w:jc w:val="center"/>
              <w:rPr>
                <w:rFonts w:eastAsiaTheme="minorEastAsia"/>
              </w:rPr>
            </w:pPr>
            <w:r>
              <w:rPr>
                <w:rFonts w:eastAsiaTheme="minorEastAsia"/>
              </w:rPr>
              <w:t>0.72</w:t>
            </w:r>
          </w:p>
        </w:tc>
        <w:tc>
          <w:tcPr>
            <w:tcW w:w="1665" w:type="dxa"/>
            <w:vAlign w:val="center"/>
          </w:tcPr>
          <w:p w14:paraId="261BFC77" w14:textId="5A5BBE29" w:rsidR="00510D9F" w:rsidRDefault="00510D9F" w:rsidP="00510D9F">
            <w:pPr>
              <w:jc w:val="center"/>
              <w:rPr>
                <w:rFonts w:eastAsiaTheme="minorEastAsia"/>
              </w:rPr>
            </w:pPr>
            <w:r>
              <w:rPr>
                <w:rFonts w:eastAsiaTheme="minorEastAsia"/>
              </w:rPr>
              <w:t>0.1</w:t>
            </w:r>
            <w:r w:rsidR="00162446">
              <w:rPr>
                <w:rFonts w:eastAsiaTheme="minorEastAsia"/>
              </w:rPr>
              <w:t>1</w:t>
            </w:r>
          </w:p>
        </w:tc>
        <w:tc>
          <w:tcPr>
            <w:tcW w:w="3487" w:type="dxa"/>
            <w:vAlign w:val="center"/>
          </w:tcPr>
          <w:p w14:paraId="701B1FA5" w14:textId="55FEAC11" w:rsidR="00510D9F" w:rsidRDefault="00510D9F" w:rsidP="00412319">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510D9F" w14:paraId="55683C92" w14:textId="77777777" w:rsidTr="00DE2C8E">
        <w:tc>
          <w:tcPr>
            <w:tcW w:w="1440" w:type="dxa"/>
            <w:vAlign w:val="center"/>
          </w:tcPr>
          <w:p w14:paraId="3B4CA050" w14:textId="3500AB75" w:rsidR="00510D9F" w:rsidRDefault="00667C9A"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1800" w:type="dxa"/>
            <w:vAlign w:val="center"/>
          </w:tcPr>
          <w:p w14:paraId="1B6DBECD" w14:textId="48E32CC6" w:rsidR="00510D9F" w:rsidRDefault="00510D9F" w:rsidP="00412319">
            <w:pPr>
              <w:jc w:val="center"/>
              <w:rPr>
                <w:rFonts w:eastAsiaTheme="minorEastAsia"/>
              </w:rPr>
            </w:pPr>
            <w:r>
              <w:rPr>
                <w:rFonts w:eastAsiaTheme="minorEastAsia"/>
              </w:rPr>
              <w:t>Survival – Adult</w:t>
            </w:r>
          </w:p>
        </w:tc>
        <w:tc>
          <w:tcPr>
            <w:tcW w:w="1076" w:type="dxa"/>
            <w:vAlign w:val="center"/>
          </w:tcPr>
          <w:p w14:paraId="05AEF1E3" w14:textId="127F927B" w:rsidR="00510D9F" w:rsidRDefault="00510D9F" w:rsidP="00412319">
            <w:pPr>
              <w:jc w:val="center"/>
              <w:rPr>
                <w:rFonts w:eastAsiaTheme="minorEastAsia"/>
              </w:rPr>
            </w:pPr>
            <w:r>
              <w:rPr>
                <w:rFonts w:eastAsiaTheme="minorEastAsia"/>
              </w:rPr>
              <w:t>0.9</w:t>
            </w:r>
          </w:p>
        </w:tc>
        <w:tc>
          <w:tcPr>
            <w:tcW w:w="1665" w:type="dxa"/>
            <w:vAlign w:val="center"/>
          </w:tcPr>
          <w:p w14:paraId="1BA9F96C" w14:textId="28B7F47F" w:rsidR="00510D9F" w:rsidRDefault="00510D9F" w:rsidP="00510D9F">
            <w:pPr>
              <w:jc w:val="center"/>
              <w:rPr>
                <w:rFonts w:eastAsiaTheme="minorEastAsia"/>
              </w:rPr>
            </w:pPr>
            <w:r>
              <w:rPr>
                <w:rFonts w:eastAsiaTheme="minorEastAsia"/>
              </w:rPr>
              <w:t>0.1</w:t>
            </w:r>
            <w:r w:rsidR="00162446">
              <w:rPr>
                <w:rFonts w:eastAsiaTheme="minorEastAsia"/>
              </w:rPr>
              <w:t>4</w:t>
            </w:r>
          </w:p>
        </w:tc>
        <w:tc>
          <w:tcPr>
            <w:tcW w:w="3487" w:type="dxa"/>
            <w:vAlign w:val="center"/>
          </w:tcPr>
          <w:p w14:paraId="23823642" w14:textId="1AB1377A" w:rsidR="00510D9F" w:rsidRPr="00436159" w:rsidRDefault="00510D9F" w:rsidP="00412319">
            <w:pPr>
              <w:jc w:val="center"/>
              <w:rPr>
                <w:rFonts w:eastAsiaTheme="minorEastAsia"/>
              </w:rPr>
            </w:pPr>
            <w:r>
              <w:rPr>
                <w:rFonts w:eastAsiaTheme="minorEastAsia"/>
              </w:rPr>
              <w:t xml:space="preserve">Expert opinion and estimates from radio-tracked translocated </w:t>
            </w:r>
            <w:proofErr w:type="spellStart"/>
            <w:r>
              <w:rPr>
                <w:rFonts w:eastAsiaTheme="minorEastAsia"/>
              </w:rPr>
              <w:t>snakes</w:t>
            </w:r>
            <w:r>
              <w:rPr>
                <w:rFonts w:eastAsiaTheme="minorEastAsia"/>
                <w:vertAlign w:val="superscript"/>
              </w:rPr>
              <w:t>c</w:t>
            </w:r>
            <w:proofErr w:type="spellEnd"/>
          </w:p>
        </w:tc>
      </w:tr>
      <w:tr w:rsidR="00510D9F" w14:paraId="06198A76" w14:textId="77777777" w:rsidTr="00DE2C8E">
        <w:tc>
          <w:tcPr>
            <w:tcW w:w="1440" w:type="dxa"/>
            <w:vAlign w:val="center"/>
          </w:tcPr>
          <w:p w14:paraId="1AE88887" w14:textId="26EC594A" w:rsidR="00510D9F" w:rsidRDefault="00667C9A"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1800" w:type="dxa"/>
            <w:vAlign w:val="center"/>
          </w:tcPr>
          <w:p w14:paraId="3DB93865" w14:textId="14AC95D6" w:rsidR="00510D9F" w:rsidRDefault="00510D9F" w:rsidP="00412319">
            <w:pPr>
              <w:jc w:val="center"/>
              <w:rPr>
                <w:rFonts w:eastAsiaTheme="minorEastAsia"/>
              </w:rPr>
            </w:pPr>
            <w:r>
              <w:rPr>
                <w:rFonts w:eastAsiaTheme="minorEastAsia"/>
              </w:rPr>
              <w:t>Growth – Young to Juvenile</w:t>
            </w:r>
          </w:p>
        </w:tc>
        <w:tc>
          <w:tcPr>
            <w:tcW w:w="1076" w:type="dxa"/>
            <w:vAlign w:val="center"/>
          </w:tcPr>
          <w:p w14:paraId="65CA7490" w14:textId="114B1158" w:rsidR="00510D9F" w:rsidRDefault="00510D9F" w:rsidP="00412319">
            <w:pPr>
              <w:jc w:val="center"/>
              <w:rPr>
                <w:rFonts w:eastAsiaTheme="minorEastAsia"/>
              </w:rPr>
            </w:pPr>
            <w:r>
              <w:rPr>
                <w:rFonts w:eastAsiaTheme="minorEastAsia"/>
              </w:rPr>
              <w:t>0.67</w:t>
            </w:r>
          </w:p>
        </w:tc>
        <w:tc>
          <w:tcPr>
            <w:tcW w:w="1665" w:type="dxa"/>
            <w:vAlign w:val="center"/>
          </w:tcPr>
          <w:p w14:paraId="3B506938" w14:textId="00222EA6" w:rsidR="00510D9F" w:rsidRDefault="00510D9F" w:rsidP="00510D9F">
            <w:pPr>
              <w:jc w:val="center"/>
              <w:rPr>
                <w:rFonts w:eastAsiaTheme="minorEastAsia"/>
              </w:rPr>
            </w:pPr>
            <w:r>
              <w:rPr>
                <w:rFonts w:eastAsiaTheme="minorEastAsia"/>
              </w:rPr>
              <w:t>0.1</w:t>
            </w:r>
          </w:p>
        </w:tc>
        <w:tc>
          <w:tcPr>
            <w:tcW w:w="3487" w:type="dxa"/>
            <w:vAlign w:val="center"/>
          </w:tcPr>
          <w:p w14:paraId="22E6AA21" w14:textId="62D25D41" w:rsidR="00510D9F" w:rsidRDefault="00510D9F" w:rsidP="00412319">
            <w:pPr>
              <w:jc w:val="center"/>
              <w:rPr>
                <w:rFonts w:eastAsiaTheme="minorEastAsia"/>
              </w:rPr>
            </w:pPr>
            <w:r>
              <w:rPr>
                <w:rFonts w:eastAsiaTheme="minorEastAsia"/>
              </w:rPr>
              <w:t>Expert opinion – approximately 2/3 of the young of the year grow enough to become juveniles in the next year.</w:t>
            </w:r>
          </w:p>
        </w:tc>
      </w:tr>
      <w:tr w:rsidR="00510D9F" w14:paraId="3D7B892C" w14:textId="77777777" w:rsidTr="00DE2C8E">
        <w:tc>
          <w:tcPr>
            <w:tcW w:w="1440" w:type="dxa"/>
            <w:vAlign w:val="center"/>
          </w:tcPr>
          <w:p w14:paraId="1CE17582" w14:textId="5819419C" w:rsidR="00510D9F" w:rsidRDefault="00667C9A"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1800" w:type="dxa"/>
            <w:vAlign w:val="center"/>
          </w:tcPr>
          <w:p w14:paraId="19D7674E" w14:textId="2DBCF010" w:rsidR="00510D9F" w:rsidRDefault="00510D9F" w:rsidP="00412319">
            <w:pPr>
              <w:jc w:val="center"/>
              <w:rPr>
                <w:rFonts w:eastAsiaTheme="minorEastAsia"/>
              </w:rPr>
            </w:pPr>
            <w:r>
              <w:rPr>
                <w:rFonts w:eastAsiaTheme="minorEastAsia"/>
              </w:rPr>
              <w:t>Growth – Juvenile to Subadult</w:t>
            </w:r>
          </w:p>
        </w:tc>
        <w:tc>
          <w:tcPr>
            <w:tcW w:w="1076" w:type="dxa"/>
            <w:vAlign w:val="center"/>
          </w:tcPr>
          <w:p w14:paraId="1065CF40" w14:textId="29E94B58" w:rsidR="00510D9F" w:rsidRDefault="00510D9F" w:rsidP="00412319">
            <w:pPr>
              <w:jc w:val="center"/>
              <w:rPr>
                <w:rFonts w:eastAsiaTheme="minorEastAsia"/>
              </w:rPr>
            </w:pPr>
            <w:r>
              <w:rPr>
                <w:rFonts w:eastAsiaTheme="minorEastAsia"/>
              </w:rPr>
              <w:t>0.5</w:t>
            </w:r>
          </w:p>
        </w:tc>
        <w:tc>
          <w:tcPr>
            <w:tcW w:w="1665" w:type="dxa"/>
            <w:vAlign w:val="center"/>
          </w:tcPr>
          <w:p w14:paraId="5FE05128" w14:textId="42CA8F87" w:rsidR="00510D9F" w:rsidRDefault="00510D9F" w:rsidP="00510D9F">
            <w:pPr>
              <w:jc w:val="center"/>
              <w:rPr>
                <w:rFonts w:eastAsiaTheme="minorEastAsia"/>
              </w:rPr>
            </w:pPr>
            <w:r>
              <w:rPr>
                <w:rFonts w:eastAsiaTheme="minorEastAsia"/>
              </w:rPr>
              <w:t>0.0</w:t>
            </w:r>
            <w:r w:rsidR="00162446">
              <w:rPr>
                <w:rFonts w:eastAsiaTheme="minorEastAsia"/>
              </w:rPr>
              <w:t>8</w:t>
            </w:r>
          </w:p>
        </w:tc>
        <w:tc>
          <w:tcPr>
            <w:tcW w:w="3487" w:type="dxa"/>
            <w:vAlign w:val="center"/>
          </w:tcPr>
          <w:p w14:paraId="2CCC879E" w14:textId="16E164AF" w:rsidR="00510D9F" w:rsidRDefault="00510D9F" w:rsidP="00412319">
            <w:pPr>
              <w:jc w:val="center"/>
              <w:rPr>
                <w:rFonts w:eastAsiaTheme="minorEastAsia"/>
              </w:rPr>
            </w:pPr>
            <w:r>
              <w:rPr>
                <w:rFonts w:eastAsiaTheme="minorEastAsia"/>
              </w:rPr>
              <w:t>Expert opinion – juvenile stage typically lasts two years</w:t>
            </w:r>
          </w:p>
        </w:tc>
      </w:tr>
      <w:tr w:rsidR="00510D9F" w14:paraId="062771DB" w14:textId="77777777" w:rsidTr="00DE2C8E">
        <w:tc>
          <w:tcPr>
            <w:tcW w:w="1440" w:type="dxa"/>
            <w:vAlign w:val="center"/>
          </w:tcPr>
          <w:p w14:paraId="474A2F7B" w14:textId="269FBACF" w:rsidR="00510D9F" w:rsidRDefault="00667C9A"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1800" w:type="dxa"/>
            <w:vAlign w:val="center"/>
          </w:tcPr>
          <w:p w14:paraId="3B385AFF" w14:textId="4452567A" w:rsidR="00510D9F" w:rsidRDefault="00510D9F" w:rsidP="00412319">
            <w:pPr>
              <w:jc w:val="center"/>
              <w:rPr>
                <w:rFonts w:eastAsiaTheme="minorEastAsia"/>
              </w:rPr>
            </w:pPr>
            <w:r>
              <w:rPr>
                <w:rFonts w:eastAsiaTheme="minorEastAsia"/>
              </w:rPr>
              <w:t>Growth – Subadult to Adult</w:t>
            </w:r>
          </w:p>
        </w:tc>
        <w:tc>
          <w:tcPr>
            <w:tcW w:w="1076" w:type="dxa"/>
            <w:vAlign w:val="center"/>
          </w:tcPr>
          <w:p w14:paraId="040C5B01" w14:textId="1FCDE0B6" w:rsidR="00510D9F" w:rsidRDefault="00510D9F" w:rsidP="00412319">
            <w:pPr>
              <w:jc w:val="center"/>
              <w:rPr>
                <w:rFonts w:eastAsiaTheme="minorEastAsia"/>
              </w:rPr>
            </w:pPr>
            <w:r>
              <w:rPr>
                <w:rFonts w:eastAsiaTheme="minorEastAsia"/>
              </w:rPr>
              <w:t>0.25</w:t>
            </w:r>
          </w:p>
        </w:tc>
        <w:tc>
          <w:tcPr>
            <w:tcW w:w="1665" w:type="dxa"/>
            <w:vAlign w:val="center"/>
          </w:tcPr>
          <w:p w14:paraId="13C42794" w14:textId="0DEBD89A" w:rsidR="00510D9F" w:rsidRDefault="00510D9F" w:rsidP="00510D9F">
            <w:pPr>
              <w:jc w:val="center"/>
              <w:rPr>
                <w:rFonts w:eastAsiaTheme="minorEastAsia"/>
              </w:rPr>
            </w:pPr>
            <w:r>
              <w:rPr>
                <w:rFonts w:eastAsiaTheme="minorEastAsia"/>
              </w:rPr>
              <w:t>0.3</w:t>
            </w:r>
            <w:r w:rsidR="00162446">
              <w:rPr>
                <w:rFonts w:eastAsiaTheme="minorEastAsia"/>
              </w:rPr>
              <w:t>8</w:t>
            </w:r>
          </w:p>
        </w:tc>
        <w:tc>
          <w:tcPr>
            <w:tcW w:w="3487" w:type="dxa"/>
            <w:vAlign w:val="center"/>
          </w:tcPr>
          <w:p w14:paraId="690BD641" w14:textId="3B966597" w:rsidR="00510D9F" w:rsidRDefault="00510D9F" w:rsidP="00412319">
            <w:pPr>
              <w:jc w:val="center"/>
              <w:rPr>
                <w:rFonts w:eastAsiaTheme="minorEastAsia"/>
              </w:rPr>
            </w:pPr>
            <w:r>
              <w:rPr>
                <w:rFonts w:eastAsiaTheme="minorEastAsia"/>
              </w:rPr>
              <w:t>Expert opinion – subadult stage typically lasts four years</w:t>
            </w:r>
          </w:p>
        </w:tc>
      </w:tr>
      <w:tr w:rsidR="00510D9F" w14:paraId="19CF511E" w14:textId="77777777" w:rsidTr="00DE2C8E">
        <w:tc>
          <w:tcPr>
            <w:tcW w:w="1440" w:type="dxa"/>
            <w:vAlign w:val="center"/>
          </w:tcPr>
          <w:p w14:paraId="38393435" w14:textId="39D07643" w:rsidR="00510D9F" w:rsidRDefault="00667C9A"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1800" w:type="dxa"/>
            <w:vAlign w:val="center"/>
          </w:tcPr>
          <w:p w14:paraId="0594953F" w14:textId="06F9F06D" w:rsidR="00510D9F" w:rsidRDefault="00510D9F" w:rsidP="00412319">
            <w:pPr>
              <w:jc w:val="center"/>
              <w:rPr>
                <w:rFonts w:eastAsiaTheme="minorEastAsia"/>
              </w:rPr>
            </w:pPr>
            <w:r>
              <w:rPr>
                <w:rFonts w:eastAsiaTheme="minorEastAsia"/>
              </w:rPr>
              <w:t>Fecundity – Adult</w:t>
            </w:r>
          </w:p>
        </w:tc>
        <w:tc>
          <w:tcPr>
            <w:tcW w:w="1076" w:type="dxa"/>
            <w:vAlign w:val="center"/>
          </w:tcPr>
          <w:p w14:paraId="302E4A02" w14:textId="260F883A" w:rsidR="00510D9F" w:rsidRDefault="002B6313" w:rsidP="00412319">
            <w:pPr>
              <w:jc w:val="center"/>
              <w:rPr>
                <w:rFonts w:eastAsiaTheme="minorEastAsia"/>
              </w:rPr>
            </w:pPr>
            <w:r>
              <w:rPr>
                <w:rFonts w:eastAsiaTheme="minorEastAsia"/>
              </w:rPr>
              <w:t>4.5</w:t>
            </w:r>
          </w:p>
        </w:tc>
        <w:tc>
          <w:tcPr>
            <w:tcW w:w="1665" w:type="dxa"/>
            <w:vAlign w:val="center"/>
          </w:tcPr>
          <w:p w14:paraId="11CA85A6" w14:textId="3BD264EA" w:rsidR="00510D9F" w:rsidRDefault="00510D9F" w:rsidP="00510D9F">
            <w:pPr>
              <w:jc w:val="center"/>
              <w:rPr>
                <w:rFonts w:eastAsiaTheme="minorEastAsia"/>
              </w:rPr>
            </w:pPr>
            <w:r>
              <w:rPr>
                <w:rFonts w:eastAsiaTheme="minorEastAsia"/>
              </w:rPr>
              <w:t>1.</w:t>
            </w:r>
            <w:r w:rsidR="00162446">
              <w:rPr>
                <w:rFonts w:eastAsiaTheme="minorEastAsia"/>
              </w:rPr>
              <w:t>4</w:t>
            </w:r>
          </w:p>
        </w:tc>
        <w:tc>
          <w:tcPr>
            <w:tcW w:w="3487" w:type="dxa"/>
            <w:vAlign w:val="center"/>
          </w:tcPr>
          <w:p w14:paraId="7ADA0A6F" w14:textId="5BD74EAD" w:rsidR="00510D9F" w:rsidRPr="005F08A1" w:rsidRDefault="00510D9F" w:rsidP="00412319">
            <w:pPr>
              <w:jc w:val="center"/>
              <w:rPr>
                <w:rFonts w:eastAsiaTheme="minorEastAsia"/>
              </w:rPr>
            </w:pPr>
            <w:r>
              <w:rPr>
                <w:rFonts w:eastAsiaTheme="minorEastAsia"/>
              </w:rPr>
              <w:t>Average clutch size is 18 (range = 12-</w:t>
            </w:r>
            <w:proofErr w:type="gramStart"/>
            <w:r>
              <w:rPr>
                <w:rFonts w:eastAsiaTheme="minorEastAsia"/>
              </w:rPr>
              <w:t>32)</w:t>
            </w:r>
            <w:proofErr w:type="spellStart"/>
            <w:r w:rsidRPr="00436159">
              <w:rPr>
                <w:rFonts w:eastAsiaTheme="minorEastAsia"/>
                <w:vertAlign w:val="superscript"/>
              </w:rPr>
              <w:t>b</w:t>
            </w:r>
            <w:proofErr w:type="gramEnd"/>
            <w:r w:rsidRPr="00436159">
              <w:rPr>
                <w:rFonts w:eastAsiaTheme="minorEastAsia"/>
                <w:vertAlign w:val="superscript"/>
              </w:rPr>
              <w:t>,c</w:t>
            </w:r>
            <w:proofErr w:type="spellEnd"/>
            <w:r>
              <w:rPr>
                <w:rFonts w:eastAsiaTheme="minorEastAsia"/>
              </w:rPr>
              <w:t xml:space="preserve"> This clutch size is multiplied by 0.5 because only females produce young (assumes a 50:50 sex ratio)</w:t>
            </w:r>
            <w:r w:rsidR="009002A2">
              <w:rPr>
                <w:rFonts w:eastAsiaTheme="minorEastAsia"/>
              </w:rPr>
              <w:t xml:space="preserve"> and multiplied by 0.5 again because females reproduce </w:t>
            </w:r>
            <w:proofErr w:type="spellStart"/>
            <w:r w:rsidR="005F08A1">
              <w:rPr>
                <w:rFonts w:eastAsiaTheme="minorEastAsia"/>
              </w:rPr>
              <w:t>biennially</w:t>
            </w:r>
            <w:r w:rsidR="005F08A1">
              <w:rPr>
                <w:rFonts w:eastAsiaTheme="minorEastAsia"/>
                <w:vertAlign w:val="superscript"/>
              </w:rPr>
              <w:t>d</w:t>
            </w:r>
            <w:proofErr w:type="spellEnd"/>
          </w:p>
        </w:tc>
      </w:tr>
      <w:tr w:rsidR="00510D9F" w14:paraId="77870894" w14:textId="77777777" w:rsidTr="00DE2C8E">
        <w:tc>
          <w:tcPr>
            <w:tcW w:w="1440" w:type="dxa"/>
            <w:vAlign w:val="center"/>
          </w:tcPr>
          <w:p w14:paraId="0E8923D2" w14:textId="77EF46FE" w:rsidR="00510D9F" w:rsidRDefault="00667C9A"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1800" w:type="dxa"/>
            <w:vAlign w:val="center"/>
          </w:tcPr>
          <w:p w14:paraId="3E2FD6A0" w14:textId="235962AD" w:rsidR="00510D9F" w:rsidRDefault="00510D9F" w:rsidP="00412319">
            <w:pPr>
              <w:jc w:val="center"/>
              <w:rPr>
                <w:rFonts w:eastAsiaTheme="minorEastAsia"/>
              </w:rPr>
            </w:pPr>
            <w:r>
              <w:rPr>
                <w:rFonts w:eastAsiaTheme="minorEastAsia"/>
              </w:rPr>
              <w:t>Fecundity – Subadult</w:t>
            </w:r>
          </w:p>
        </w:tc>
        <w:tc>
          <w:tcPr>
            <w:tcW w:w="1076" w:type="dxa"/>
            <w:vAlign w:val="center"/>
          </w:tcPr>
          <w:p w14:paraId="4C499FD3" w14:textId="3CE13726" w:rsidR="00510D9F" w:rsidRDefault="00510D9F" w:rsidP="00412319">
            <w:pPr>
              <w:jc w:val="center"/>
              <w:rPr>
                <w:rFonts w:eastAsiaTheme="minorEastAsia"/>
              </w:rPr>
            </w:pPr>
            <w:r>
              <w:rPr>
                <w:rFonts w:eastAsiaTheme="minorEastAsia"/>
              </w:rPr>
              <w:t>2</w:t>
            </w:r>
          </w:p>
        </w:tc>
        <w:tc>
          <w:tcPr>
            <w:tcW w:w="1665" w:type="dxa"/>
            <w:vAlign w:val="center"/>
          </w:tcPr>
          <w:p w14:paraId="43C253B9" w14:textId="512F00D5" w:rsidR="00510D9F" w:rsidRDefault="00510D9F" w:rsidP="00510D9F">
            <w:pPr>
              <w:jc w:val="center"/>
              <w:rPr>
                <w:rFonts w:eastAsiaTheme="minorEastAsia"/>
              </w:rPr>
            </w:pPr>
            <w:r>
              <w:rPr>
                <w:rFonts w:eastAsiaTheme="minorEastAsia"/>
              </w:rPr>
              <w:t>1.</w:t>
            </w:r>
            <w:r w:rsidR="00162446">
              <w:rPr>
                <w:rFonts w:eastAsiaTheme="minorEastAsia"/>
              </w:rPr>
              <w:t>4</w:t>
            </w:r>
          </w:p>
        </w:tc>
        <w:tc>
          <w:tcPr>
            <w:tcW w:w="3487" w:type="dxa"/>
            <w:vAlign w:val="center"/>
          </w:tcPr>
          <w:p w14:paraId="3F854A7A" w14:textId="3CE9D9E2" w:rsidR="00510D9F" w:rsidRDefault="00510D9F" w:rsidP="00412319">
            <w:pPr>
              <w:jc w:val="center"/>
              <w:rPr>
                <w:rFonts w:eastAsiaTheme="minorEastAsia"/>
              </w:rPr>
            </w:pPr>
            <w:r>
              <w:rPr>
                <w:rFonts w:eastAsiaTheme="minorEastAsia"/>
              </w:rPr>
              <w:t>Expert opinion – some larger subadults may breed, but with a lower breeding probability</w:t>
            </w:r>
          </w:p>
        </w:tc>
      </w:tr>
    </w:tbl>
    <w:p w14:paraId="12DCD0A5" w14:textId="59683AE8" w:rsidR="00436159" w:rsidRPr="00436159" w:rsidRDefault="00436159" w:rsidP="005C00B2">
      <w:pPr>
        <w:spacing w:after="0" w:line="240" w:lineRule="auto"/>
        <w:rPr>
          <w:rFonts w:eastAsiaTheme="minorEastAsia"/>
        </w:rPr>
      </w:pPr>
      <w:proofErr w:type="spellStart"/>
      <w:r>
        <w:rPr>
          <w:rFonts w:eastAsiaTheme="minorEastAsia"/>
          <w:vertAlign w:val="superscript"/>
        </w:rPr>
        <w:t>a</w:t>
      </w:r>
      <w:r>
        <w:rPr>
          <w:rFonts w:eastAsiaTheme="minorEastAsia"/>
        </w:rPr>
        <w:t>P.</w:t>
      </w:r>
      <w:proofErr w:type="spellEnd"/>
      <w:r>
        <w:rPr>
          <w:rFonts w:eastAsiaTheme="minorEastAsia"/>
        </w:rPr>
        <w:t xml:space="preserve"> </w:t>
      </w:r>
      <w:proofErr w:type="spellStart"/>
      <w:r>
        <w:rPr>
          <w:rFonts w:eastAsiaTheme="minorEastAsia"/>
        </w:rPr>
        <w:t>Tolson</w:t>
      </w:r>
      <w:proofErr w:type="spellEnd"/>
      <w:r>
        <w:rPr>
          <w:rFonts w:eastAsiaTheme="minorEastAsia"/>
        </w:rPr>
        <w:t xml:space="preserve"> pers. comm</w:t>
      </w:r>
      <w:r w:rsidR="002B0335">
        <w:rPr>
          <w:rFonts w:eastAsiaTheme="minorEastAsia"/>
        </w:rPr>
        <w:t>.</w:t>
      </w:r>
    </w:p>
    <w:p w14:paraId="2BDB32E2" w14:textId="0AC9BFE1" w:rsidR="00DB3FAC" w:rsidRDefault="009002A2" w:rsidP="005C00B2">
      <w:pPr>
        <w:spacing w:after="0" w:line="240" w:lineRule="auto"/>
        <w:rPr>
          <w:rFonts w:eastAsiaTheme="minorEastAsia"/>
        </w:rPr>
      </w:pPr>
      <w:proofErr w:type="spellStart"/>
      <w:r>
        <w:rPr>
          <w:rFonts w:eastAsiaTheme="minorEastAsia"/>
          <w:vertAlign w:val="superscript"/>
        </w:rPr>
        <w:t>b</w:t>
      </w:r>
      <w:proofErr w:type="spellEnd"/>
      <w:r w:rsidR="004641A5">
        <w:rPr>
          <w:rFonts w:eastAsiaTheme="minorEastAsia"/>
        </w:rPr>
        <w:fldChar w:fldCharType="begin" w:fldLock="1"/>
      </w:r>
      <w:r w:rsidR="002B0335">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sidR="004641A5">
        <w:rPr>
          <w:rFonts w:eastAsiaTheme="minorEastAsia"/>
        </w:rPr>
        <w:fldChar w:fldCharType="separate"/>
      </w:r>
      <w:r w:rsidR="004641A5" w:rsidRPr="004641A5">
        <w:rPr>
          <w:rFonts w:eastAsiaTheme="minorEastAsia"/>
          <w:noProof/>
        </w:rPr>
        <w:t>Tolson 1992</w:t>
      </w:r>
      <w:r w:rsidR="004641A5">
        <w:rPr>
          <w:rFonts w:eastAsiaTheme="minorEastAsia"/>
        </w:rPr>
        <w:fldChar w:fldCharType="end"/>
      </w:r>
    </w:p>
    <w:p w14:paraId="7C8F818D" w14:textId="1A8B03EE" w:rsidR="004641A5" w:rsidRDefault="009002A2" w:rsidP="005C00B2">
      <w:pPr>
        <w:spacing w:after="0" w:line="240" w:lineRule="auto"/>
        <w:rPr>
          <w:rFonts w:eastAsiaTheme="minorEastAsia"/>
        </w:rPr>
      </w:pPr>
      <w:proofErr w:type="spellStart"/>
      <w:r>
        <w:rPr>
          <w:rFonts w:eastAsiaTheme="minorEastAsia"/>
          <w:vertAlign w:val="superscript"/>
        </w:rPr>
        <w:t>c</w:t>
      </w:r>
      <w:proofErr w:type="spellEnd"/>
      <w:r w:rsidR="004641A5">
        <w:rPr>
          <w:rFonts w:eastAsiaTheme="minorEastAsia"/>
          <w:vertAlign w:val="superscript"/>
        </w:rPr>
        <w:fldChar w:fldCharType="begin" w:fldLock="1"/>
      </w:r>
      <w:r w:rsidR="002B0335">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sidR="004641A5">
        <w:rPr>
          <w:rFonts w:eastAsiaTheme="minorEastAsia"/>
          <w:vertAlign w:val="superscript"/>
        </w:rPr>
        <w:fldChar w:fldCharType="separate"/>
      </w:r>
      <w:r w:rsidR="004641A5" w:rsidRPr="004641A5">
        <w:rPr>
          <w:rFonts w:eastAsiaTheme="minorEastAsia"/>
          <w:noProof/>
        </w:rPr>
        <w:t>Puente</w:t>
      </w:r>
      <w:r w:rsidR="002B0335">
        <w:rPr>
          <w:rFonts w:eastAsiaTheme="minorEastAsia"/>
          <w:noProof/>
        </w:rPr>
        <w:t>-</w:t>
      </w:r>
      <w:r w:rsidR="004641A5" w:rsidRPr="004641A5">
        <w:rPr>
          <w:rFonts w:eastAsiaTheme="minorEastAsia"/>
          <w:noProof/>
        </w:rPr>
        <w:t>Rolon 2012</w:t>
      </w:r>
      <w:r w:rsidR="004641A5">
        <w:rPr>
          <w:rFonts w:eastAsiaTheme="minorEastAsia"/>
          <w:vertAlign w:val="superscript"/>
        </w:rPr>
        <w:fldChar w:fldCharType="end"/>
      </w:r>
    </w:p>
    <w:p w14:paraId="62227AA1" w14:textId="10735B7E" w:rsidR="009002A2" w:rsidRPr="009002A2" w:rsidRDefault="009002A2" w:rsidP="005C00B2">
      <w:pPr>
        <w:spacing w:after="0" w:line="240" w:lineRule="auto"/>
        <w:rPr>
          <w:rFonts w:eastAsiaTheme="minorEastAsia"/>
        </w:rPr>
      </w:pPr>
      <w:proofErr w:type="spellStart"/>
      <w:r>
        <w:rPr>
          <w:rFonts w:eastAsiaTheme="minorEastAsia"/>
          <w:vertAlign w:val="superscript"/>
        </w:rPr>
        <w:t>d</w:t>
      </w:r>
      <w:proofErr w:type="spellEnd"/>
      <w:r>
        <w:rPr>
          <w:rFonts w:eastAsiaTheme="minorEastAsia"/>
          <w:vertAlign w:val="superscript"/>
        </w:rPr>
        <w:fldChar w:fldCharType="begin" w:fldLock="1"/>
      </w:r>
      <w:r w:rsidR="00F74829">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Pr>
          <w:rFonts w:eastAsiaTheme="minorEastAsia"/>
          <w:vertAlign w:val="superscript"/>
        </w:rPr>
        <w:fldChar w:fldCharType="separate"/>
      </w:r>
      <w:r w:rsidRPr="009002A2">
        <w:rPr>
          <w:rFonts w:eastAsiaTheme="minorEastAsia"/>
          <w:noProof/>
        </w:rPr>
        <w:t>Huff 1978</w:t>
      </w:r>
      <w:r>
        <w:rPr>
          <w:rFonts w:eastAsiaTheme="minorEastAsia"/>
          <w:vertAlign w:val="superscript"/>
        </w:rPr>
        <w:fldChar w:fldCharType="end"/>
      </w:r>
    </w:p>
    <w:p w14:paraId="40C6B067" w14:textId="77777777" w:rsidR="00510D9F" w:rsidRDefault="00510D9F" w:rsidP="005C00B2">
      <w:pPr>
        <w:spacing w:after="0" w:line="240" w:lineRule="auto"/>
        <w:rPr>
          <w:rFonts w:eastAsiaTheme="minorEastAsia"/>
        </w:rPr>
      </w:pPr>
    </w:p>
    <w:p w14:paraId="6EF18055" w14:textId="10599045" w:rsidR="00DB3FAC" w:rsidRDefault="00903C5C" w:rsidP="005C00B2">
      <w:pPr>
        <w:spacing w:after="0" w:line="240" w:lineRule="auto"/>
        <w:rPr>
          <w:rFonts w:eastAsiaTheme="minorEastAsia"/>
        </w:rPr>
      </w:pPr>
      <w:r>
        <w:t>We used the stage-specific estimates of survival and growth to calculate the transition rates</w:t>
      </w:r>
      <w:r w:rsidR="00671B5F">
        <w:t xml:space="preserve"> </w:t>
      </w:r>
      <w:r>
        <w:rPr>
          <w:rFonts w:eastAsiaTheme="minorEastAsia"/>
        </w:rPr>
        <w:t>in the diagram and matrix in Figure 1. For example,</w:t>
      </w:r>
      <w:r w:rsidR="00671B5F">
        <w:rPr>
          <w:rFonts w:eastAsiaTheme="minorEastAsia"/>
        </w:rPr>
        <w:t xml:space="preserve"> </w:t>
      </w:r>
      <w:r>
        <w:rPr>
          <w:rFonts w:eastAsiaTheme="minorEastAsia"/>
        </w:rPr>
        <w:t xml:space="preserve">the probability </w:t>
      </w:r>
      <w:r w:rsidR="00671B5F">
        <w:rPr>
          <w:rFonts w:eastAsiaTheme="minorEastAsia"/>
        </w:rPr>
        <w:t>that</w:t>
      </w:r>
      <w:r>
        <w:rPr>
          <w:rFonts w:eastAsiaTheme="minorEastAsia"/>
        </w:rPr>
        <w:t xml:space="preserve"> a young of the year in year </w:t>
      </w:r>
      <w:r>
        <w:rPr>
          <w:rFonts w:eastAsiaTheme="minorEastAsia"/>
          <w:i/>
        </w:rPr>
        <w:t>t</w:t>
      </w:r>
      <w:r>
        <w:rPr>
          <w:rFonts w:eastAsiaTheme="minorEastAsia"/>
        </w:rPr>
        <w:t xml:space="preserve"> will become a juvenile in year </w:t>
      </w:r>
      <w:r>
        <w:rPr>
          <w:rFonts w:eastAsiaTheme="minorEastAsia"/>
          <w:i/>
        </w:rPr>
        <w:t>t+1</w:t>
      </w:r>
      <w:r>
        <w:rPr>
          <w:rFonts w:eastAsiaTheme="minorEastAsia"/>
        </w:rPr>
        <w:t xml:space="preserve"> is equal to the probability of surviving the year (</w:t>
      </w:r>
      <m:oMath>
        <m:sSup>
          <m:sSupPr>
            <m:ctrlPr>
              <w:rPr>
                <w:rFonts w:ascii="Cambria Math" w:hAnsi="Cambria Math"/>
                <w:i/>
              </w:rPr>
            </m:ctrlPr>
          </m:sSupPr>
          <m:e>
            <m:r>
              <w:rPr>
                <w:rFonts w:ascii="Cambria Math" w:hAnsi="Cambria Math"/>
              </w:rPr>
              <m:t>S</m:t>
            </m:r>
          </m:e>
          <m:sup>
            <m:r>
              <w:rPr>
                <w:rFonts w:ascii="Cambria Math" w:hAnsi="Cambria Math"/>
              </w:rPr>
              <m:t>Y</m:t>
            </m:r>
          </m:sup>
        </m:sSup>
        <m:r>
          <w:rPr>
            <w:rFonts w:ascii="Cambria Math" w:eastAsiaTheme="minorEastAsia" w:hAnsi="Cambria Math"/>
          </w:rPr>
          <m:t>=0.3</m:t>
        </m:r>
      </m:oMath>
      <w:r>
        <w:rPr>
          <w:rFonts w:eastAsiaTheme="minorEastAsia"/>
        </w:rPr>
        <w:t xml:space="preserve">) </w:t>
      </w:r>
      <w:r w:rsidR="00C161C1">
        <w:rPr>
          <w:rFonts w:eastAsiaTheme="minorEastAsia"/>
        </w:rPr>
        <w:t>multiplied by the probability of</w:t>
      </w:r>
      <w:r>
        <w:rPr>
          <w:rFonts w:eastAsiaTheme="minorEastAsia"/>
        </w:rPr>
        <w:t xml:space="preserve"> growth from young to juvenile (</w:t>
      </w:r>
      <m:oMath>
        <m:sSup>
          <m:sSupPr>
            <m:ctrlPr>
              <w:rPr>
                <w:rFonts w:ascii="Cambria Math" w:hAnsi="Cambria Math"/>
                <w:i/>
              </w:rPr>
            </m:ctrlPr>
          </m:sSupPr>
          <m:e>
            <m:r>
              <w:rPr>
                <w:rFonts w:ascii="Cambria Math" w:hAnsi="Cambria Math"/>
              </w:rPr>
              <m:t>G</m:t>
            </m:r>
          </m:e>
          <m:sup>
            <m:r>
              <w:rPr>
                <w:rFonts w:ascii="Cambria Math" w:hAnsi="Cambria Math"/>
              </w:rPr>
              <m:t>Y</m:t>
            </m:r>
          </m:sup>
        </m:sSup>
        <m:r>
          <w:rPr>
            <w:rFonts w:ascii="Cambria Math" w:hAnsi="Cambria Math"/>
          </w:rPr>
          <m:t>=0.67</m:t>
        </m:r>
      </m:oMath>
      <w:r>
        <w:rPr>
          <w:rFonts w:eastAsiaTheme="minorEastAsia"/>
        </w:rPr>
        <w:t xml:space="preserve">). </w:t>
      </w:r>
    </w:p>
    <w:p w14:paraId="5E345DB1" w14:textId="2038FEA7" w:rsidR="00903C5C" w:rsidRDefault="00903C5C" w:rsidP="005C00B2">
      <w:pPr>
        <w:spacing w:after="0" w:line="240" w:lineRule="auto"/>
        <w:rPr>
          <w:rFonts w:eastAsiaTheme="minorEastAsia"/>
        </w:rPr>
      </w:pPr>
    </w:p>
    <w:p w14:paraId="57D2A8CB" w14:textId="7FD7AECB" w:rsidR="00903C5C" w:rsidRDefault="00667C9A" w:rsidP="005C00B2">
      <w:pPr>
        <w:spacing w:after="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r>
            <w:rPr>
              <w:rFonts w:ascii="Cambria Math" w:eastAsiaTheme="minorEastAsia" w:hAnsi="Cambria Math"/>
            </w:rPr>
            <m:t>=0.3*0.67=0.2</m:t>
          </m:r>
        </m:oMath>
      </m:oMathPara>
    </w:p>
    <w:p w14:paraId="287ECF74" w14:textId="63262696" w:rsidR="00DB3FAC" w:rsidRDefault="00DB3FAC" w:rsidP="005C00B2">
      <w:pPr>
        <w:spacing w:after="0" w:line="240" w:lineRule="auto"/>
        <w:rPr>
          <w:rFonts w:eastAsiaTheme="minorEastAsia"/>
        </w:rPr>
      </w:pPr>
    </w:p>
    <w:p w14:paraId="49A335D0" w14:textId="70901034" w:rsidR="00903C5C" w:rsidRDefault="00903C5C" w:rsidP="005C00B2">
      <w:pPr>
        <w:spacing w:after="0" w:line="240" w:lineRule="auto"/>
        <w:rPr>
          <w:rFonts w:eastAsiaTheme="minorEastAsia"/>
        </w:rPr>
      </w:pPr>
      <w:r>
        <w:rPr>
          <w:rFonts w:eastAsiaTheme="minorEastAsia"/>
        </w:rPr>
        <w:lastRenderedPageBreak/>
        <w:t>The probability of a young of the year remaining in the young stage is equal to the probability of surviving the year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rPr>
          <w:rFonts w:eastAsiaTheme="minorEastAsia"/>
        </w:rPr>
        <w:t xml:space="preserve">) and </w:t>
      </w:r>
      <w:r>
        <w:rPr>
          <w:rFonts w:eastAsiaTheme="minorEastAsia"/>
          <w:i/>
        </w:rPr>
        <w:t>not</w:t>
      </w:r>
      <w:r>
        <w:rPr>
          <w:rFonts w:eastAsiaTheme="minorEastAsia"/>
        </w:rPr>
        <w:t xml:space="preserve"> growing enough to reach the juvenile stage (</w:t>
      </w:r>
      <m:oMath>
        <m:sSup>
          <m:sSupPr>
            <m:ctrlPr>
              <w:rPr>
                <w:rFonts w:ascii="Cambria Math" w:hAnsi="Cambria Math"/>
                <w:i/>
              </w:rPr>
            </m:ctrlPr>
          </m:sSupPr>
          <m:e>
            <m:r>
              <w:rPr>
                <w:rFonts w:ascii="Cambria Math" w:hAnsi="Cambria Math"/>
              </w:rPr>
              <m:t>1-G</m:t>
            </m:r>
          </m:e>
          <m:sup>
            <m:r>
              <w:rPr>
                <w:rFonts w:ascii="Cambria Math" w:hAnsi="Cambria Math"/>
              </w:rPr>
              <m:t>YJ</m:t>
            </m:r>
          </m:sup>
        </m:sSup>
      </m:oMath>
      <w:r>
        <w:rPr>
          <w:rFonts w:eastAsiaTheme="minorEastAsia"/>
        </w:rPr>
        <w:t>).</w:t>
      </w:r>
    </w:p>
    <w:p w14:paraId="71B4944A" w14:textId="2B5213D8" w:rsidR="00903C5C" w:rsidRDefault="00903C5C" w:rsidP="005C00B2">
      <w:pPr>
        <w:spacing w:after="0" w:line="240" w:lineRule="auto"/>
        <w:rPr>
          <w:rFonts w:eastAsiaTheme="minorEastAsia"/>
        </w:rPr>
      </w:pPr>
    </w:p>
    <w:p w14:paraId="7976298F" w14:textId="69B74E1D" w:rsidR="00903C5C" w:rsidRDefault="00667C9A" w:rsidP="00903C5C">
      <w:pPr>
        <w:spacing w:after="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(1-G</m:t>
              </m:r>
            </m:e>
            <m:sup>
              <m:r>
                <w:rPr>
                  <w:rFonts w:ascii="Cambria Math" w:eastAsiaTheme="minorEastAsia" w:hAnsi="Cambria Math"/>
                </w:rPr>
                <m:t>Y</m:t>
              </m:r>
            </m:sup>
          </m:sSup>
          <m:r>
            <w:rPr>
              <w:rFonts w:ascii="Cambria Math" w:eastAsiaTheme="minorEastAsia" w:hAnsi="Cambria Math"/>
            </w:rPr>
            <m:t>)=0.3*(1-0.67)=0.1</m:t>
          </m:r>
        </m:oMath>
      </m:oMathPara>
    </w:p>
    <w:p w14:paraId="67CA9E42" w14:textId="2CAEF106" w:rsidR="00903C5C" w:rsidRDefault="00903C5C" w:rsidP="005C00B2">
      <w:pPr>
        <w:spacing w:after="0" w:line="240" w:lineRule="auto"/>
        <w:rPr>
          <w:rFonts w:eastAsiaTheme="minorEastAsia"/>
        </w:rPr>
      </w:pPr>
    </w:p>
    <w:p w14:paraId="3DEA3397" w14:textId="035F0C84" w:rsidR="009E095A" w:rsidRDefault="00903C5C" w:rsidP="009E095A">
      <w:pPr>
        <w:spacing w:after="0" w:line="240" w:lineRule="auto"/>
        <w:rPr>
          <w:rFonts w:eastAsiaTheme="minorEastAsia"/>
        </w:rPr>
      </w:pPr>
      <w:r>
        <w:rPr>
          <w:rFonts w:eastAsiaTheme="minorEastAsia"/>
        </w:rPr>
        <w:t xml:space="preserve">The transition rates for each stage were calculated following this framework. </w:t>
      </w:r>
      <w:r w:rsidR="009E095A">
        <w:rPr>
          <w:rFonts w:eastAsiaTheme="minorEastAsia"/>
        </w:rPr>
        <w:t>The realized fertility rates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w:r w:rsidR="009E095A">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w:r w:rsidR="009E095A">
        <w:rPr>
          <w:rFonts w:eastAsiaTheme="minorEastAsia"/>
        </w:rPr>
        <w:t xml:space="preserve">) in the matrix model are calculated by multiplying the estimated reproductive output for each stage class by the survival rate of </w:t>
      </w:r>
      <w:r w:rsidR="00DE2C8E">
        <w:rPr>
          <w:rFonts w:eastAsiaTheme="minorEastAsia"/>
        </w:rPr>
        <w:t>young</w:t>
      </w:r>
      <w:r w:rsidR="009E095A">
        <w:rPr>
          <w:rFonts w:eastAsiaTheme="minorEastAsia"/>
        </w:rPr>
        <w:t xml:space="preserve">, which was estimated as 0.3, i.e. new young of the year must survive one year before entering the population. </w:t>
      </w:r>
    </w:p>
    <w:p w14:paraId="313BCBF8" w14:textId="77777777" w:rsidR="009E095A" w:rsidRDefault="009E095A" w:rsidP="005C00B2">
      <w:pPr>
        <w:spacing w:after="0" w:line="240" w:lineRule="auto"/>
        <w:rPr>
          <w:rFonts w:eastAsiaTheme="minorEastAsia"/>
        </w:rPr>
      </w:pPr>
    </w:p>
    <w:p w14:paraId="58B26D73" w14:textId="58FF544B" w:rsidR="00CD2789" w:rsidRPr="00903C5C" w:rsidRDefault="00CB2972" w:rsidP="005C00B2">
      <w:pPr>
        <w:spacing w:after="0" w:line="240" w:lineRule="auto"/>
        <w:rPr>
          <w:rFonts w:eastAsiaTheme="minorEastAsia"/>
        </w:rPr>
      </w:pPr>
      <w:r>
        <w:rPr>
          <w:rFonts w:eastAsiaTheme="minorEastAsia"/>
        </w:rPr>
        <w:t xml:space="preserve">These demographic rates are summarized in a matrix: </w:t>
      </w:r>
    </w:p>
    <w:p w14:paraId="012B205E" w14:textId="1527393C" w:rsidR="006508E6" w:rsidRDefault="006508E6" w:rsidP="005C00B2">
      <w:pPr>
        <w:spacing w:after="0" w:line="240" w:lineRule="auto"/>
      </w:pPr>
    </w:p>
    <w:p w14:paraId="1CCB7BA1" w14:textId="1080FFAE" w:rsidR="006D166F" w:rsidRPr="00CD2789" w:rsidRDefault="00667C9A" w:rsidP="005C00B2">
      <w:pPr>
        <w:spacing w:after="0" w:line="24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0.1</m:t>
                    </m:r>
                  </m:e>
                  <m:e>
                    <m:r>
                      <w:rPr>
                        <w:rFonts w:ascii="Cambria Math" w:hAnsi="Cambria Math"/>
                      </w:rPr>
                      <m:t>0</m:t>
                    </m:r>
                  </m:e>
                  <m:e>
                    <m:r>
                      <w:rPr>
                        <w:rFonts w:ascii="Cambria Math" w:hAnsi="Cambria Math"/>
                      </w:rPr>
                      <m:t>0.6</m:t>
                    </m:r>
                    <m:ctrlPr>
                      <w:rPr>
                        <w:rFonts w:ascii="Cambria Math" w:eastAsia="Cambria Math" w:hAnsi="Cambria Math" w:cs="Cambria Math"/>
                        <w:i/>
                      </w:rPr>
                    </m:ctrlPr>
                  </m:e>
                  <m:e>
                    <m:r>
                      <w:rPr>
                        <w:rFonts w:ascii="Cambria Math" w:eastAsia="Cambria Math" w:hAnsi="Cambria Math" w:cs="Cambria Math"/>
                      </w:rPr>
                      <m:t>2.7</m:t>
                    </m:r>
                  </m:e>
                </m:mr>
                <m:mr>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424894B3" w14:textId="757D78CE" w:rsidR="00CD2789" w:rsidRDefault="00CD2789" w:rsidP="005C00B2">
      <w:pPr>
        <w:spacing w:after="0" w:line="240" w:lineRule="auto"/>
        <w:rPr>
          <w:rFonts w:eastAsiaTheme="minorEastAsia"/>
        </w:rPr>
      </w:pPr>
    </w:p>
    <w:p w14:paraId="0267DE4E" w14:textId="56D4E26D" w:rsidR="00CB2972" w:rsidRDefault="00DD6D97" w:rsidP="005C00B2">
      <w:pPr>
        <w:spacing w:after="0" w:line="240" w:lineRule="auto"/>
        <w:rPr>
          <w:rFonts w:eastAsiaTheme="minorEastAsia"/>
        </w:rPr>
      </w:pPr>
      <w:r>
        <w:rPr>
          <w:rFonts w:eastAsiaTheme="minorEastAsia"/>
        </w:rPr>
        <w:t xml:space="preserve">For each projection we assumed that the population started at the stable stage distribution, </w:t>
      </w:r>
      <w:r w:rsidR="00F93FDE">
        <w:rPr>
          <w:rFonts w:eastAsiaTheme="minorEastAsia"/>
        </w:rPr>
        <w:t xml:space="preserve">calculated </w:t>
      </w:r>
      <w:r w:rsidR="00C161C1">
        <w:rPr>
          <w:rFonts w:eastAsiaTheme="minorEastAsia"/>
        </w:rPr>
        <w:t xml:space="preserve">using the </w:t>
      </w:r>
      <w:proofErr w:type="spellStart"/>
      <w:r w:rsidR="00C161C1">
        <w:rPr>
          <w:rFonts w:eastAsiaTheme="minorEastAsia"/>
        </w:rPr>
        <w:t>popbio</w:t>
      </w:r>
      <w:proofErr w:type="spellEnd"/>
      <w:r w:rsidR="00C161C1">
        <w:rPr>
          <w:rFonts w:eastAsiaTheme="minorEastAsia"/>
        </w:rPr>
        <w:t xml:space="preserve"> package for R</w:t>
      </w:r>
      <w:r w:rsidR="00BC793C">
        <w:rPr>
          <w:rFonts w:eastAsiaTheme="minorEastAsia"/>
        </w:rPr>
        <w:t xml:space="preserve"> </w:t>
      </w:r>
      <w:r w:rsidR="00BC793C">
        <w:rPr>
          <w:rFonts w:eastAsiaTheme="minorEastAsia"/>
        </w:rPr>
        <w:fldChar w:fldCharType="begin" w:fldLock="1"/>
      </w:r>
      <w:r w:rsidR="004641A5">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BC793C">
        <w:rPr>
          <w:rFonts w:eastAsiaTheme="minorEastAsia"/>
        </w:rPr>
        <w:fldChar w:fldCharType="separate"/>
      </w:r>
      <w:r w:rsidR="00E47218" w:rsidRPr="00E47218">
        <w:rPr>
          <w:rFonts w:eastAsiaTheme="minorEastAsia"/>
          <w:noProof/>
        </w:rPr>
        <w:t>(Stubben and Milligan 2007, R Core Team 2016)</w:t>
      </w:r>
      <w:r w:rsidR="00BC793C">
        <w:rPr>
          <w:rFonts w:eastAsiaTheme="minorEastAsia"/>
        </w:rPr>
        <w:fldChar w:fldCharType="end"/>
      </w:r>
      <w:r w:rsidR="00BC793C">
        <w:rPr>
          <w:rFonts w:eastAsiaTheme="minorEastAsia"/>
        </w:rPr>
        <w:t>.</w:t>
      </w:r>
      <w:r>
        <w:rPr>
          <w:rFonts w:eastAsiaTheme="minorEastAsia"/>
        </w:rPr>
        <w:t xml:space="preserve"> </w:t>
      </w:r>
      <w:r w:rsidR="005764E8">
        <w:rPr>
          <w:rFonts w:eastAsiaTheme="minorEastAsia"/>
        </w:rPr>
        <w:t>The stage distribution is the proportion of the population in stage class, and most populations will converge on a stable stage distribution if demographic rates remain relatively constant for a sufficiently long time</w:t>
      </w:r>
      <w:r w:rsidR="00671B5F">
        <w:rPr>
          <w:rFonts w:eastAsiaTheme="minorEastAsia"/>
        </w:rPr>
        <w:t xml:space="preserve"> </w:t>
      </w:r>
      <w:r w:rsidR="00671B5F">
        <w:rPr>
          <w:rFonts w:eastAsiaTheme="minorEastAsia"/>
        </w:rPr>
        <w:fldChar w:fldCharType="begin" w:fldLock="1"/>
      </w:r>
      <w:r w:rsidR="009002A2">
        <w:rPr>
          <w:rFonts w:eastAsiaTheme="minorEastAsia"/>
        </w:rPr>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interpretation","type":"book"},"uris":["http://www.mendeley.com/documents/?uuid=91357d25-daf8-4067-a7f2-f2e6c2900aca"]}],"mendeley":{"formattedCitation":"(Caswell 2001)","plainTextFormattedCitation":"(Caswell 2001)","previouslyFormattedCitation":"(Caswell 2001)"},"properties":{"noteIndex":0},"schema":"https://github.com/citation-style-language/schema/raw/master/csl-citation.json"}</w:instrText>
      </w:r>
      <w:r w:rsidR="00671B5F">
        <w:rPr>
          <w:rFonts w:eastAsiaTheme="minorEastAsia"/>
        </w:rPr>
        <w:fldChar w:fldCharType="separate"/>
      </w:r>
      <w:r w:rsidR="00671B5F" w:rsidRPr="00671B5F">
        <w:rPr>
          <w:rFonts w:eastAsiaTheme="minorEastAsia"/>
          <w:noProof/>
        </w:rPr>
        <w:t>(Caswell 2001)</w:t>
      </w:r>
      <w:r w:rsidR="00671B5F">
        <w:rPr>
          <w:rFonts w:eastAsiaTheme="minorEastAsia"/>
        </w:rPr>
        <w:fldChar w:fldCharType="end"/>
      </w:r>
      <w:r w:rsidR="005764E8">
        <w:rPr>
          <w:rFonts w:eastAsiaTheme="minorEastAsia"/>
        </w:rPr>
        <w:t>. Before reaching the stable stage distribution, the population may exhibit erratic growth patterns that are an artifact of the stage imbalance. By starting the population projection at the stable stage distribution, we sought to minimize these effects.</w:t>
      </w:r>
    </w:p>
    <w:p w14:paraId="2319C43A" w14:textId="2E89B82B" w:rsidR="0028015D" w:rsidRDefault="0028015D" w:rsidP="005C00B2">
      <w:pPr>
        <w:spacing w:after="0" w:line="240" w:lineRule="auto"/>
        <w:rPr>
          <w:rFonts w:eastAsiaTheme="minorEastAsia"/>
        </w:rPr>
      </w:pPr>
    </w:p>
    <w:p w14:paraId="746B0DF4" w14:textId="11939B05" w:rsidR="0028015D" w:rsidRDefault="0028015D" w:rsidP="005C00B2">
      <w:pPr>
        <w:spacing w:after="0" w:line="240" w:lineRule="auto"/>
        <w:rPr>
          <w:rFonts w:eastAsiaTheme="minorEastAsia"/>
        </w:rPr>
      </w:pPr>
      <w:r>
        <w:rPr>
          <w:rFonts w:eastAsiaTheme="minorEastAsia"/>
          <w:i/>
          <w:iCs/>
        </w:rPr>
        <w:t>Habitat Availability</w:t>
      </w:r>
    </w:p>
    <w:p w14:paraId="4070E3DB" w14:textId="5F0D7360" w:rsidR="00F74829" w:rsidRDefault="0028015D" w:rsidP="005C00B2">
      <w:pPr>
        <w:spacing w:after="0" w:line="240" w:lineRule="auto"/>
        <w:rPr>
          <w:rFonts w:eastAsiaTheme="minorEastAsia"/>
        </w:rPr>
      </w:pPr>
      <w:r>
        <w:rPr>
          <w:rFonts w:eastAsiaTheme="minorEastAsia"/>
        </w:rPr>
        <w:t>The Puerto Ric</w:t>
      </w:r>
      <w:r w:rsidR="002B0335">
        <w:rPr>
          <w:rFonts w:eastAsiaTheme="minorEastAsia"/>
        </w:rPr>
        <w:t>o</w:t>
      </w:r>
      <w:r>
        <w:rPr>
          <w:rFonts w:eastAsiaTheme="minorEastAsia"/>
        </w:rPr>
        <w:t xml:space="preserve"> GAP Analysis</w:t>
      </w:r>
      <w:r w:rsidR="002B0335">
        <w:rPr>
          <w:rFonts w:eastAsiaTheme="minorEastAsia"/>
        </w:rPr>
        <w:t xml:space="preserve"> </w:t>
      </w:r>
      <w:r w:rsidR="002B0335">
        <w:rPr>
          <w:rFonts w:eastAsiaTheme="minorEastAsia"/>
        </w:rPr>
        <w:fldChar w:fldCharType="begin" w:fldLock="1"/>
      </w:r>
      <w:r w:rsidR="002B0335">
        <w:rPr>
          <w:rFonts w:eastAsiaTheme="minorEastAsia"/>
        </w:rPr>
        <w:instrText>ADDIN CSL_CITATION {"citationItems":[{"id":"ITEM-1","itemData":{"DOI":"10.2737/IITF-GTR-39","abstract":"Gen. Tech. Rep. IITF-GTR-39","author":[{"dropping-particle":"","family":"Gould","given":"W. A.","non-dropping-particle":"","parse-names":false,"suffix":""},{"dropping-particle":"","family":"Alarcon","given":"C.","non-dropping-particle":"","parse-names":false,"suffix":""},{"dropping-particle":"","family":"Fevold","given":"B.","non-dropping-particle":"","parse-names":false,"suffix":""},{"dropping-particle":"","family":"Jimenez","given":"M.E.","non-dropping-particle":"","parse-names":false,"suffix":""},{"dropping-particle":"","family":"Martinuzzi","given":"S.","non-dropping-particle":"","parse-names":false,"suffix":""},{"dropping-particle":"","family":"Potts","given":"G.","non-dropping-particle":"","parse-names":false,"suffix":""},{"dropping-particle":"","family":"Quinones","given":"M.","non-dropping-particle":"","parse-names":false,"suffix":""},{"dropping-particle":"","family":"Solórzano","given":"M.","non-dropping-particle":"","parse-names":false,"suffix":""},{"dropping-particle":"","family":"Ventosa","given":"E.","non-dropping-particle":"","parse-names":false,"suffix":""}],"id":"ITEM-1","issue":"March","issued":{"date-parts":[["2008"]]},"title":"The Puerto Rico Gap Analysis Project Volume 1: land cover, vertebrate species distributions, and land stewardship","type":"report"},"uris":["http://www.mendeley.com/documents/?uuid=66473bca-bcc5-4bb1-a907-33af791c945a"]}],"mendeley":{"formattedCitation":"(Gould et al. 2008)","plainTextFormattedCitation":"(Gould et al. 2008)","previouslyFormattedCitation":"(Gould et al. 2008)"},"properties":{"noteIndex":0},"schema":"https://github.com/citation-style-language/schema/raw/master/csl-citation.json"}</w:instrText>
      </w:r>
      <w:r w:rsidR="002B0335">
        <w:rPr>
          <w:rFonts w:eastAsiaTheme="minorEastAsia"/>
        </w:rPr>
        <w:fldChar w:fldCharType="separate"/>
      </w:r>
      <w:r w:rsidR="002B0335" w:rsidRPr="002B0335">
        <w:rPr>
          <w:rFonts w:eastAsiaTheme="minorEastAsia"/>
          <w:noProof/>
        </w:rPr>
        <w:t>(Gould et al. 2008)</w:t>
      </w:r>
      <w:r w:rsidR="002B0335">
        <w:rPr>
          <w:rFonts w:eastAsiaTheme="minorEastAsia"/>
        </w:rPr>
        <w:fldChar w:fldCharType="end"/>
      </w:r>
      <w:r>
        <w:rPr>
          <w:rFonts w:eastAsiaTheme="minorEastAsia"/>
        </w:rPr>
        <w:t xml:space="preserve"> developed habitat suitability models for a suite of species, including the PR boa. We used the resulting raster dataset to assess the total area of available habitat, which was then used to estimate minimum and maximum bounds for the current and maximum population sizes. The PR GAP Analysis used occurrence records to map habitat across Puerto Rico and estimated 414,379 ha of habitat. However, </w:t>
      </w:r>
      <w:r w:rsidR="000D463C">
        <w:rPr>
          <w:rFonts w:eastAsiaTheme="minorEastAsia"/>
        </w:rPr>
        <w:t>per USFWS recommendation, there are no clear records of PR boa above 700 m</w:t>
      </w:r>
      <w:r>
        <w:rPr>
          <w:rFonts w:eastAsiaTheme="minorEastAsia"/>
        </w:rPr>
        <w:t>, so we only considered areas below 7</w:t>
      </w:r>
      <w:r w:rsidR="006A7B80">
        <w:rPr>
          <w:rFonts w:eastAsiaTheme="minorEastAsia"/>
        </w:rPr>
        <w:t xml:space="preserve">00 </w:t>
      </w:r>
      <w:r>
        <w:rPr>
          <w:rFonts w:eastAsiaTheme="minorEastAsia"/>
        </w:rPr>
        <w:t>m to be suitable habitat</w:t>
      </w:r>
      <w:r w:rsidR="00A84F94">
        <w:rPr>
          <w:rFonts w:eastAsiaTheme="minorEastAsia"/>
        </w:rPr>
        <w:t xml:space="preserve">, totaling </w:t>
      </w:r>
      <w:r w:rsidR="0065515F">
        <w:rPr>
          <w:rFonts w:eastAsiaTheme="minorEastAsia"/>
        </w:rPr>
        <w:t>379,029 ha</w:t>
      </w:r>
      <w:r w:rsidR="00437784">
        <w:rPr>
          <w:rFonts w:eastAsiaTheme="minorEastAsia"/>
        </w:rPr>
        <w:t>.</w:t>
      </w:r>
      <w:r>
        <w:rPr>
          <w:rFonts w:eastAsiaTheme="minorEastAsia"/>
        </w:rPr>
        <w:t xml:space="preserve"> We were also interested in determining the proportion of habitat that fell in developed, urban areas, as </w:t>
      </w:r>
      <w:r w:rsidR="00437784">
        <w:rPr>
          <w:rFonts w:eastAsiaTheme="minorEastAsia"/>
        </w:rPr>
        <w:t xml:space="preserve">experts believed </w:t>
      </w:r>
      <w:r>
        <w:rPr>
          <w:rFonts w:eastAsiaTheme="minorEastAsia"/>
        </w:rPr>
        <w:t>boas experience diff</w:t>
      </w:r>
      <w:r w:rsidR="00437784">
        <w:rPr>
          <w:rFonts w:eastAsiaTheme="minorEastAsia"/>
        </w:rPr>
        <w:t xml:space="preserve">erent pressures in those areas (see </w:t>
      </w:r>
      <w:r w:rsidR="00437784">
        <w:rPr>
          <w:rFonts w:eastAsiaTheme="minorEastAsia"/>
          <w:i/>
        </w:rPr>
        <w:t xml:space="preserve">Differences </w:t>
      </w:r>
      <w:r w:rsidR="005764E8">
        <w:rPr>
          <w:rFonts w:eastAsiaTheme="minorEastAsia"/>
          <w:i/>
        </w:rPr>
        <w:t>Between</w:t>
      </w:r>
      <w:r w:rsidR="00437784">
        <w:rPr>
          <w:rFonts w:eastAsiaTheme="minorEastAsia"/>
          <w:i/>
        </w:rPr>
        <w:t xml:space="preserve"> Natural and Urban Habitat</w:t>
      </w:r>
      <w:r w:rsidR="00437784">
        <w:rPr>
          <w:rFonts w:eastAsiaTheme="minorEastAsia"/>
          <w:iCs/>
        </w:rPr>
        <w:t>, below)</w:t>
      </w:r>
      <w:r>
        <w:rPr>
          <w:rFonts w:eastAsiaTheme="minorEastAsia"/>
        </w:rPr>
        <w:t xml:space="preserve">. </w:t>
      </w:r>
      <w:r w:rsidR="0065515F">
        <w:rPr>
          <w:rFonts w:eastAsiaTheme="minorEastAsia"/>
        </w:rPr>
        <w:t xml:space="preserve">We </w:t>
      </w:r>
      <w:r w:rsidR="00F74829">
        <w:rPr>
          <w:rFonts w:eastAsiaTheme="minorEastAsia"/>
        </w:rPr>
        <w:t xml:space="preserve">used a raster dataset developed by </w:t>
      </w:r>
      <w:r w:rsidR="00F74829">
        <w:rPr>
          <w:rFonts w:eastAsiaTheme="minorEastAsia"/>
        </w:rPr>
        <w:fldChar w:fldCharType="begin" w:fldLock="1"/>
      </w:r>
      <w:r w:rsidR="00B446DE">
        <w:rPr>
          <w:rFonts w:eastAsiaTheme="minorEastAsia"/>
        </w:rPr>
        <w:instrText>ADDIN CSL_CITATION {"citationItems":[{"id":"ITEM-1","itemData":{"DOI":"10.1016/j.landurbplan.2006.02.014","ISSN":"01692046","abstract":"The island of Puerto Rico has both a high population density and a long history of ineffective land use planning. This study integrates geospatial technology and population census data to understand how people use and develop the lands. We define three new regions for Puerto Rico: Urban (16%), Densely Populated Rural (36%), and Sparsely Populated Rural (48%). Eleven percent of the island is composed of urban/built-up surfaces. A large part of these developments occur in both low-density patterns of construction and sparsely populated neighborhoods. Half of the urban development occurs outside of urban centers. This analysis helps differentiate zones in the landscape with different uses and conditions, identifying not only urban and rural settings, but also the interface where development occurs in a territory dominated by forests and pastures, analogous to a wildland urban interface. The ineffective plan of land development has left a high degree of urban sprawl in 40% of island, where cities and towns appear typically surrounded by sprawl. The San Juan Metropolitan Area is one of the most expanded urbanized areas with a population of 2-2.5 million, comparable with the most sprawled cities of the U.S. mainland. This study reinforces the need for an efficient land use planning, and provides information to support research and planning efforts related to land development and conservation. It represents the first approach integrating satellite imagery with population census data for studying the human environment in the Caribbean. © 2006 Elsevier B.V. All rights reserved.","author":[{"dropping-particle":"","family":"Martinuzzi","given":"Sebastián","non-dropping-particle":"","parse-names":false,"suffix":""},{"dropping-particle":"","family":"Gould","given":"William A.","non-dropping-particle":"","parse-names":false,"suffix":""},{"dropping-particle":"","family":"Ramos González","given":"Olga M.","non-dropping-particle":"","parse-names":false,"suffix":""}],"container-title":"Landscape and Urban Planning","id":"ITEM-1","issue":"3-4","issued":{"date-parts":[["2007"]]},"page":"288-297","title":"Land development, land use, and urban sprawl in Puerto Rico integrating remote sensing and population census data","type":"article-journal","volume":"79"},"uris":["http://www.mendeley.com/documents/?uuid=b3297953-4fb5-4218-8572-de4568f3e621"]}],"mendeley":{"formattedCitation":"(Martinuzzi et al. 2007)","manualFormatting":"Martinuzzi et al. (2007)","plainTextFormattedCitation":"(Martinuzzi et al. 2007)","previouslyFormattedCitation":"(Martinuzzi et al. 2007)"},"properties":{"noteIndex":0},"schema":"https://github.com/citation-style-language/schema/raw/master/csl-citation.json"}</w:instrText>
      </w:r>
      <w:r w:rsidR="00F74829">
        <w:rPr>
          <w:rFonts w:eastAsiaTheme="minorEastAsia"/>
        </w:rPr>
        <w:fldChar w:fldCharType="separate"/>
      </w:r>
      <w:r w:rsidR="00F74829" w:rsidRPr="00F74829">
        <w:rPr>
          <w:rFonts w:eastAsiaTheme="minorEastAsia"/>
          <w:noProof/>
        </w:rPr>
        <w:t xml:space="preserve">Martinuzzi et al. </w:t>
      </w:r>
      <w:r w:rsidR="00F74829">
        <w:rPr>
          <w:rFonts w:eastAsiaTheme="minorEastAsia"/>
          <w:noProof/>
        </w:rPr>
        <w:t>(</w:t>
      </w:r>
      <w:r w:rsidR="00F74829" w:rsidRPr="00F74829">
        <w:rPr>
          <w:rFonts w:eastAsiaTheme="minorEastAsia"/>
          <w:noProof/>
        </w:rPr>
        <w:t>2007)</w:t>
      </w:r>
      <w:r w:rsidR="00F74829">
        <w:rPr>
          <w:rFonts w:eastAsiaTheme="minorEastAsia"/>
        </w:rPr>
        <w:fldChar w:fldCharType="end"/>
      </w:r>
      <w:r w:rsidR="0065515F">
        <w:rPr>
          <w:rFonts w:eastAsiaTheme="minorEastAsia"/>
        </w:rPr>
        <w:t xml:space="preserve"> to determine the proportion of suitable habitat falling within </w:t>
      </w:r>
      <w:r w:rsidR="004C0429">
        <w:rPr>
          <w:rFonts w:eastAsiaTheme="minorEastAsia"/>
        </w:rPr>
        <w:t>developed</w:t>
      </w:r>
      <w:r w:rsidR="0065515F">
        <w:rPr>
          <w:rFonts w:eastAsiaTheme="minorEastAsia"/>
        </w:rPr>
        <w:t xml:space="preserve"> areas (Figure 2). </w:t>
      </w:r>
      <w:proofErr w:type="spellStart"/>
      <w:r w:rsidR="00A84F94">
        <w:rPr>
          <w:rFonts w:eastAsiaTheme="minorEastAsia"/>
        </w:rPr>
        <w:t>Martinuzzi</w:t>
      </w:r>
      <w:proofErr w:type="spellEnd"/>
      <w:r w:rsidR="00A84F94">
        <w:rPr>
          <w:rFonts w:eastAsiaTheme="minorEastAsia"/>
        </w:rPr>
        <w:t xml:space="preserve"> et al. (2007) used</w:t>
      </w:r>
      <w:r w:rsidR="0065515F">
        <w:rPr>
          <w:rFonts w:eastAsiaTheme="minorEastAsia"/>
        </w:rPr>
        <w:t xml:space="preserve"> remote sensing data and information from the U.S. Census Bureau to</w:t>
      </w:r>
      <w:r w:rsidR="00F74829">
        <w:rPr>
          <w:rFonts w:eastAsiaTheme="minorEastAsia"/>
        </w:rPr>
        <w:t xml:space="preserve"> define three land use types</w:t>
      </w:r>
      <w:r w:rsidR="00A84F94">
        <w:rPr>
          <w:rFonts w:eastAsiaTheme="minorEastAsia"/>
        </w:rPr>
        <w:t xml:space="preserve"> across Puerto Rico</w:t>
      </w:r>
      <w:r w:rsidR="00F74829">
        <w:rPr>
          <w:rFonts w:eastAsiaTheme="minorEastAsia"/>
        </w:rPr>
        <w:t xml:space="preserve">: urban, </w:t>
      </w:r>
      <w:proofErr w:type="gramStart"/>
      <w:r w:rsidR="00F74829">
        <w:rPr>
          <w:rFonts w:eastAsiaTheme="minorEastAsia"/>
        </w:rPr>
        <w:t>densely</w:t>
      </w:r>
      <w:r w:rsidR="004C0429">
        <w:rPr>
          <w:rFonts w:eastAsiaTheme="minorEastAsia"/>
        </w:rPr>
        <w:t>-</w:t>
      </w:r>
      <w:r w:rsidR="00F74829">
        <w:rPr>
          <w:rFonts w:eastAsiaTheme="minorEastAsia"/>
        </w:rPr>
        <w:t>populated</w:t>
      </w:r>
      <w:proofErr w:type="gramEnd"/>
      <w:r w:rsidR="00F74829">
        <w:rPr>
          <w:rFonts w:eastAsiaTheme="minorEastAsia"/>
        </w:rPr>
        <w:t xml:space="preserve"> rural, and sparsely</w:t>
      </w:r>
      <w:r w:rsidR="004C0429">
        <w:rPr>
          <w:rFonts w:eastAsiaTheme="minorEastAsia"/>
        </w:rPr>
        <w:t>-</w:t>
      </w:r>
      <w:r w:rsidR="00F74829">
        <w:rPr>
          <w:rFonts w:eastAsiaTheme="minorEastAsia"/>
        </w:rPr>
        <w:t>populat</w:t>
      </w:r>
      <w:r w:rsidR="004C0429">
        <w:rPr>
          <w:rFonts w:eastAsiaTheme="minorEastAsia"/>
        </w:rPr>
        <w:t>ed</w:t>
      </w:r>
      <w:r w:rsidR="00F74829">
        <w:rPr>
          <w:rFonts w:eastAsiaTheme="minorEastAsia"/>
        </w:rPr>
        <w:t xml:space="preserve"> rural. Human persecution is a key threat to </w:t>
      </w:r>
      <w:r w:rsidR="0065515F">
        <w:rPr>
          <w:rFonts w:eastAsiaTheme="minorEastAsia"/>
        </w:rPr>
        <w:t>this species, so we considered habitat within sparsely populated areas to be “natural”, i.e. minimally disturbed, and habitat within either urban or densely populated areas to be “developed”. Of the estimated 379,029 ha of suitable habitat, 43% falls within developed areas.</w:t>
      </w:r>
    </w:p>
    <w:p w14:paraId="6D07308A" w14:textId="77777777" w:rsidR="00F74829" w:rsidRDefault="00F74829" w:rsidP="005C00B2">
      <w:pPr>
        <w:spacing w:after="0" w:line="240" w:lineRule="auto"/>
        <w:rPr>
          <w:rFonts w:eastAsiaTheme="minorEastAsia"/>
        </w:rPr>
      </w:pPr>
    </w:p>
    <w:p w14:paraId="4D1EC33A" w14:textId="77777777" w:rsidR="00297767" w:rsidRDefault="00297767" w:rsidP="005C00B2">
      <w:pPr>
        <w:spacing w:after="0" w:line="240" w:lineRule="auto"/>
        <w:rPr>
          <w:rFonts w:eastAsiaTheme="minorEastAsia"/>
        </w:rPr>
      </w:pPr>
    </w:p>
    <w:p w14:paraId="1BCEC568" w14:textId="6677D7DB" w:rsidR="00AA518B" w:rsidRDefault="00AA518B" w:rsidP="005C00B2">
      <w:pPr>
        <w:spacing w:after="0" w:line="240" w:lineRule="auto"/>
        <w:rPr>
          <w:rFonts w:eastAsiaTheme="minorEastAsia"/>
        </w:rPr>
      </w:pPr>
    </w:p>
    <w:p w14:paraId="7F1BD66E" w14:textId="40809436" w:rsidR="0049085E" w:rsidRPr="00A84F94" w:rsidRDefault="00815EB1" w:rsidP="005C00B2">
      <w:pPr>
        <w:spacing w:after="0" w:line="240" w:lineRule="auto"/>
        <w:rPr>
          <w:rFonts w:eastAsiaTheme="minorEastAsia"/>
        </w:rPr>
      </w:pPr>
      <w:r>
        <w:rPr>
          <w:rFonts w:eastAsiaTheme="minorEastAsia"/>
          <w:noProof/>
        </w:rPr>
        <w:lastRenderedPageBreak/>
        <w:drawing>
          <wp:inline distT="0" distB="0" distL="0" distR="0" wp14:anchorId="4E676896" wp14:editId="1AD1B94B">
            <wp:extent cx="6249758"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a-habitat.png"/>
                    <pic:cNvPicPr/>
                  </pic:nvPicPr>
                  <pic:blipFill rotWithShape="1">
                    <a:blip r:embed="rId9" cstate="print">
                      <a:extLst>
                        <a:ext uri="{28A0092B-C50C-407E-A947-70E740481C1C}">
                          <a14:useLocalDpi xmlns:a14="http://schemas.microsoft.com/office/drawing/2010/main" val="0"/>
                        </a:ext>
                      </a:extLst>
                    </a:blip>
                    <a:srcRect t="21982"/>
                    <a:stretch/>
                  </pic:blipFill>
                  <pic:spPr bwMode="auto">
                    <a:xfrm>
                      <a:off x="0" y="0"/>
                      <a:ext cx="6249846" cy="3448099"/>
                    </a:xfrm>
                    <a:prstGeom prst="rect">
                      <a:avLst/>
                    </a:prstGeom>
                    <a:ln>
                      <a:noFill/>
                    </a:ln>
                    <a:extLst>
                      <a:ext uri="{53640926-AAD7-44D8-BBD7-CCE9431645EC}">
                        <a14:shadowObscured xmlns:a14="http://schemas.microsoft.com/office/drawing/2010/main"/>
                      </a:ext>
                    </a:extLst>
                  </pic:spPr>
                </pic:pic>
              </a:graphicData>
            </a:graphic>
          </wp:inline>
        </w:drawing>
      </w:r>
    </w:p>
    <w:p w14:paraId="0BE40867" w14:textId="2F593D81" w:rsidR="00AA518B" w:rsidRPr="00AA518B" w:rsidRDefault="00AA518B" w:rsidP="005C00B2">
      <w:pPr>
        <w:spacing w:after="0" w:line="240" w:lineRule="auto"/>
        <w:rPr>
          <w:rFonts w:eastAsiaTheme="minorEastAsia"/>
        </w:rPr>
      </w:pPr>
      <w:r>
        <w:rPr>
          <w:rFonts w:eastAsiaTheme="minorEastAsia"/>
          <w:b/>
          <w:bCs/>
        </w:rPr>
        <w:t xml:space="preserve">Figure </w:t>
      </w:r>
      <w:r w:rsidR="006A7B80">
        <w:rPr>
          <w:rFonts w:eastAsiaTheme="minorEastAsia"/>
          <w:b/>
          <w:bCs/>
        </w:rPr>
        <w:t>2</w:t>
      </w:r>
      <w:r>
        <w:rPr>
          <w:rFonts w:eastAsiaTheme="minorEastAsia"/>
          <w:b/>
          <w:bCs/>
        </w:rPr>
        <w:t>.</w:t>
      </w:r>
      <w:r>
        <w:rPr>
          <w:rFonts w:eastAsiaTheme="minorEastAsia"/>
        </w:rPr>
        <w:t xml:space="preserve"> </w:t>
      </w:r>
      <w:r w:rsidR="00EF4526">
        <w:rPr>
          <w:rFonts w:eastAsiaTheme="minorEastAsia"/>
        </w:rPr>
        <w:t>Habitat availability f</w:t>
      </w:r>
      <w:r w:rsidR="0049085E">
        <w:rPr>
          <w:rFonts w:eastAsiaTheme="minorEastAsia"/>
        </w:rPr>
        <w:t xml:space="preserve">or Puerto Rican boas. </w:t>
      </w:r>
      <w:r w:rsidR="00815EB1">
        <w:rPr>
          <w:rFonts w:eastAsiaTheme="minorEastAsia"/>
        </w:rPr>
        <w:t>Suitable habitat (green) was based on the PR Gap Analysis and only includes pixels at less than 700 m elevation. Land use raster based on remote sensing and U.S. Census Bureau data was used to determine the proportion of habitat falling within developed (urban and densely-population rural) versus natural (</w:t>
      </w:r>
      <w:proofErr w:type="gramStart"/>
      <w:r w:rsidR="00815EB1">
        <w:rPr>
          <w:rFonts w:eastAsiaTheme="minorEastAsia"/>
        </w:rPr>
        <w:t>sparsely-populated</w:t>
      </w:r>
      <w:proofErr w:type="gramEnd"/>
      <w:r w:rsidR="00815EB1">
        <w:rPr>
          <w:rFonts w:eastAsiaTheme="minorEastAsia"/>
        </w:rPr>
        <w:t xml:space="preserve"> rural) areas.</w:t>
      </w:r>
    </w:p>
    <w:p w14:paraId="03668336" w14:textId="330E7E2D" w:rsidR="002A06B5" w:rsidRDefault="002A06B5" w:rsidP="005C00B2">
      <w:pPr>
        <w:spacing w:after="0" w:line="240" w:lineRule="auto"/>
        <w:rPr>
          <w:rFonts w:eastAsiaTheme="minorEastAsia"/>
        </w:rPr>
      </w:pPr>
    </w:p>
    <w:p w14:paraId="2B7A1B5E" w14:textId="50E63709" w:rsidR="00AB6CC9" w:rsidRDefault="00AB6CC9" w:rsidP="00AB6CC9">
      <w:pPr>
        <w:spacing w:after="0" w:line="240" w:lineRule="auto"/>
        <w:rPr>
          <w:rFonts w:eastAsiaTheme="minorEastAsia"/>
        </w:rPr>
      </w:pPr>
    </w:p>
    <w:p w14:paraId="2ADA378D" w14:textId="742B897D" w:rsidR="00AB6CC9" w:rsidRPr="00AB6CC9" w:rsidRDefault="00671B5F" w:rsidP="00AB6CC9">
      <w:pPr>
        <w:spacing w:after="0" w:line="240" w:lineRule="auto"/>
        <w:rPr>
          <w:rFonts w:eastAsiaTheme="minorEastAsia"/>
          <w:i/>
          <w:iCs/>
        </w:rPr>
      </w:pPr>
      <w:r>
        <w:rPr>
          <w:rFonts w:eastAsiaTheme="minorEastAsia"/>
          <w:i/>
          <w:iCs/>
        </w:rPr>
        <w:t>Carrying Capacity</w:t>
      </w:r>
    </w:p>
    <w:p w14:paraId="5CA0691F" w14:textId="723D455B" w:rsidR="00397C61" w:rsidRDefault="00AB6CC9" w:rsidP="00AB6CC9">
      <w:pPr>
        <w:spacing w:after="0" w:line="240" w:lineRule="auto"/>
        <w:rPr>
          <w:rFonts w:eastAsiaTheme="minorEastAsia"/>
        </w:rPr>
      </w:pPr>
      <w:r>
        <w:rPr>
          <w:rFonts w:eastAsiaTheme="minorEastAsia"/>
        </w:rPr>
        <w:t>Most wildlife populations face constraints on the maximum number of individuals that can be supported by local resources. We imposed density dependence on this population in the form of a simple population ceiling. Published estimates of PR boa density range from 1-</w:t>
      </w:r>
      <w:r w:rsidR="0052605F">
        <w:rPr>
          <w:rFonts w:eastAsiaTheme="minorEastAsia"/>
        </w:rPr>
        <w:t>3</w:t>
      </w:r>
      <w:r>
        <w:rPr>
          <w:rFonts w:eastAsiaTheme="minorEastAsia"/>
        </w:rPr>
        <w:t xml:space="preserve"> </w:t>
      </w:r>
      <w:r>
        <w:rPr>
          <w:rFonts w:eastAsiaTheme="minorEastAsia"/>
        </w:rPr>
        <w:fldChar w:fldCharType="begin" w:fldLock="1"/>
      </w:r>
      <w:r>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Pr>
          <w:rFonts w:eastAsiaTheme="minorEastAsia"/>
        </w:rPr>
        <w:fldChar w:fldCharType="separate"/>
      </w:r>
      <w:r w:rsidRPr="00E47218">
        <w:rPr>
          <w:rFonts w:eastAsiaTheme="minorEastAsia"/>
          <w:noProof/>
        </w:rPr>
        <w:t>(Mulero-Oliveras 2019)</w:t>
      </w:r>
      <w:r>
        <w:rPr>
          <w:rFonts w:eastAsiaTheme="minorEastAsia"/>
        </w:rPr>
        <w:fldChar w:fldCharType="end"/>
      </w:r>
      <w:r>
        <w:rPr>
          <w:rFonts w:eastAsiaTheme="minorEastAsia"/>
        </w:rPr>
        <w:t xml:space="preserve">. If all available habitat was used, this corresponds to a maximum population size ranging from 379,029 to </w:t>
      </w:r>
      <w:r w:rsidR="00671B5F" w:rsidRPr="005C075B">
        <w:t>1,137,087</w:t>
      </w:r>
      <w:r w:rsidR="00671B5F">
        <w:t xml:space="preserve"> </w:t>
      </w:r>
      <w:r>
        <w:rPr>
          <w:rFonts w:eastAsiaTheme="minorEastAsia"/>
        </w:rPr>
        <w:t>individuals.</w:t>
      </w:r>
      <w:r w:rsidR="00510D9F">
        <w:rPr>
          <w:rFonts w:eastAsiaTheme="minorEastAsia"/>
        </w:rPr>
        <w:t xml:space="preserve"> Although some studies have estimated higher boa densities in some areas, all available estimates are from the northern part of the range where habitat is higher quality and densities are greater (J.P. </w:t>
      </w:r>
      <w:proofErr w:type="spellStart"/>
      <w:r w:rsidR="00510D9F">
        <w:rPr>
          <w:rFonts w:eastAsiaTheme="minorEastAsia"/>
        </w:rPr>
        <w:t>Zegarra</w:t>
      </w:r>
      <w:proofErr w:type="spellEnd"/>
      <w:r w:rsidR="00510D9F">
        <w:rPr>
          <w:rFonts w:eastAsiaTheme="minorEastAsia"/>
        </w:rPr>
        <w:t xml:space="preserve"> </w:t>
      </w:r>
      <w:r w:rsidR="00510D9F" w:rsidRPr="00397C61">
        <w:rPr>
          <w:rFonts w:eastAsiaTheme="minorEastAsia"/>
          <w:i/>
          <w:iCs/>
        </w:rPr>
        <w:t>pers. comm.</w:t>
      </w:r>
      <w:r w:rsidR="00510D9F">
        <w:rPr>
          <w:rFonts w:eastAsiaTheme="minorEastAsia"/>
        </w:rPr>
        <w:t xml:space="preserve">). To account for variation in density and habitat quality across the island, we chose to set the maximum island-wide density at 3 boas/ha, which we feel is a more conservative approach. </w:t>
      </w:r>
      <w:r w:rsidR="00397C61">
        <w:rPr>
          <w:rFonts w:eastAsiaTheme="minorEastAsia"/>
        </w:rPr>
        <w:t>We compared model outputs for simulations with varying maximum densities and found that these input values had minimal effect on probabilities of population growth or quasi-extinction (Appendix B).</w:t>
      </w:r>
    </w:p>
    <w:p w14:paraId="0BD67BEB" w14:textId="77777777" w:rsidR="00397C61" w:rsidRDefault="00397C61" w:rsidP="00AB6CC9">
      <w:pPr>
        <w:spacing w:after="0" w:line="240" w:lineRule="auto"/>
        <w:rPr>
          <w:rFonts w:eastAsiaTheme="minorEastAsia"/>
        </w:rPr>
      </w:pPr>
    </w:p>
    <w:p w14:paraId="0678A7C3" w14:textId="55DAA842" w:rsidR="00AB6CC9" w:rsidRDefault="00AB6CC9" w:rsidP="00AB6CC9">
      <w:pPr>
        <w:spacing w:after="0" w:line="240" w:lineRule="auto"/>
        <w:rPr>
          <w:rFonts w:eastAsiaTheme="minorEastAsia"/>
        </w:rPr>
      </w:pPr>
      <w:r>
        <w:rPr>
          <w:rFonts w:eastAsiaTheme="minorEastAsia"/>
        </w:rPr>
        <w:t xml:space="preserve">For each model replication, we randomly drew a carrying capacity from a Uniform distribution bounded by this minimum and maximum. We assumed that reproduction would cease if the ceiling was reached, and therefore imposed a rule that set fecundity equal to zero if the total population size reached the ceiling. This approach is a simplified model of how carrying capacity would affect population demographics. It likely that approaching and exceeding carrying capacity would affect multiple demographic processes, but we do not have data to estimate these effects and so implementing a simple fecundity reduction ceiling function allows us to limit population growth without speculating on the functional form of density dependence </w:t>
      </w:r>
      <w:r>
        <w:rPr>
          <w:rFonts w:eastAsiaTheme="minorEastAsia"/>
        </w:rPr>
        <w:fldChar w:fldCharType="begin" w:fldLock="1"/>
      </w:r>
      <w:r>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Act","type":"article-journal","volume":"12"},"uris":["http://www.mendeley.com/documents/?uuid=0ad35e70-e660-4fc0-ae24-46052b312e7f"]},{"id":"ITEM-2","itemData":{"author":[{"dropping-particle":"","family":"Morris","given":"William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075C43E" w14:textId="00F65751" w:rsidR="00A84F94" w:rsidRDefault="00A84F94" w:rsidP="00AB6CC9">
      <w:pPr>
        <w:spacing w:after="0" w:line="240" w:lineRule="auto"/>
        <w:rPr>
          <w:rFonts w:eastAsiaTheme="minorEastAsia"/>
        </w:rPr>
      </w:pPr>
    </w:p>
    <w:p w14:paraId="2D05CC6D" w14:textId="77777777" w:rsidR="00A84F94" w:rsidRPr="002A06B5" w:rsidRDefault="00A84F94" w:rsidP="00A84F94">
      <w:pPr>
        <w:spacing w:after="0" w:line="240" w:lineRule="auto"/>
        <w:rPr>
          <w:rFonts w:eastAsiaTheme="minorEastAsia"/>
          <w:i/>
        </w:rPr>
      </w:pPr>
      <w:r>
        <w:rPr>
          <w:rFonts w:eastAsiaTheme="minorEastAsia"/>
          <w:i/>
        </w:rPr>
        <w:lastRenderedPageBreak/>
        <w:t>Initial Population Size</w:t>
      </w:r>
    </w:p>
    <w:p w14:paraId="05807B45" w14:textId="08649ECE" w:rsidR="00A84F94" w:rsidRDefault="00A84F94" w:rsidP="00AB6CC9">
      <w:pPr>
        <w:spacing w:after="0" w:line="240" w:lineRule="auto"/>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 xml:space="preserve">boas in the current population. </w:t>
      </w:r>
      <w:r>
        <w:rPr>
          <w:rFonts w:eastAsiaTheme="minorEastAsia"/>
        </w:rPr>
        <w:t xml:space="preserve">We chose a </w:t>
      </w:r>
      <w:r>
        <w:rPr>
          <w:rFonts w:eastAsiaTheme="minorEastAsia"/>
        </w:rPr>
        <w:t>maximum current density lower than that estimated by published studies from the north</w:t>
      </w:r>
      <w:r>
        <w:rPr>
          <w:rFonts w:eastAsiaTheme="minorEastAsia"/>
        </w:rPr>
        <w:t xml:space="preserve"> (up to 7 boas/ha)</w:t>
      </w:r>
      <w:r>
        <w:rPr>
          <w:rFonts w:eastAsiaTheme="minorEastAsia"/>
        </w:rPr>
        <w:t xml:space="preserve"> to account for the fact that densities are likely lower in other parts of the range. The final population size depends in part on the initial population size, so we present projection results as the change in population size from the first year.</w:t>
      </w:r>
    </w:p>
    <w:p w14:paraId="7B488AB0" w14:textId="4E98B5E7" w:rsidR="00217027" w:rsidRDefault="00217027" w:rsidP="00217027">
      <w:pPr>
        <w:spacing w:after="0" w:line="240" w:lineRule="auto"/>
        <w:rPr>
          <w:rFonts w:eastAsiaTheme="minorEastAsia"/>
        </w:rPr>
      </w:pPr>
    </w:p>
    <w:p w14:paraId="5387439F" w14:textId="7441EA0D" w:rsidR="00AC17E0" w:rsidRPr="00AC17E0" w:rsidRDefault="00AC17E0" w:rsidP="00217027">
      <w:pPr>
        <w:spacing w:after="0" w:line="240" w:lineRule="auto"/>
        <w:rPr>
          <w:rFonts w:eastAsiaTheme="minorEastAsia"/>
        </w:rPr>
      </w:pPr>
      <w:r>
        <w:rPr>
          <w:rFonts w:eastAsiaTheme="minorEastAsia"/>
          <w:i/>
          <w:iCs/>
        </w:rPr>
        <w:t>Uncertainty in Demographic Rates</w:t>
      </w:r>
    </w:p>
    <w:p w14:paraId="716B21C3" w14:textId="660B4CB3" w:rsidR="00217027" w:rsidRDefault="00217027" w:rsidP="005C00B2">
      <w:pPr>
        <w:spacing w:after="0" w:line="240" w:lineRule="auto"/>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To incorporate uncertainty in our estimates of the average demographic rates, we assumed</w:t>
      </w:r>
      <w:r w:rsidR="002B0335">
        <w:rPr>
          <w:rFonts w:eastAsiaTheme="minorEastAsia"/>
        </w:rPr>
        <w:t xml:space="preserve"> that</w:t>
      </w:r>
      <w:r w:rsidR="00AC17E0">
        <w:rPr>
          <w:rFonts w:eastAsiaTheme="minorEastAsia"/>
        </w:rPr>
        <w:t xml:space="preserve"> the error in our mean estimate was </w:t>
      </w:r>
      <w:r>
        <w:rPr>
          <w:rFonts w:eastAsiaTheme="minorEastAsia"/>
        </w:rPr>
        <w:t xml:space="preserve">15% </w:t>
      </w:r>
      <w:r w:rsidR="002B0335">
        <w:rPr>
          <w:rFonts w:eastAsiaTheme="minorEastAsia"/>
        </w:rPr>
        <w:t xml:space="preserve">of the average value approximated by the team. For example, the 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 xml:space="preserve">For each transition probability, we randomly drew an average value for each iteration from a Beta distribution, using the method-of-moments method to calculate the shape parameters. For the fecundity rates, we randomly drew an average value from a Log-normal distribution. </w:t>
      </w:r>
    </w:p>
    <w:p w14:paraId="2B3F87AE" w14:textId="3F44EE9C" w:rsidR="00CB2972" w:rsidRDefault="00CB2972" w:rsidP="005C00B2">
      <w:pPr>
        <w:spacing w:after="0" w:line="240" w:lineRule="auto"/>
        <w:rPr>
          <w:rFonts w:eastAsiaTheme="minorEastAsia"/>
        </w:rPr>
      </w:pPr>
    </w:p>
    <w:p w14:paraId="579E4B24" w14:textId="0B944D62" w:rsidR="00CB2972" w:rsidRDefault="00CB2972" w:rsidP="005C00B2">
      <w:pPr>
        <w:spacing w:after="0" w:line="240" w:lineRule="auto"/>
        <w:rPr>
          <w:rFonts w:eastAsiaTheme="minorEastAsia"/>
        </w:rPr>
      </w:pPr>
      <w:r>
        <w:rPr>
          <w:rFonts w:eastAsiaTheme="minorEastAsia"/>
          <w:i/>
        </w:rPr>
        <w:t>Temporal Variation in Demographic Rates</w:t>
      </w:r>
    </w:p>
    <w:p w14:paraId="4402AE2A" w14:textId="282B8BDB" w:rsidR="00CB2972" w:rsidRPr="00B46480" w:rsidRDefault="00EC2593" w:rsidP="005C00B2">
      <w:pPr>
        <w:spacing w:after="0" w:line="240" w:lineRule="auto"/>
        <w:rPr>
          <w:rFonts w:eastAsiaTheme="minorEastAsia"/>
        </w:rPr>
      </w:pPr>
      <w:r>
        <w:rPr>
          <w:rFonts w:eastAsiaTheme="minorEastAsia"/>
        </w:rPr>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Transition probabilities were drawn from a Beta distribution and fecundity rates were drawn from a Log-normal distribution. </w:t>
      </w:r>
      <w:r w:rsidR="00A84F94">
        <w:rPr>
          <w:rFonts w:eastAsiaTheme="minorEastAsia"/>
        </w:rPr>
        <w:t xml:space="preserve">A conceptual depiction of how both parametric uncertainty temporal variability </w:t>
      </w:r>
      <w:proofErr w:type="gramStart"/>
      <w:r w:rsidR="00A84F94">
        <w:rPr>
          <w:rFonts w:eastAsiaTheme="minorEastAsia"/>
        </w:rPr>
        <w:t>were</w:t>
      </w:r>
      <w:proofErr w:type="gramEnd"/>
      <w:r w:rsidR="00A84F94">
        <w:rPr>
          <w:rFonts w:eastAsiaTheme="minorEastAsia"/>
        </w:rPr>
        <w:t xml:space="preserve"> included in the projection model is provided in Appendix A.</w:t>
      </w:r>
      <w:r w:rsidR="00286121">
        <w:rPr>
          <w:rFonts w:eastAsiaTheme="minorEastAsia"/>
        </w:rPr>
        <w:t xml:space="preserve"> </w:t>
      </w:r>
      <w:r w:rsidR="00B46480">
        <w:rPr>
          <w:rFonts w:eastAsiaTheme="minorEastAsia"/>
        </w:rPr>
        <w:t xml:space="preserve">  </w:t>
      </w:r>
    </w:p>
    <w:p w14:paraId="65B908B9" w14:textId="77777777" w:rsidR="00B46480" w:rsidRDefault="00B46480" w:rsidP="005C00B2">
      <w:pPr>
        <w:spacing w:after="0" w:line="240" w:lineRule="auto"/>
        <w:rPr>
          <w:rFonts w:eastAsiaTheme="minorEastAsia"/>
          <w:i/>
        </w:rPr>
      </w:pPr>
    </w:p>
    <w:p w14:paraId="2F1745E2" w14:textId="08830755" w:rsidR="00CB2972" w:rsidRDefault="00CB2972" w:rsidP="005C00B2">
      <w:pPr>
        <w:spacing w:after="0" w:line="24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74FD9D18" w:rsidR="00CB2972" w:rsidRDefault="00286121" w:rsidP="005C00B2">
      <w:pPr>
        <w:spacing w:after="0" w:line="240" w:lineRule="auto"/>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w:t>
      </w:r>
      <w:r w:rsidR="00A84F94">
        <w:rPr>
          <w:rFonts w:eastAsiaTheme="minorEastAsia"/>
        </w:rPr>
        <w:t xml:space="preserve">(undeveloped) </w:t>
      </w:r>
      <w:r>
        <w:rPr>
          <w:rFonts w:eastAsiaTheme="minorEastAsia"/>
        </w:rPr>
        <w:t xml:space="preserve">or </w:t>
      </w:r>
      <w:r w:rsidR="00A0511C">
        <w:rPr>
          <w:rFonts w:eastAsiaTheme="minorEastAsia"/>
        </w:rPr>
        <w:t>developed</w:t>
      </w:r>
      <w:r>
        <w:rPr>
          <w:rFonts w:eastAsiaTheme="minorEastAsia"/>
        </w:rPr>
        <w:t xml:space="preserve"> habitat. Natural habitat was defined as all </w:t>
      </w:r>
      <w:r w:rsidR="00AB6CC9">
        <w:rPr>
          <w:rFonts w:eastAsiaTheme="minorEastAsia"/>
        </w:rPr>
        <w:t xml:space="preserve">suitable habitat </w:t>
      </w:r>
      <w:r w:rsidR="000B1788">
        <w:rPr>
          <w:rFonts w:eastAsiaTheme="minorEastAsia"/>
        </w:rPr>
        <w:t xml:space="preserve">that was not adjacent to development. </w:t>
      </w:r>
      <w:r w:rsidR="0065515F">
        <w:rPr>
          <w:rFonts w:eastAsiaTheme="minorEastAsia"/>
        </w:rPr>
        <w:t>Developed</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65515F">
        <w:rPr>
          <w:rFonts w:eastAsiaTheme="minorEastAsia"/>
        </w:rPr>
        <w:t xml:space="preserve">falling within either urban or densely populated rural areas, as defined by </w:t>
      </w:r>
      <w:proofErr w:type="spellStart"/>
      <w:r w:rsidR="0065515F">
        <w:rPr>
          <w:rFonts w:eastAsiaTheme="minorEastAsia"/>
        </w:rPr>
        <w:t>Martinuzzi</w:t>
      </w:r>
      <w:proofErr w:type="spellEnd"/>
      <w:r w:rsidR="0065515F">
        <w:rPr>
          <w:rFonts w:eastAsiaTheme="minorEastAsia"/>
        </w:rPr>
        <w:t xml:space="preserve"> et al (2007) </w:t>
      </w:r>
      <w:r w:rsidR="000B1788">
        <w:rPr>
          <w:rFonts w:eastAsiaTheme="minorEastAsia"/>
        </w:rPr>
        <w:t xml:space="preserve">(see </w:t>
      </w:r>
      <w:r w:rsidR="000B1788">
        <w:rPr>
          <w:rFonts w:eastAsiaTheme="minorEastAsia"/>
          <w:i/>
          <w:iCs/>
        </w:rPr>
        <w:t>Habitat Availability</w:t>
      </w:r>
      <w:r w:rsidR="000B1788">
        <w:rPr>
          <w:rFonts w:eastAsiaTheme="minorEastAsia"/>
        </w:rPr>
        <w:t>, above)</w:t>
      </w:r>
      <w:r w:rsidR="00AB6CC9">
        <w:rPr>
          <w:rFonts w:eastAsiaTheme="minorEastAsia"/>
        </w:rPr>
        <w:t xml:space="preserve">. </w:t>
      </w:r>
      <w:r w:rsidR="00603A70">
        <w:rPr>
          <w:rFonts w:eastAsiaTheme="minorEastAsia"/>
        </w:rPr>
        <w:t>Experts believed that in</w:t>
      </w:r>
      <w:r w:rsidR="00DD6D97">
        <w:rPr>
          <w:rFonts w:eastAsiaTheme="minorEastAsia"/>
        </w:rPr>
        <w:t xml:space="preserve"> developed areas boas experience higher mortality due to human interactions, road strikes, and the occurrence of feral cats</w:t>
      </w:r>
      <w:r w:rsidR="00A84F94">
        <w:rPr>
          <w:rFonts w:eastAsiaTheme="minorEastAsia"/>
        </w:rPr>
        <w:t xml:space="preserve">. Fecundity and growth may also be lower due to lower food availability and other stressors associated with living in an urbanized landscape. </w:t>
      </w:r>
      <w:r w:rsidR="00DD6D97">
        <w:rPr>
          <w:rFonts w:eastAsiaTheme="minorEastAsia"/>
        </w:rPr>
        <w:t xml:space="preserve">Therefore, we assumed that </w:t>
      </w:r>
      <w:r w:rsidR="00A84F94">
        <w:rPr>
          <w:rFonts w:eastAsiaTheme="minorEastAsia"/>
        </w:rPr>
        <w:t xml:space="preserve">all </w:t>
      </w:r>
      <w:r w:rsidR="00DD6D97">
        <w:rPr>
          <w:rFonts w:eastAsiaTheme="minorEastAsia"/>
        </w:rPr>
        <w:t xml:space="preserve">realized demographic rates would be </w:t>
      </w:r>
      <w:r w:rsidR="00D52E2F">
        <w:rPr>
          <w:rFonts w:eastAsiaTheme="minorEastAsia"/>
        </w:rPr>
        <w:t xml:space="preserve">lower </w:t>
      </w:r>
      <w:r w:rsidR="00DD6D97">
        <w:rPr>
          <w:rFonts w:eastAsiaTheme="minorEastAsia"/>
        </w:rPr>
        <w:t xml:space="preserve">in urban habitats than in natural (baseline) conditions. To include this </w:t>
      </w:r>
      <w:r w:rsidR="00D52E2F">
        <w:rPr>
          <w:rFonts w:eastAsiaTheme="minorEastAsia"/>
        </w:rPr>
        <w:t>effect</w:t>
      </w:r>
      <w:r w:rsidR="00DD6D97">
        <w:rPr>
          <w:rFonts w:eastAsiaTheme="minorEastAsia"/>
        </w:rPr>
        <w:t xml:space="preserve">, for each </w:t>
      </w:r>
      <w:r w:rsidR="00A84F94">
        <w:rPr>
          <w:rFonts w:eastAsiaTheme="minorEastAsia"/>
        </w:rPr>
        <w:t>replication</w:t>
      </w:r>
      <w:r w:rsidR="00DD6D97">
        <w:rPr>
          <w:rFonts w:eastAsiaTheme="minorEastAsia"/>
        </w:rPr>
        <w:t xml:space="preserve">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2A7747F2" w:rsidR="00A94E62" w:rsidRDefault="00A94E62" w:rsidP="005C00B2">
      <w:pPr>
        <w:spacing w:after="0" w:line="240" w:lineRule="auto"/>
        <w:rPr>
          <w:rFonts w:eastAsiaTheme="minorEastAsia"/>
        </w:rPr>
      </w:pPr>
    </w:p>
    <w:p w14:paraId="76FC70AD" w14:textId="4F8C5B51" w:rsidR="00A94E62" w:rsidRDefault="00015663" w:rsidP="005C00B2">
      <w:pPr>
        <w:spacing w:after="0" w:line="240" w:lineRule="auto"/>
        <w:rPr>
          <w:rFonts w:eastAsiaTheme="minorEastAsia"/>
        </w:rPr>
      </w:pPr>
      <w:r w:rsidRPr="00AB6CC9">
        <w:rPr>
          <w:rFonts w:eastAsiaTheme="minorEastAsia"/>
          <w:i/>
        </w:rPr>
        <w:t>Future</w:t>
      </w:r>
      <w:r w:rsidR="00A94E62" w:rsidRPr="00AB6CC9">
        <w:rPr>
          <w:rFonts w:eastAsiaTheme="minorEastAsia"/>
          <w:i/>
        </w:rPr>
        <w:t xml:space="preserve"> Scenarios</w:t>
      </w:r>
    </w:p>
    <w:p w14:paraId="10FB8D49" w14:textId="641F32F0" w:rsidR="00D81519" w:rsidRDefault="002134FC" w:rsidP="00C353EB">
      <w:pPr>
        <w:spacing w:after="0" w:line="240" w:lineRule="auto"/>
        <w:rPr>
          <w:rFonts w:eastAsiaTheme="minorEastAsia"/>
        </w:rPr>
      </w:pPr>
      <w:r>
        <w:rPr>
          <w:rFonts w:eastAsiaTheme="minorEastAsia"/>
        </w:rPr>
        <w:lastRenderedPageBreak/>
        <w:t xml:space="preserve">The key threats to this species are habitat loss and human interactions, both of which are linked to increased development and conversion of natural areas into urban areas. </w:t>
      </w:r>
      <w:r w:rsidR="00E03EE6">
        <w:rPr>
          <w:rFonts w:eastAsiaTheme="minorEastAsia"/>
        </w:rPr>
        <w:t xml:space="preserve">PR boas can persist in islands of habitat within an urbanized matrix </w:t>
      </w:r>
      <w:r w:rsidR="00E03EE6">
        <w:rPr>
          <w:rFonts w:eastAsiaTheme="minorEastAsia"/>
        </w:rPr>
        <w:fldChar w:fldCharType="begin" w:fldLock="1"/>
      </w:r>
      <w:r w:rsidR="00E03EE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E03EE6">
        <w:rPr>
          <w:rFonts w:eastAsiaTheme="minorEastAsia"/>
        </w:rPr>
        <w:fldChar w:fldCharType="separate"/>
      </w:r>
      <w:r w:rsidR="00E03EE6" w:rsidRPr="00AB6CC9">
        <w:rPr>
          <w:rFonts w:eastAsiaTheme="minorEastAsia"/>
          <w:noProof/>
        </w:rPr>
        <w:t>(Mulero-Oliveras 2019)</w:t>
      </w:r>
      <w:r w:rsidR="00E03EE6">
        <w:rPr>
          <w:rFonts w:eastAsiaTheme="minorEastAsia"/>
        </w:rPr>
        <w:fldChar w:fldCharType="end"/>
      </w:r>
      <w:r w:rsidR="00E03EE6">
        <w:rPr>
          <w:rFonts w:eastAsiaTheme="minorEastAsia"/>
        </w:rPr>
        <w:t xml:space="preserve">, but not in a purely developed landscape. </w:t>
      </w:r>
      <w:r w:rsidR="00A94E62">
        <w:rPr>
          <w:rFonts w:eastAsiaTheme="minorEastAsia"/>
        </w:rPr>
        <w:t xml:space="preserve">We </w:t>
      </w:r>
      <w:r w:rsidR="00015663">
        <w:rPr>
          <w:rFonts w:eastAsiaTheme="minorEastAsia"/>
        </w:rPr>
        <w:t>considered future scenarios that included changes in land cove</w:t>
      </w:r>
      <w:r w:rsidR="00A0511C">
        <w:rPr>
          <w:rFonts w:eastAsiaTheme="minorEastAsia"/>
        </w:rPr>
        <w:t>r such that developed areas would encroach upon natural areas</w:t>
      </w:r>
      <w:r w:rsidR="006979C5">
        <w:rPr>
          <w:rFonts w:eastAsiaTheme="minorEastAsia"/>
        </w:rPr>
        <w:t xml:space="preserve">, resulting in </w:t>
      </w:r>
      <w:r w:rsidR="00E03EE6">
        <w:rPr>
          <w:rFonts w:eastAsiaTheme="minorEastAsia"/>
        </w:rPr>
        <w:t>both an increased</w:t>
      </w:r>
      <w:r w:rsidR="006979C5">
        <w:rPr>
          <w:rFonts w:eastAsiaTheme="minorEastAsia"/>
        </w:rPr>
        <w:t xml:space="preserve"> </w:t>
      </w:r>
      <w:r w:rsidR="008F370D">
        <w:rPr>
          <w:rFonts w:eastAsiaTheme="minorEastAsia"/>
        </w:rPr>
        <w:t>proximity of development to natural areas</w:t>
      </w:r>
      <w:r w:rsidR="00E03EE6">
        <w:rPr>
          <w:rFonts w:eastAsiaTheme="minorEastAsia"/>
        </w:rPr>
        <w:t xml:space="preserve"> and</w:t>
      </w:r>
      <w:r w:rsidR="006979C5">
        <w:rPr>
          <w:rFonts w:eastAsiaTheme="minorEastAsia"/>
        </w:rPr>
        <w:t xml:space="preserve"> loss of</w:t>
      </w:r>
      <w:r w:rsidR="008F370D">
        <w:rPr>
          <w:rFonts w:eastAsiaTheme="minorEastAsia"/>
        </w:rPr>
        <w:t xml:space="preserve"> overall</w:t>
      </w:r>
      <w:r w:rsidR="006979C5">
        <w:rPr>
          <w:rFonts w:eastAsiaTheme="minorEastAsia"/>
        </w:rPr>
        <w:t xml:space="preserve"> habitat area</w:t>
      </w:r>
      <w:r w:rsidR="00E03EE6">
        <w:rPr>
          <w:rFonts w:eastAsiaTheme="minorEastAsia"/>
        </w:rPr>
        <w:t xml:space="preserve">. </w:t>
      </w:r>
      <w:r w:rsidR="00D81519">
        <w:rPr>
          <w:rFonts w:eastAsiaTheme="minorEastAsia"/>
        </w:rPr>
        <w:t xml:space="preserve">We considered three potential future scenarios based on an analysis of past rates of urbanization in proximity to protected natural areas in Puerto Rico </w:t>
      </w:r>
      <w:r w:rsidR="00D81519">
        <w:rPr>
          <w:rFonts w:eastAsiaTheme="minorEastAsia"/>
        </w:rPr>
        <w:fldChar w:fldCharType="begin" w:fldLock="1"/>
      </w:r>
      <w:r w:rsidR="00671B5F">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D81519">
        <w:rPr>
          <w:rFonts w:eastAsiaTheme="minorEastAsia"/>
        </w:rPr>
        <w:fldChar w:fldCharType="separate"/>
      </w:r>
      <w:r w:rsidR="00D81519" w:rsidRPr="00D81519">
        <w:rPr>
          <w:rFonts w:eastAsiaTheme="minorEastAsia"/>
          <w:noProof/>
        </w:rPr>
        <w:t>(Castro-Prieto et al. 2017)</w:t>
      </w:r>
      <w:r w:rsidR="00D81519">
        <w:rPr>
          <w:rFonts w:eastAsiaTheme="minorEastAsia"/>
        </w:rPr>
        <w:fldChar w:fldCharType="end"/>
      </w:r>
      <w:r w:rsidR="00D81519">
        <w:rPr>
          <w:rFonts w:eastAsiaTheme="minorEastAsia"/>
        </w:rPr>
        <w:t xml:space="preserve">, which found that urban growth increased at a rate of 16% over 2000-2010.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Pr>
          <w:rFonts w:eastAsiaTheme="minorEastAsia"/>
        </w:rPr>
        <w:t>, we assumed</w:t>
      </w:r>
      <w:r w:rsidR="00D81519">
        <w:rPr>
          <w:rFonts w:eastAsiaTheme="minorEastAsia"/>
        </w:rPr>
        <w:t xml:space="preserve"> no future urban growth, and therefore that</w:t>
      </w:r>
      <w:r>
        <w:rPr>
          <w:rFonts w:eastAsiaTheme="minorEastAsia"/>
        </w:rPr>
        <w:t xml:space="preserve"> the proportion of habitat in natural and urban areas would remain the sa</w:t>
      </w:r>
      <w:r w:rsidR="002836A7">
        <w:rPr>
          <w:rFonts w:eastAsiaTheme="minorEastAsia"/>
        </w:rPr>
        <w:t>me as curr</w:t>
      </w:r>
      <w:r w:rsidR="006979C5">
        <w:rPr>
          <w:rFonts w:eastAsiaTheme="minorEastAsia"/>
        </w:rPr>
        <w:t xml:space="preserve">ent conditions </w:t>
      </w:r>
      <w:r w:rsidR="002836A7">
        <w:rPr>
          <w:rFonts w:eastAsiaTheme="minorEastAsia"/>
        </w:rPr>
        <w:t>(0.</w:t>
      </w:r>
      <w:r w:rsidR="00073544">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year</w:t>
      </w:r>
      <w:r w:rsidR="007A1583">
        <w:rPr>
          <w:rFonts w:eastAsiaTheme="minorEastAsia"/>
        </w:rPr>
        <w:t xml:space="preserve"> </w:t>
      </w:r>
      <w:r w:rsidR="00495509">
        <w:rPr>
          <w:rFonts w:eastAsiaTheme="minorEastAsia"/>
        </w:rPr>
        <w:t>(</w:t>
      </w:r>
      <w:r w:rsidR="00407529">
        <w:rPr>
          <w:rFonts w:eastAsiaTheme="minorEastAsia"/>
        </w:rPr>
        <w:t xml:space="preserve">Table </w:t>
      </w:r>
      <w:r w:rsidR="00C45561">
        <w:rPr>
          <w:rFonts w:eastAsiaTheme="minorEastAsia"/>
        </w:rPr>
        <w:t>3</w:t>
      </w:r>
      <w:r w:rsidR="00407529">
        <w:rPr>
          <w:rFonts w:eastAsiaTheme="minorEastAsia"/>
        </w:rPr>
        <w:t xml:space="preserve">, </w:t>
      </w:r>
      <w:r w:rsidR="00495509">
        <w:rPr>
          <w:rFonts w:eastAsiaTheme="minorEastAsia"/>
        </w:rPr>
        <w:t xml:space="preserve">Figure 3). </w:t>
      </w:r>
    </w:p>
    <w:p w14:paraId="2F1F457F" w14:textId="77777777" w:rsidR="0038639C" w:rsidRDefault="0038639C" w:rsidP="00C353EB">
      <w:pPr>
        <w:spacing w:after="0" w:line="240" w:lineRule="auto"/>
        <w:rPr>
          <w:rFonts w:eastAsiaTheme="minorEastAsia"/>
        </w:rPr>
      </w:pPr>
    </w:p>
    <w:p w14:paraId="35CE131E" w14:textId="77777777" w:rsidR="00987D1B" w:rsidRDefault="00987D1B" w:rsidP="00C353EB">
      <w:pPr>
        <w:spacing w:after="0" w:line="240" w:lineRule="auto"/>
        <w:rPr>
          <w:rFonts w:eastAsiaTheme="minorEastAsia"/>
        </w:rPr>
      </w:pPr>
    </w:p>
    <w:p w14:paraId="7C2076C5" w14:textId="18029234" w:rsidR="00495509" w:rsidRDefault="00495509" w:rsidP="00C353EB">
      <w:pPr>
        <w:spacing w:after="0" w:line="240" w:lineRule="auto"/>
        <w:rPr>
          <w:rFonts w:eastAsiaTheme="minorEastAsia"/>
        </w:rPr>
      </w:pPr>
    </w:p>
    <w:p w14:paraId="35AF9D33" w14:textId="0530FBF6" w:rsidR="00495509" w:rsidRDefault="007E2BBA" w:rsidP="00C353EB">
      <w:pPr>
        <w:spacing w:after="0" w:line="240" w:lineRule="auto"/>
        <w:rPr>
          <w:rFonts w:eastAsiaTheme="minorEastAsia"/>
        </w:rPr>
      </w:pPr>
      <w:r>
        <w:rPr>
          <w:rFonts w:eastAsiaTheme="minorEastAsia"/>
          <w:noProof/>
        </w:rPr>
        <w:drawing>
          <wp:inline distT="0" distB="0" distL="0" distR="0" wp14:anchorId="6A102B1D" wp14:editId="2102D84E">
            <wp:extent cx="594360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C941551" w14:textId="6BC4739F" w:rsidR="00495509" w:rsidRDefault="00987D1B" w:rsidP="00C353EB">
      <w:pPr>
        <w:spacing w:after="0" w:line="240" w:lineRule="auto"/>
        <w:rPr>
          <w:rFonts w:eastAsiaTheme="minorEastAsia"/>
        </w:rPr>
      </w:pPr>
      <w:r w:rsidRPr="00987D1B">
        <w:rPr>
          <w:rFonts w:eastAsiaTheme="minorEastAsia"/>
          <w:b/>
          <w:bCs/>
        </w:rPr>
        <w:t>Figure 3</w:t>
      </w:r>
      <w:r>
        <w:rPr>
          <w:rFonts w:eastAsiaTheme="minorEastAsia"/>
        </w:rPr>
        <w:t xml:space="preserve">.  </w:t>
      </w:r>
      <w:r w:rsidR="00D619A4">
        <w:rPr>
          <w:rFonts w:eastAsiaTheme="minorEastAsia"/>
        </w:rPr>
        <w:t>C</w:t>
      </w:r>
      <w:r>
        <w:rPr>
          <w:rFonts w:eastAsiaTheme="minorEastAsia"/>
        </w:rPr>
        <w:t xml:space="preserve">hange in the total habitat area and the proportion of habitat falling within an urban area </w:t>
      </w:r>
      <w:r w:rsidR="00D619A4">
        <w:rPr>
          <w:rFonts w:eastAsiaTheme="minorEastAsia"/>
        </w:rPr>
        <w:t>under</w:t>
      </w:r>
      <w:r>
        <w:rPr>
          <w:rFonts w:eastAsiaTheme="minorEastAsia"/>
        </w:rPr>
        <w:t xml:space="preserve"> </w:t>
      </w:r>
      <w:r w:rsidR="007A1583">
        <w:rPr>
          <w:rFonts w:eastAsiaTheme="minorEastAsia"/>
        </w:rPr>
        <w:t>four</w:t>
      </w:r>
      <w:r>
        <w:rPr>
          <w:rFonts w:eastAsiaTheme="minorEastAsia"/>
        </w:rPr>
        <w:t xml:space="preserve"> future scenarios</w:t>
      </w:r>
      <w:r w:rsidR="007A1583">
        <w:rPr>
          <w:rFonts w:eastAsiaTheme="minorEastAsia"/>
        </w:rPr>
        <w:t>, each representing a different rate of urbanization (0% per decade, 8% per decade, 16% per decade, or 24% per decade)</w:t>
      </w:r>
      <w:r>
        <w:rPr>
          <w:rFonts w:eastAsiaTheme="minorEastAsia"/>
        </w:rPr>
        <w:t>. These scenarios are based on an analysis by Castro-Prieto et al (2017) and described in text.</w:t>
      </w:r>
    </w:p>
    <w:p w14:paraId="626322E0" w14:textId="1C59ED9D" w:rsidR="0038639C" w:rsidRDefault="0038639C" w:rsidP="00C353EB">
      <w:pPr>
        <w:spacing w:after="0" w:line="240" w:lineRule="auto"/>
        <w:rPr>
          <w:rFonts w:eastAsiaTheme="minorEastAsia"/>
        </w:rPr>
      </w:pPr>
    </w:p>
    <w:p w14:paraId="3AB09334" w14:textId="1E1E8667" w:rsidR="00214D7F" w:rsidRDefault="00214D7F" w:rsidP="00C353EB">
      <w:pPr>
        <w:spacing w:after="0" w:line="240" w:lineRule="auto"/>
        <w:rPr>
          <w:rFonts w:eastAsiaTheme="minorEastAsia"/>
        </w:rPr>
      </w:pPr>
      <w:r w:rsidRPr="00214D7F">
        <w:rPr>
          <w:rFonts w:eastAsiaTheme="minorEastAsia"/>
          <w:b/>
          <w:bCs/>
        </w:rPr>
        <w:lastRenderedPageBreak/>
        <w:t xml:space="preserve">Table </w:t>
      </w:r>
      <w:r w:rsidR="00407529">
        <w:rPr>
          <w:rFonts w:eastAsiaTheme="minorEastAsia"/>
          <w:b/>
          <w:bCs/>
        </w:rPr>
        <w:t>3</w:t>
      </w:r>
      <w:r w:rsidRPr="00214D7F">
        <w:rPr>
          <w:rFonts w:eastAsiaTheme="minorEastAsia"/>
          <w:b/>
          <w:bCs/>
        </w:rPr>
        <w:t>.</w:t>
      </w:r>
      <w:r>
        <w:rPr>
          <w:rFonts w:eastAsiaTheme="minorEastAsia"/>
        </w:rPr>
        <w:t xml:space="preserve"> The total habitat area and proportion of habitat falling within an urban area in 30 years under four </w:t>
      </w:r>
      <w:r w:rsidR="008A2C07">
        <w:rPr>
          <w:rFonts w:eastAsiaTheme="minorEastAsia"/>
        </w:rPr>
        <w:t xml:space="preserve">future scenarios with different </w:t>
      </w:r>
      <w:r>
        <w:rPr>
          <w:rFonts w:eastAsiaTheme="minorEastAsia"/>
        </w:rPr>
        <w:t xml:space="preserve">rates of urban growth. </w:t>
      </w:r>
    </w:p>
    <w:tbl>
      <w:tblPr>
        <w:tblStyle w:val="TableGrid"/>
        <w:tblW w:w="947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8"/>
        <w:gridCol w:w="1578"/>
        <w:gridCol w:w="1578"/>
        <w:gridCol w:w="1578"/>
        <w:gridCol w:w="1579"/>
        <w:gridCol w:w="1579"/>
      </w:tblGrid>
      <w:tr w:rsidR="008A2C07" w14:paraId="3B5BDC4E" w14:textId="77777777" w:rsidTr="008A2C07">
        <w:tc>
          <w:tcPr>
            <w:tcW w:w="1578" w:type="dxa"/>
            <w:tcBorders>
              <w:top w:val="single" w:sz="4" w:space="0" w:color="auto"/>
              <w:bottom w:val="single" w:sz="4" w:space="0" w:color="auto"/>
            </w:tcBorders>
            <w:vAlign w:val="center"/>
          </w:tcPr>
          <w:p w14:paraId="044CF3F6" w14:textId="0C645FE5" w:rsidR="008A2C07" w:rsidRDefault="008A2C07" w:rsidP="008A2C07">
            <w:pPr>
              <w:jc w:val="center"/>
              <w:rPr>
                <w:rFonts w:eastAsiaTheme="minorEastAsia"/>
              </w:rPr>
            </w:pPr>
            <w:r>
              <w:rPr>
                <w:rFonts w:eastAsiaTheme="minorEastAsia"/>
              </w:rPr>
              <w:t>Scenario</w:t>
            </w:r>
          </w:p>
        </w:tc>
        <w:tc>
          <w:tcPr>
            <w:tcW w:w="1578" w:type="dxa"/>
            <w:tcBorders>
              <w:top w:val="single" w:sz="4" w:space="0" w:color="auto"/>
              <w:bottom w:val="single" w:sz="4" w:space="0" w:color="auto"/>
            </w:tcBorders>
            <w:vAlign w:val="center"/>
          </w:tcPr>
          <w:p w14:paraId="1737DAD8" w14:textId="7BC570A3" w:rsidR="008A2C07" w:rsidRDefault="008A2C07" w:rsidP="008A2C07">
            <w:pPr>
              <w:jc w:val="center"/>
              <w:rPr>
                <w:rFonts w:eastAsiaTheme="minorEastAsia"/>
              </w:rPr>
            </w:pPr>
            <w:r>
              <w:rPr>
                <w:rFonts w:eastAsiaTheme="minorEastAsia"/>
              </w:rPr>
              <w:t>Urban growth per decade</w:t>
            </w:r>
          </w:p>
        </w:tc>
        <w:tc>
          <w:tcPr>
            <w:tcW w:w="1578" w:type="dxa"/>
            <w:tcBorders>
              <w:top w:val="single" w:sz="4" w:space="0" w:color="auto"/>
              <w:bottom w:val="single" w:sz="4" w:space="0" w:color="auto"/>
            </w:tcBorders>
            <w:vAlign w:val="center"/>
          </w:tcPr>
          <w:p w14:paraId="54D345F7" w14:textId="1AB56AB9" w:rsidR="008A2C07" w:rsidRDefault="008A2C07" w:rsidP="008A2C07">
            <w:pPr>
              <w:jc w:val="center"/>
              <w:rPr>
                <w:rFonts w:eastAsiaTheme="minorEastAsia"/>
              </w:rPr>
            </w:pPr>
            <w:r>
              <w:rPr>
                <w:rFonts w:eastAsiaTheme="minorEastAsia"/>
              </w:rPr>
              <w:t>Total habitat area in 30 years (ha)</w:t>
            </w:r>
          </w:p>
        </w:tc>
        <w:tc>
          <w:tcPr>
            <w:tcW w:w="1578" w:type="dxa"/>
            <w:tcBorders>
              <w:top w:val="single" w:sz="4" w:space="0" w:color="auto"/>
              <w:bottom w:val="single" w:sz="4" w:space="0" w:color="auto"/>
            </w:tcBorders>
            <w:vAlign w:val="center"/>
          </w:tcPr>
          <w:p w14:paraId="48300918" w14:textId="2F4F4063" w:rsidR="008A2C07" w:rsidRDefault="008A2C07" w:rsidP="008A2C07">
            <w:pPr>
              <w:jc w:val="center"/>
              <w:rPr>
                <w:rFonts w:eastAsiaTheme="minorEastAsia"/>
              </w:rPr>
            </w:pPr>
            <w:r>
              <w:rPr>
                <w:rFonts w:eastAsiaTheme="minorEastAsia"/>
              </w:rPr>
              <w:t>Percent developed habitat in 30 years</w:t>
            </w:r>
          </w:p>
        </w:tc>
        <w:tc>
          <w:tcPr>
            <w:tcW w:w="1579" w:type="dxa"/>
            <w:tcBorders>
              <w:top w:val="single" w:sz="4" w:space="0" w:color="auto"/>
              <w:bottom w:val="single" w:sz="4" w:space="0" w:color="auto"/>
            </w:tcBorders>
            <w:vAlign w:val="center"/>
          </w:tcPr>
          <w:p w14:paraId="75D9BAED" w14:textId="2E499CA4" w:rsidR="008A2C07" w:rsidRDefault="008A2C07" w:rsidP="008A2C07">
            <w:pPr>
              <w:jc w:val="center"/>
              <w:rPr>
                <w:rFonts w:eastAsiaTheme="minorEastAsia"/>
              </w:rPr>
            </w:pPr>
            <w:r>
              <w:rPr>
                <w:rFonts w:eastAsiaTheme="minorEastAsia"/>
              </w:rPr>
              <w:t>Total natural habitat in 30 years (ha)</w:t>
            </w:r>
          </w:p>
        </w:tc>
        <w:tc>
          <w:tcPr>
            <w:tcW w:w="1579" w:type="dxa"/>
            <w:tcBorders>
              <w:top w:val="single" w:sz="4" w:space="0" w:color="auto"/>
              <w:bottom w:val="single" w:sz="4" w:space="0" w:color="auto"/>
            </w:tcBorders>
            <w:vAlign w:val="center"/>
          </w:tcPr>
          <w:p w14:paraId="3CE514CD" w14:textId="6EEF7B52" w:rsidR="008A2C07" w:rsidRDefault="008A2C07" w:rsidP="008A2C07">
            <w:pPr>
              <w:jc w:val="center"/>
              <w:rPr>
                <w:rFonts w:eastAsiaTheme="minorEastAsia"/>
              </w:rPr>
            </w:pPr>
            <w:r>
              <w:rPr>
                <w:rFonts w:eastAsiaTheme="minorEastAsia"/>
              </w:rPr>
              <w:t>Total developed habitat in 30 years (ha)</w:t>
            </w:r>
          </w:p>
        </w:tc>
      </w:tr>
      <w:tr w:rsidR="008A2C07" w14:paraId="7C817BD0" w14:textId="77777777" w:rsidTr="008A2C07">
        <w:tc>
          <w:tcPr>
            <w:tcW w:w="1578" w:type="dxa"/>
            <w:tcBorders>
              <w:top w:val="single" w:sz="4" w:space="0" w:color="auto"/>
            </w:tcBorders>
            <w:vAlign w:val="center"/>
          </w:tcPr>
          <w:p w14:paraId="4E1F8263" w14:textId="06351671" w:rsidR="008A2C07" w:rsidRDefault="008A2C07" w:rsidP="008A2C07">
            <w:pPr>
              <w:jc w:val="center"/>
              <w:rPr>
                <w:rFonts w:eastAsiaTheme="minorEastAsia"/>
              </w:rPr>
            </w:pPr>
            <w:r>
              <w:rPr>
                <w:rFonts w:ascii="Calibri" w:hAnsi="Calibri" w:cs="Calibri"/>
                <w:color w:val="000000"/>
              </w:rPr>
              <w:t>No further urbanization</w:t>
            </w:r>
          </w:p>
        </w:tc>
        <w:tc>
          <w:tcPr>
            <w:tcW w:w="1578" w:type="dxa"/>
            <w:tcBorders>
              <w:top w:val="single" w:sz="4" w:space="0" w:color="auto"/>
            </w:tcBorders>
            <w:vAlign w:val="center"/>
          </w:tcPr>
          <w:p w14:paraId="29D9F8F1" w14:textId="3DAAAEB0" w:rsidR="008A2C07" w:rsidRDefault="008A2C07" w:rsidP="008A2C07">
            <w:pPr>
              <w:jc w:val="center"/>
              <w:rPr>
                <w:rFonts w:eastAsiaTheme="minorEastAsia"/>
              </w:rPr>
            </w:pPr>
            <w:r>
              <w:t>0%</w:t>
            </w:r>
          </w:p>
        </w:tc>
        <w:tc>
          <w:tcPr>
            <w:tcW w:w="1578" w:type="dxa"/>
            <w:tcBorders>
              <w:top w:val="single" w:sz="4" w:space="0" w:color="auto"/>
            </w:tcBorders>
            <w:vAlign w:val="center"/>
          </w:tcPr>
          <w:p w14:paraId="2A2FFB63" w14:textId="57FC7445" w:rsidR="008A2C07" w:rsidRDefault="008A2C07" w:rsidP="008A2C07">
            <w:pPr>
              <w:jc w:val="center"/>
              <w:rPr>
                <w:rFonts w:eastAsiaTheme="minorEastAsia"/>
              </w:rPr>
            </w:pPr>
            <w:r>
              <w:t>379,029</w:t>
            </w:r>
          </w:p>
        </w:tc>
        <w:tc>
          <w:tcPr>
            <w:tcW w:w="1578" w:type="dxa"/>
            <w:tcBorders>
              <w:top w:val="single" w:sz="4" w:space="0" w:color="auto"/>
            </w:tcBorders>
            <w:vAlign w:val="center"/>
          </w:tcPr>
          <w:p w14:paraId="0DCBC389" w14:textId="0B056F35" w:rsidR="008A2C07" w:rsidRDefault="008A2C07" w:rsidP="008A2C07">
            <w:pPr>
              <w:jc w:val="center"/>
              <w:rPr>
                <w:rFonts w:eastAsiaTheme="minorEastAsia"/>
              </w:rPr>
            </w:pPr>
            <w:r>
              <w:t>43%</w:t>
            </w:r>
          </w:p>
        </w:tc>
        <w:tc>
          <w:tcPr>
            <w:tcW w:w="1579" w:type="dxa"/>
            <w:tcBorders>
              <w:top w:val="single" w:sz="4" w:space="0" w:color="auto"/>
            </w:tcBorders>
            <w:vAlign w:val="center"/>
          </w:tcPr>
          <w:p w14:paraId="5D190595" w14:textId="4D89A32D" w:rsidR="008A2C07" w:rsidRDefault="008A2C07" w:rsidP="008A2C07">
            <w:pPr>
              <w:jc w:val="center"/>
              <w:rPr>
                <w:rFonts w:eastAsiaTheme="minorEastAsia"/>
              </w:rPr>
            </w:pPr>
            <w:r>
              <w:rPr>
                <w:rFonts w:eastAsiaTheme="minorEastAsia"/>
              </w:rPr>
              <w:t>215,046</w:t>
            </w:r>
          </w:p>
        </w:tc>
        <w:tc>
          <w:tcPr>
            <w:tcW w:w="1579" w:type="dxa"/>
            <w:tcBorders>
              <w:top w:val="single" w:sz="4" w:space="0" w:color="auto"/>
            </w:tcBorders>
            <w:vAlign w:val="center"/>
          </w:tcPr>
          <w:p w14:paraId="23F8026B" w14:textId="17F831BD" w:rsidR="008A2C07" w:rsidRDefault="008A2C07" w:rsidP="008A2C07">
            <w:pPr>
              <w:jc w:val="center"/>
              <w:rPr>
                <w:rFonts w:eastAsiaTheme="minorEastAsia"/>
              </w:rPr>
            </w:pPr>
            <w:r>
              <w:rPr>
                <w:rFonts w:eastAsiaTheme="minorEastAsia"/>
              </w:rPr>
              <w:t>163,983</w:t>
            </w:r>
          </w:p>
        </w:tc>
      </w:tr>
      <w:tr w:rsidR="008A2C07" w14:paraId="2172EC00" w14:textId="77777777" w:rsidTr="008A2C07">
        <w:tc>
          <w:tcPr>
            <w:tcW w:w="1578" w:type="dxa"/>
            <w:vAlign w:val="center"/>
          </w:tcPr>
          <w:p w14:paraId="0E77DC91" w14:textId="6A880C8F" w:rsidR="008A2C07" w:rsidRDefault="008A2C07" w:rsidP="008A2C07">
            <w:pPr>
              <w:jc w:val="center"/>
              <w:rPr>
                <w:rFonts w:eastAsiaTheme="minorEastAsia"/>
              </w:rPr>
            </w:pPr>
            <w:r>
              <w:rPr>
                <w:rFonts w:ascii="Calibri" w:hAnsi="Calibri" w:cs="Calibri"/>
                <w:color w:val="000000"/>
              </w:rPr>
              <w:t>Reduced urbanization</w:t>
            </w:r>
          </w:p>
        </w:tc>
        <w:tc>
          <w:tcPr>
            <w:tcW w:w="1578" w:type="dxa"/>
            <w:vAlign w:val="center"/>
          </w:tcPr>
          <w:p w14:paraId="27555FD9" w14:textId="0056AEA8" w:rsidR="008A2C07" w:rsidRDefault="008A2C07" w:rsidP="008A2C07">
            <w:pPr>
              <w:jc w:val="center"/>
              <w:rPr>
                <w:rFonts w:eastAsiaTheme="minorEastAsia"/>
              </w:rPr>
            </w:pPr>
            <w:r>
              <w:rPr>
                <w:rFonts w:ascii="Calibri" w:hAnsi="Calibri" w:cs="Calibri"/>
                <w:color w:val="000000"/>
              </w:rPr>
              <w:t>8%</w:t>
            </w:r>
          </w:p>
        </w:tc>
        <w:tc>
          <w:tcPr>
            <w:tcW w:w="1578" w:type="dxa"/>
            <w:vAlign w:val="center"/>
          </w:tcPr>
          <w:p w14:paraId="114AD204" w14:textId="18771B4E" w:rsidR="008A2C07" w:rsidRDefault="008A2C07" w:rsidP="008A2C07">
            <w:pPr>
              <w:jc w:val="center"/>
              <w:rPr>
                <w:rFonts w:eastAsiaTheme="minorEastAsia"/>
              </w:rPr>
            </w:pPr>
            <w:r>
              <w:t>300,269</w:t>
            </w:r>
          </w:p>
        </w:tc>
        <w:tc>
          <w:tcPr>
            <w:tcW w:w="1578" w:type="dxa"/>
            <w:vAlign w:val="center"/>
          </w:tcPr>
          <w:p w14:paraId="7E67902F" w14:textId="2C5F42A0" w:rsidR="008A2C07" w:rsidRDefault="008A2C07" w:rsidP="008A2C07">
            <w:pPr>
              <w:jc w:val="center"/>
              <w:rPr>
                <w:rFonts w:eastAsiaTheme="minorEastAsia"/>
              </w:rPr>
            </w:pPr>
            <w:r>
              <w:t>54%</w:t>
            </w:r>
          </w:p>
        </w:tc>
        <w:tc>
          <w:tcPr>
            <w:tcW w:w="1579" w:type="dxa"/>
            <w:vAlign w:val="center"/>
          </w:tcPr>
          <w:p w14:paraId="661345C5" w14:textId="3D3EA5BB" w:rsidR="008A2C07" w:rsidRDefault="008A2C07" w:rsidP="008A2C07">
            <w:pPr>
              <w:jc w:val="center"/>
              <w:rPr>
                <w:rFonts w:eastAsiaTheme="minorEastAsia"/>
              </w:rPr>
            </w:pPr>
            <w:r>
              <w:rPr>
                <w:rFonts w:eastAsiaTheme="minorEastAsia"/>
              </w:rPr>
              <w:t>138,124</w:t>
            </w:r>
          </w:p>
        </w:tc>
        <w:tc>
          <w:tcPr>
            <w:tcW w:w="1579" w:type="dxa"/>
            <w:vAlign w:val="center"/>
          </w:tcPr>
          <w:p w14:paraId="0C688996" w14:textId="5A03320D" w:rsidR="008A2C07" w:rsidRDefault="008A2C07" w:rsidP="008A2C07">
            <w:pPr>
              <w:jc w:val="center"/>
              <w:rPr>
                <w:rFonts w:eastAsiaTheme="minorEastAsia"/>
              </w:rPr>
            </w:pPr>
            <w:r>
              <w:rPr>
                <w:rFonts w:eastAsiaTheme="minorEastAsia"/>
              </w:rPr>
              <w:t>162,145</w:t>
            </w:r>
          </w:p>
        </w:tc>
      </w:tr>
      <w:tr w:rsidR="008A2C07" w14:paraId="5D33A5AE" w14:textId="77777777" w:rsidTr="008A2C07">
        <w:tc>
          <w:tcPr>
            <w:tcW w:w="1578" w:type="dxa"/>
            <w:vAlign w:val="center"/>
          </w:tcPr>
          <w:p w14:paraId="50D491CB" w14:textId="5D8BBA50" w:rsidR="008A2C07" w:rsidRDefault="008A2C07" w:rsidP="008A2C07">
            <w:pPr>
              <w:jc w:val="center"/>
              <w:rPr>
                <w:rFonts w:eastAsiaTheme="minorEastAsia"/>
              </w:rPr>
            </w:pPr>
            <w:r>
              <w:rPr>
                <w:rFonts w:ascii="Calibri" w:hAnsi="Calibri" w:cs="Calibri"/>
                <w:color w:val="000000"/>
              </w:rPr>
              <w:t>Status quo</w:t>
            </w:r>
          </w:p>
        </w:tc>
        <w:tc>
          <w:tcPr>
            <w:tcW w:w="1578" w:type="dxa"/>
            <w:vAlign w:val="center"/>
          </w:tcPr>
          <w:p w14:paraId="05E9F1C4" w14:textId="54777856" w:rsidR="008A2C07" w:rsidRDefault="008A2C07" w:rsidP="008A2C07">
            <w:pPr>
              <w:jc w:val="center"/>
              <w:rPr>
                <w:rFonts w:eastAsiaTheme="minorEastAsia"/>
              </w:rPr>
            </w:pPr>
            <w:r>
              <w:t>16%</w:t>
            </w:r>
          </w:p>
        </w:tc>
        <w:tc>
          <w:tcPr>
            <w:tcW w:w="1578" w:type="dxa"/>
            <w:vAlign w:val="center"/>
          </w:tcPr>
          <w:p w14:paraId="7AEC9795" w14:textId="06505CF4" w:rsidR="008A2C07" w:rsidRDefault="008A2C07" w:rsidP="008A2C07">
            <w:pPr>
              <w:jc w:val="center"/>
              <w:rPr>
                <w:rFonts w:eastAsiaTheme="minorEastAsia"/>
              </w:rPr>
            </w:pPr>
            <w:r>
              <w:t>237,427</w:t>
            </w:r>
          </w:p>
        </w:tc>
        <w:tc>
          <w:tcPr>
            <w:tcW w:w="1578" w:type="dxa"/>
            <w:vAlign w:val="center"/>
          </w:tcPr>
          <w:p w14:paraId="618035D9" w14:textId="540AAAB8" w:rsidR="008A2C07" w:rsidRDefault="008A2C07" w:rsidP="008A2C07">
            <w:pPr>
              <w:jc w:val="center"/>
              <w:rPr>
                <w:rFonts w:eastAsiaTheme="minorEastAsia"/>
              </w:rPr>
            </w:pPr>
            <w:r>
              <w:t>58%</w:t>
            </w:r>
          </w:p>
        </w:tc>
        <w:tc>
          <w:tcPr>
            <w:tcW w:w="1579" w:type="dxa"/>
            <w:vAlign w:val="center"/>
          </w:tcPr>
          <w:p w14:paraId="0E9EB674" w14:textId="7F547613" w:rsidR="008A2C07" w:rsidRDefault="008A2C07" w:rsidP="008A2C07">
            <w:pPr>
              <w:jc w:val="center"/>
              <w:rPr>
                <w:rFonts w:eastAsiaTheme="minorEastAsia"/>
              </w:rPr>
            </w:pPr>
            <w:r>
              <w:rPr>
                <w:rFonts w:eastAsiaTheme="minorEastAsia"/>
              </w:rPr>
              <w:t>99,719</w:t>
            </w:r>
          </w:p>
        </w:tc>
        <w:tc>
          <w:tcPr>
            <w:tcW w:w="1579" w:type="dxa"/>
            <w:vAlign w:val="center"/>
          </w:tcPr>
          <w:p w14:paraId="79CA33D7" w14:textId="718B131F" w:rsidR="008A2C07" w:rsidRDefault="008A2C07" w:rsidP="008A2C07">
            <w:pPr>
              <w:jc w:val="center"/>
              <w:rPr>
                <w:rFonts w:eastAsiaTheme="minorEastAsia"/>
              </w:rPr>
            </w:pPr>
            <w:r>
              <w:rPr>
                <w:rFonts w:eastAsiaTheme="minorEastAsia"/>
              </w:rPr>
              <w:t>137,708</w:t>
            </w:r>
          </w:p>
        </w:tc>
      </w:tr>
      <w:tr w:rsidR="008A2C07" w14:paraId="5668D01F" w14:textId="77777777" w:rsidTr="008A2C07">
        <w:tc>
          <w:tcPr>
            <w:tcW w:w="1578" w:type="dxa"/>
            <w:vAlign w:val="center"/>
          </w:tcPr>
          <w:p w14:paraId="2167F7AD" w14:textId="384449E2" w:rsidR="008A2C07" w:rsidRDefault="008A2C07" w:rsidP="008A2C07">
            <w:pPr>
              <w:jc w:val="center"/>
              <w:rPr>
                <w:rFonts w:eastAsiaTheme="minorEastAsia"/>
              </w:rPr>
            </w:pPr>
            <w:r>
              <w:rPr>
                <w:rFonts w:ascii="Calibri" w:hAnsi="Calibri" w:cs="Calibri"/>
                <w:color w:val="000000"/>
              </w:rPr>
              <w:t>Increased urbanization</w:t>
            </w:r>
          </w:p>
        </w:tc>
        <w:tc>
          <w:tcPr>
            <w:tcW w:w="1578" w:type="dxa"/>
            <w:vAlign w:val="center"/>
          </w:tcPr>
          <w:p w14:paraId="2C957E2B" w14:textId="2ED3324D" w:rsidR="008A2C07" w:rsidRDefault="008A2C07" w:rsidP="008A2C07">
            <w:pPr>
              <w:jc w:val="center"/>
              <w:rPr>
                <w:rFonts w:eastAsiaTheme="minorEastAsia"/>
              </w:rPr>
            </w:pPr>
            <w:r>
              <w:t>24%</w:t>
            </w:r>
          </w:p>
        </w:tc>
        <w:tc>
          <w:tcPr>
            <w:tcW w:w="1578" w:type="dxa"/>
            <w:vAlign w:val="center"/>
          </w:tcPr>
          <w:p w14:paraId="7E15F4AF" w14:textId="773D8D95" w:rsidR="008A2C07" w:rsidRDefault="008A2C07" w:rsidP="008A2C07">
            <w:pPr>
              <w:jc w:val="center"/>
              <w:rPr>
                <w:rFonts w:eastAsiaTheme="minorEastAsia"/>
              </w:rPr>
            </w:pPr>
            <w:r>
              <w:t>187,377</w:t>
            </w:r>
          </w:p>
        </w:tc>
        <w:tc>
          <w:tcPr>
            <w:tcW w:w="1578" w:type="dxa"/>
            <w:vAlign w:val="center"/>
          </w:tcPr>
          <w:p w14:paraId="2B58DF34" w14:textId="0F6D96A0" w:rsidR="008A2C07" w:rsidRDefault="008A2C07" w:rsidP="008A2C07">
            <w:pPr>
              <w:jc w:val="center"/>
              <w:rPr>
                <w:rFonts w:eastAsiaTheme="minorEastAsia"/>
              </w:rPr>
            </w:pPr>
            <w:r>
              <w:t>86%</w:t>
            </w:r>
          </w:p>
        </w:tc>
        <w:tc>
          <w:tcPr>
            <w:tcW w:w="1579" w:type="dxa"/>
            <w:vAlign w:val="center"/>
          </w:tcPr>
          <w:p w14:paraId="0B778AA9" w14:textId="0AFC224D" w:rsidR="008A2C07" w:rsidRDefault="008A2C07" w:rsidP="008A2C07">
            <w:pPr>
              <w:jc w:val="center"/>
              <w:rPr>
                <w:rFonts w:eastAsiaTheme="minorEastAsia"/>
              </w:rPr>
            </w:pPr>
            <w:r>
              <w:rPr>
                <w:rFonts w:eastAsiaTheme="minorEastAsia"/>
              </w:rPr>
              <w:t>25,233</w:t>
            </w:r>
          </w:p>
        </w:tc>
        <w:tc>
          <w:tcPr>
            <w:tcW w:w="1579" w:type="dxa"/>
            <w:vAlign w:val="center"/>
          </w:tcPr>
          <w:p w14:paraId="040F34CA" w14:textId="41158BFF" w:rsidR="008A2C07" w:rsidRDefault="008A2C07" w:rsidP="008A2C07">
            <w:pPr>
              <w:jc w:val="center"/>
              <w:rPr>
                <w:rFonts w:eastAsiaTheme="minorEastAsia"/>
              </w:rPr>
            </w:pPr>
            <w:r>
              <w:rPr>
                <w:rFonts w:eastAsiaTheme="minorEastAsia"/>
              </w:rPr>
              <w:t>162,144</w:t>
            </w:r>
          </w:p>
        </w:tc>
      </w:tr>
    </w:tbl>
    <w:p w14:paraId="20F12DAF" w14:textId="77777777" w:rsidR="00214D7F" w:rsidRDefault="00214D7F" w:rsidP="00C353EB">
      <w:pPr>
        <w:spacing w:after="0" w:line="240" w:lineRule="auto"/>
        <w:rPr>
          <w:rFonts w:eastAsiaTheme="minorEastAsia"/>
        </w:rPr>
      </w:pPr>
    </w:p>
    <w:p w14:paraId="0BB6460B" w14:textId="77777777" w:rsidR="00C353EB" w:rsidRDefault="00C353EB" w:rsidP="00C353EB">
      <w:pPr>
        <w:spacing w:after="0" w:line="240" w:lineRule="auto"/>
        <w:rPr>
          <w:rFonts w:eastAsiaTheme="minorEastAsia"/>
        </w:rPr>
      </w:pPr>
    </w:p>
    <w:p w14:paraId="5B13B001" w14:textId="5698157B" w:rsidR="00015663" w:rsidRDefault="00015663" w:rsidP="00015663">
      <w:pPr>
        <w:spacing w:after="0" w:line="240" w:lineRule="auto"/>
        <w:rPr>
          <w:rFonts w:eastAsiaTheme="minorEastAsia"/>
        </w:rPr>
      </w:pPr>
      <w:r>
        <w:rPr>
          <w:rFonts w:eastAsiaTheme="minorEastAsia"/>
          <w:i/>
        </w:rPr>
        <w:t>Population Projection</w:t>
      </w:r>
    </w:p>
    <w:p w14:paraId="1D53F24E" w14:textId="134C62AA" w:rsidR="00015663" w:rsidRDefault="00D52E2F" w:rsidP="00015663">
      <w:pPr>
        <w:spacing w:after="0" w:line="240" w:lineRule="auto"/>
        <w:rPr>
          <w:rFonts w:eastAsiaTheme="minorEastAsia"/>
        </w:rPr>
      </w:pPr>
      <w:r>
        <w:rPr>
          <w:rFonts w:eastAsiaTheme="minorEastAsia"/>
        </w:rPr>
        <w:t xml:space="preserve">We projected the population for 10,000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population size in each habitat type was equal to the iteration initial population size multiplied by proportion of the available habitat in that type. We projected each population for 30 years, starting in the stable stage distribution. For each year, we calculated </w:t>
      </w:r>
      <w:r w:rsidR="000D4071">
        <w:rPr>
          <w:rFonts w:eastAsiaTheme="minorEastAsia"/>
        </w:rPr>
        <w:t>annual</w:t>
      </w:r>
      <w:r w:rsidR="00015663">
        <w:rPr>
          <w:rFonts w:eastAsiaTheme="minorEastAsia"/>
        </w:rPr>
        <w:t xml:space="preserve"> 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When population growth rate (</w:t>
      </w:r>
      <w:r w:rsidR="00122890">
        <w:rPr>
          <w:rFonts w:eastAsiaTheme="minorEastAsia" w:cstheme="minorHAnsi"/>
        </w:rPr>
        <w:t>λ</w:t>
      </w:r>
      <w:r w:rsidR="00122890">
        <w:rPr>
          <w:rFonts w:eastAsiaTheme="minorEastAsia"/>
        </w:rPr>
        <w:t>) is equal to 1, the population is stable. We calculated the</w:t>
      </w:r>
      <w:r w:rsidR="007126E0">
        <w:rPr>
          <w:rFonts w:eastAsiaTheme="minorEastAsia"/>
        </w:rPr>
        <w:t xml:space="preserve"> probabilities of population growth and decline </w:t>
      </w:r>
      <w:r w:rsidR="00122890">
        <w:rPr>
          <w:rFonts w:eastAsiaTheme="minorEastAsia"/>
        </w:rPr>
        <w:t xml:space="preserve">for each scenario </w:t>
      </w:r>
      <w:r w:rsidR="007126E0">
        <w:rPr>
          <w:rFonts w:eastAsiaTheme="minorEastAsia"/>
        </w:rPr>
        <w:t>as the proportion of replicates in which the average population growth rate was greater than 1 or less than 1, respectively.</w:t>
      </w:r>
    </w:p>
    <w:p w14:paraId="30BCD182" w14:textId="56D2F8E8" w:rsidR="00015663" w:rsidRDefault="00015663" w:rsidP="005C00B2">
      <w:pPr>
        <w:spacing w:after="0" w:line="240" w:lineRule="auto"/>
        <w:rPr>
          <w:rFonts w:eastAsiaTheme="minorEastAsia"/>
        </w:rPr>
      </w:pPr>
    </w:p>
    <w:p w14:paraId="76A3B704" w14:textId="27A03C6C" w:rsidR="000D4071" w:rsidRDefault="000D4071" w:rsidP="005C00B2">
      <w:pPr>
        <w:spacing w:after="0" w:line="240" w:lineRule="auto"/>
        <w:rPr>
          <w:rFonts w:eastAsiaTheme="minorEastAsia"/>
        </w:rPr>
      </w:pPr>
      <w:r>
        <w:rPr>
          <w:rFonts w:eastAsiaTheme="minorEastAsia"/>
          <w:i/>
          <w:iCs/>
        </w:rPr>
        <w:t>Quasi-extinction Threshold</w:t>
      </w:r>
    </w:p>
    <w:p w14:paraId="493AB0CF" w14:textId="2674005A" w:rsidR="000D4071" w:rsidRDefault="00034E9F" w:rsidP="005C00B2">
      <w:pPr>
        <w:spacing w:after="0" w:line="240" w:lineRule="auto"/>
        <w:rPr>
          <w:rFonts w:eastAsiaTheme="minorEastAsia"/>
        </w:rPr>
      </w:pPr>
      <w:r>
        <w:rPr>
          <w:rFonts w:eastAsiaTheme="minorEastAsia"/>
        </w:rPr>
        <w:t xml:space="preserve">Many population viability analyses use a quasi-extinction threshold to assess extinction risk. The quasi-extinction threshold is the population size below which either the population cannot recover because it enters </w:t>
      </w:r>
      <w:r w:rsidR="00445AC8">
        <w:rPr>
          <w:rFonts w:eastAsiaTheme="minorEastAsia"/>
        </w:rPr>
        <w:t>an</w:t>
      </w:r>
      <w:r>
        <w:rPr>
          <w:rFonts w:eastAsiaTheme="minorEastAsia"/>
        </w:rPr>
        <w:t xml:space="preserve"> </w:t>
      </w:r>
      <w:r w:rsidR="00445AC8">
        <w:rPr>
          <w:rFonts w:eastAsiaTheme="minorEastAsia"/>
        </w:rPr>
        <w:t>“</w:t>
      </w:r>
      <w:r>
        <w:rPr>
          <w:rFonts w:eastAsiaTheme="minorEastAsia"/>
        </w:rPr>
        <w:t>extinction vortex</w:t>
      </w:r>
      <w:r w:rsidR="00445AC8">
        <w:rPr>
          <w:rFonts w:eastAsiaTheme="minorEastAsia"/>
        </w:rPr>
        <w:t>”</w:t>
      </w:r>
      <w:r>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Pr>
          <w:rFonts w:eastAsiaTheme="minorEastAsia"/>
        </w:rPr>
        <w:t xml:space="preserve"> </w:t>
      </w:r>
      <w:r w:rsidR="00122890">
        <w:rPr>
          <w:rFonts w:eastAsiaTheme="minorEastAsia"/>
        </w:rPr>
        <w:t>(</w:t>
      </w:r>
      <w:r w:rsidR="00445AC8">
        <w:rPr>
          <w:rFonts w:eastAsiaTheme="minorEastAsia"/>
        </w:rPr>
        <w:t>e.g.</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both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chosen to address </w:t>
      </w:r>
      <w:r w:rsidR="00233A5F">
        <w:rPr>
          <w:rFonts w:eastAsiaTheme="minorEastAsia"/>
        </w:rPr>
        <w:t>four</w:t>
      </w:r>
      <w:r w:rsidR="00445AC8">
        <w:rPr>
          <w:rFonts w:eastAsiaTheme="minorEastAsia"/>
        </w:rPr>
        <w:t xml:space="preserve"> levels of risk</w:t>
      </w:r>
      <w:r w:rsidR="003649E4">
        <w:rPr>
          <w:rFonts w:eastAsiaTheme="minorEastAsia"/>
        </w:rPr>
        <w:t xml:space="preserve"> </w:t>
      </w:r>
      <w:r w:rsidR="00445AC8">
        <w:rPr>
          <w:rFonts w:eastAsiaTheme="minorEastAsia"/>
        </w:rPr>
        <w:t xml:space="preserve">tolerance: </w:t>
      </w:r>
      <w:r w:rsidR="000B1788">
        <w:rPr>
          <w:rFonts w:eastAsiaTheme="minorEastAsia"/>
        </w:rPr>
        <w:t xml:space="preserve">total population size of </w:t>
      </w:r>
      <w:r w:rsidR="00445AC8">
        <w:rPr>
          <w:rFonts w:eastAsiaTheme="minorEastAsia"/>
        </w:rPr>
        <w:t>50, 500, 1000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these thresholds as the proportion of replicates in which this occurred. </w:t>
      </w:r>
    </w:p>
    <w:p w14:paraId="4B3E4886" w14:textId="2F710FA0" w:rsidR="0052605F" w:rsidRDefault="0052605F" w:rsidP="005C00B2">
      <w:pPr>
        <w:spacing w:after="0" w:line="240" w:lineRule="auto"/>
        <w:rPr>
          <w:rFonts w:eastAsiaTheme="minorEastAsia"/>
        </w:rPr>
      </w:pPr>
    </w:p>
    <w:p w14:paraId="1F7149E3" w14:textId="582C5E5C" w:rsidR="0052605F" w:rsidRDefault="0052605F" w:rsidP="005C00B2">
      <w:pPr>
        <w:spacing w:after="0" w:line="240" w:lineRule="auto"/>
        <w:rPr>
          <w:rFonts w:eastAsiaTheme="minorEastAsia"/>
        </w:rPr>
      </w:pPr>
    </w:p>
    <w:p w14:paraId="392CC18B" w14:textId="0509CE56" w:rsidR="0052605F" w:rsidRDefault="0052605F" w:rsidP="005C00B2">
      <w:pPr>
        <w:spacing w:after="0" w:line="240" w:lineRule="auto"/>
        <w:rPr>
          <w:rFonts w:eastAsiaTheme="minorEastAsia"/>
        </w:rPr>
      </w:pPr>
    </w:p>
    <w:p w14:paraId="643D6EBD" w14:textId="23CE3D07" w:rsidR="0052605F" w:rsidRDefault="0052605F" w:rsidP="005C00B2">
      <w:pPr>
        <w:spacing w:after="0" w:line="240" w:lineRule="auto"/>
        <w:rPr>
          <w:rFonts w:eastAsiaTheme="minorEastAsia"/>
        </w:rPr>
      </w:pPr>
    </w:p>
    <w:p w14:paraId="3A07EC64" w14:textId="77777777" w:rsidR="0052605F" w:rsidRPr="000D4071" w:rsidRDefault="0052605F" w:rsidP="005C00B2">
      <w:pPr>
        <w:spacing w:after="0" w:line="240" w:lineRule="auto"/>
        <w:rPr>
          <w:rFonts w:eastAsiaTheme="minorEastAsia"/>
        </w:rPr>
      </w:pPr>
    </w:p>
    <w:p w14:paraId="4ACFFE58" w14:textId="60BF3DC6" w:rsidR="002836A7" w:rsidRDefault="002836A7" w:rsidP="005C00B2">
      <w:pPr>
        <w:spacing w:after="0" w:line="240" w:lineRule="auto"/>
        <w:rPr>
          <w:rFonts w:eastAsiaTheme="minorEastAsia"/>
          <w:b/>
        </w:rPr>
      </w:pPr>
    </w:p>
    <w:p w14:paraId="23B1CAF2" w14:textId="1C6CB119" w:rsidR="0052605F" w:rsidRDefault="00153A5C" w:rsidP="00874F8B">
      <w:pPr>
        <w:spacing w:after="0" w:line="240" w:lineRule="auto"/>
        <w:rPr>
          <w:rFonts w:eastAsiaTheme="minorEastAsia"/>
          <w:b/>
        </w:rPr>
      </w:pPr>
      <w:r>
        <w:rPr>
          <w:rFonts w:eastAsiaTheme="minorEastAsia"/>
          <w:b/>
          <w:noProof/>
        </w:rPr>
        <w:lastRenderedPageBreak/>
        <w:drawing>
          <wp:inline distT="0" distB="0" distL="0" distR="0" wp14:anchorId="10D2CE52" wp14:editId="717A4554">
            <wp:extent cx="5943600" cy="5070475"/>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diagram.tif"/>
                    <pic:cNvPicPr/>
                  </pic:nvPicPr>
                  <pic:blipFill>
                    <a:blip r:embed="rId11">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14:paraId="46D22AF8" w14:textId="5D0490AB" w:rsidR="00AB5DC1" w:rsidRDefault="00AB5DC1" w:rsidP="005C00B2">
      <w:pPr>
        <w:spacing w:after="0" w:line="240" w:lineRule="auto"/>
        <w:rPr>
          <w:rFonts w:eastAsiaTheme="minorEastAsia"/>
          <w:b/>
        </w:rPr>
      </w:pPr>
    </w:p>
    <w:p w14:paraId="132ECFE2" w14:textId="6BC7463E" w:rsidR="0052605F" w:rsidRPr="0052605F" w:rsidRDefault="0052605F" w:rsidP="005C00B2">
      <w:pPr>
        <w:spacing w:after="0" w:line="240" w:lineRule="auto"/>
        <w:rPr>
          <w:rFonts w:eastAsiaTheme="minorEastAsia"/>
          <w:bCs/>
        </w:rPr>
      </w:pPr>
      <w:r>
        <w:rPr>
          <w:rFonts w:eastAsiaTheme="minorEastAsia"/>
          <w:b/>
        </w:rPr>
        <w:t xml:space="preserve">Figure 4. </w:t>
      </w:r>
      <w:r>
        <w:rPr>
          <w:rFonts w:eastAsiaTheme="minorEastAsia"/>
          <w:bCs/>
        </w:rPr>
        <w:t>Conceptual diagram of the stochastic simulation model used to assess the future condition of PR boas under different rates of urbanization. White hexagons</w:t>
      </w:r>
      <w:r w:rsidR="00510D9F">
        <w:rPr>
          <w:rFonts w:eastAsiaTheme="minorEastAsia"/>
          <w:bCs/>
        </w:rPr>
        <w:t xml:space="preserve"> on the left</w:t>
      </w:r>
      <w:r>
        <w:rPr>
          <w:rFonts w:eastAsiaTheme="minorEastAsia"/>
          <w:bCs/>
        </w:rPr>
        <w:t xml:space="preserve"> represent model input</w:t>
      </w:r>
      <w:r w:rsidR="00B446DE">
        <w:rPr>
          <w:rFonts w:eastAsiaTheme="minorEastAsia"/>
          <w:bCs/>
        </w:rPr>
        <w:t>s</w:t>
      </w:r>
      <w:r>
        <w:rPr>
          <w:rFonts w:eastAsiaTheme="minorEastAsia"/>
          <w:bCs/>
        </w:rPr>
        <w:t xml:space="preserve"> and </w:t>
      </w:r>
      <w:r w:rsidR="00874F8B">
        <w:rPr>
          <w:rFonts w:eastAsiaTheme="minorEastAsia"/>
          <w:bCs/>
        </w:rPr>
        <w:t>gray</w:t>
      </w:r>
      <w:r>
        <w:rPr>
          <w:rFonts w:eastAsiaTheme="minorEastAsia"/>
          <w:bCs/>
        </w:rPr>
        <w:t xml:space="preserve"> hexagons </w:t>
      </w:r>
      <w:r w:rsidR="00510D9F">
        <w:rPr>
          <w:rFonts w:eastAsiaTheme="minorEastAsia"/>
          <w:bCs/>
        </w:rPr>
        <w:t xml:space="preserve">on the right </w:t>
      </w:r>
      <w:r>
        <w:rPr>
          <w:rFonts w:eastAsiaTheme="minorEastAsia"/>
          <w:bCs/>
        </w:rPr>
        <w:t xml:space="preserve">represent model outputs. </w:t>
      </w:r>
      <w:r w:rsidR="00B208B3">
        <w:rPr>
          <w:rFonts w:eastAsiaTheme="minorEastAsia"/>
          <w:bCs/>
        </w:rPr>
        <w:t>Rectangles represent values calculated within each replication of the simulation.</w:t>
      </w:r>
      <w:r w:rsidR="007A7C27">
        <w:rPr>
          <w:rFonts w:eastAsiaTheme="minorEastAsia"/>
          <w:bCs/>
        </w:rPr>
        <w:t xml:space="preserve"> </w:t>
      </w:r>
      <w:r w:rsidR="00B446DE">
        <w:rPr>
          <w:rFonts w:eastAsiaTheme="minorEastAsia"/>
          <w:bCs/>
        </w:rPr>
        <w:t xml:space="preserve">Current habitat area and proportion urban were estimated based on suitable habitat analyses performed by </w:t>
      </w:r>
      <w:r w:rsidR="00B208B3">
        <w:rPr>
          <w:rFonts w:eastAsiaTheme="minorEastAsia"/>
          <w:bCs/>
        </w:rPr>
        <w:t xml:space="preserve">the </w:t>
      </w:r>
      <w:r w:rsidR="00B446DE">
        <w:rPr>
          <w:rFonts w:eastAsiaTheme="minorEastAsia"/>
          <w:bCs/>
        </w:rPr>
        <w:t xml:space="preserve">PR Gap Analysis </w:t>
      </w:r>
      <w:r w:rsidR="00B446DE">
        <w:rPr>
          <w:rFonts w:eastAsiaTheme="minorEastAsia"/>
          <w:bCs/>
        </w:rPr>
        <w:fldChar w:fldCharType="begin" w:fldLock="1"/>
      </w:r>
      <w:r w:rsidR="00B446DE">
        <w:rPr>
          <w:rFonts w:eastAsiaTheme="minorEastAsia"/>
          <w:bCs/>
        </w:rPr>
        <w:instrText>ADDIN CSL_CITATION {"citationItems":[{"id":"ITEM-1","itemData":{"DOI":"10.2737/IITF-GTR-39","abstract":"Gen. Tech. Rep. IITF-GTR-39","author":[{"dropping-particle":"","family":"Gould","given":"W. A.","non-dropping-particle":"","parse-names":false,"suffix":""},{"dropping-particle":"","family":"Alarcon","given":"C.","non-dropping-particle":"","parse-names":false,"suffix":""},{"dropping-particle":"","family":"Fevold","given":"B.","non-dropping-particle":"","parse-names":false,"suffix":""},{"dropping-particle":"","family":"Jimenez","given":"M.E.","non-dropping-particle":"","parse-names":false,"suffix":""},{"dropping-particle":"","family":"Martinuzzi","given":"S.","non-dropping-particle":"","parse-names":false,"suffix":""},{"dropping-particle":"","family":"Potts","given":"G.","non-dropping-particle":"","parse-names":false,"suffix":""},{"dropping-particle":"","family":"Quinones","given":"M.","non-dropping-particle":"","parse-names":false,"suffix":""},{"dropping-particle":"","family":"Solórzano","given":"M.","non-dropping-particle":"","parse-names":false,"suffix":""},{"dropping-particle":"","family":"Ventosa","given":"E.","non-dropping-particle":"","parse-names":false,"suffix":""}],"id":"ITEM-1","issue":"March","issued":{"date-parts":[["2008"]]},"title":"The Puerto Rico Gap Analysis Project Volume 1: land cover, vertebrate species distributions, and land stewardship","type":"report"},"uris":["http://www.mendeley.com/documents/?uuid=66473bca-bcc5-4bb1-a907-33af791c945a"]}],"mendeley":{"formattedCitation":"(Gould et al. 2008)","plainTextFormattedCitation":"(Gould et al. 2008)"},"properties":{"noteIndex":0},"schema":"https://github.com/citation-style-language/schema/raw/master/csl-citation.json"}</w:instrText>
      </w:r>
      <w:r w:rsidR="00B446DE">
        <w:rPr>
          <w:rFonts w:eastAsiaTheme="minorEastAsia"/>
          <w:bCs/>
        </w:rPr>
        <w:fldChar w:fldCharType="separate"/>
      </w:r>
      <w:r w:rsidR="00B446DE" w:rsidRPr="00B446DE">
        <w:rPr>
          <w:rFonts w:eastAsiaTheme="minorEastAsia"/>
          <w:bCs/>
          <w:noProof/>
        </w:rPr>
        <w:t>(Gould et al. 2008)</w:t>
      </w:r>
      <w:r w:rsidR="00B446DE">
        <w:rPr>
          <w:rFonts w:eastAsiaTheme="minorEastAsia"/>
          <w:bCs/>
        </w:rPr>
        <w:fldChar w:fldCharType="end"/>
      </w:r>
      <w:r w:rsidR="00B446DE">
        <w:rPr>
          <w:rFonts w:eastAsiaTheme="minorEastAsia"/>
          <w:bCs/>
        </w:rPr>
        <w:t xml:space="preserve"> and land use analysis by </w:t>
      </w:r>
      <w:proofErr w:type="spellStart"/>
      <w:r w:rsidR="00B446DE">
        <w:rPr>
          <w:rFonts w:eastAsiaTheme="minorEastAsia"/>
          <w:bCs/>
        </w:rPr>
        <w:t>Martinuzzi</w:t>
      </w:r>
      <w:proofErr w:type="spellEnd"/>
      <w:r w:rsidR="00B446DE">
        <w:rPr>
          <w:rFonts w:eastAsiaTheme="minorEastAsia"/>
          <w:bCs/>
        </w:rPr>
        <w:t xml:space="preserve"> et al (2007). </w:t>
      </w:r>
      <w:r w:rsidR="00B208B3">
        <w:rPr>
          <w:rFonts w:eastAsiaTheme="minorEastAsia"/>
          <w:bCs/>
        </w:rPr>
        <w:t xml:space="preserve">Rate of urbanization was based on estimates of urbanization rates in Puerto Rico by Castro-Prieto et al (2017). </w:t>
      </w:r>
      <w:r w:rsidR="00B446DE">
        <w:rPr>
          <w:rFonts w:eastAsiaTheme="minorEastAsia"/>
          <w:bCs/>
        </w:rPr>
        <w:t xml:space="preserve">All other inputs </w:t>
      </w:r>
      <w:r w:rsidR="00B208B3">
        <w:rPr>
          <w:rFonts w:eastAsiaTheme="minorEastAsia"/>
          <w:bCs/>
        </w:rPr>
        <w:t xml:space="preserve">(ranges for current and maximum density, average demographic rates, and effect of urbanization on demographics) </w:t>
      </w:r>
      <w:r w:rsidR="00B446DE">
        <w:rPr>
          <w:rFonts w:eastAsiaTheme="minorEastAsia"/>
          <w:bCs/>
        </w:rPr>
        <w:t xml:space="preserve">were determined based on expert opinion. </w:t>
      </w:r>
    </w:p>
    <w:p w14:paraId="74F06A62" w14:textId="462E1D6C" w:rsidR="0052605F" w:rsidRDefault="0052605F" w:rsidP="005C00B2">
      <w:pPr>
        <w:spacing w:after="0" w:line="240" w:lineRule="auto"/>
        <w:rPr>
          <w:rFonts w:eastAsiaTheme="minorEastAsia"/>
          <w:b/>
        </w:rPr>
      </w:pPr>
    </w:p>
    <w:p w14:paraId="722BA0C2" w14:textId="77777777" w:rsidR="0052605F" w:rsidRDefault="0052605F" w:rsidP="005C00B2">
      <w:pPr>
        <w:spacing w:after="0" w:line="240" w:lineRule="auto"/>
        <w:rPr>
          <w:rFonts w:eastAsiaTheme="minorEastAsia"/>
          <w:b/>
        </w:rPr>
      </w:pPr>
    </w:p>
    <w:p w14:paraId="1CC7B502" w14:textId="6CF67ACE" w:rsidR="002A06B5" w:rsidRDefault="00082ED8" w:rsidP="005C00B2">
      <w:pPr>
        <w:spacing w:after="0" w:line="240" w:lineRule="auto"/>
        <w:rPr>
          <w:rFonts w:eastAsiaTheme="minorEastAsia"/>
        </w:rPr>
      </w:pPr>
      <w:r>
        <w:rPr>
          <w:rFonts w:eastAsiaTheme="minorEastAsia"/>
          <w:b/>
        </w:rPr>
        <w:t>Results</w:t>
      </w:r>
    </w:p>
    <w:p w14:paraId="7A7455E4" w14:textId="62CBFBB2" w:rsidR="002A06B5" w:rsidRDefault="002A06B5" w:rsidP="005C00B2">
      <w:pPr>
        <w:spacing w:after="0" w:line="240" w:lineRule="auto"/>
        <w:rPr>
          <w:rFonts w:eastAsiaTheme="minorEastAsia"/>
          <w:iCs/>
        </w:rPr>
      </w:pPr>
    </w:p>
    <w:p w14:paraId="20ACB036" w14:textId="53900327" w:rsidR="00D729F0" w:rsidRDefault="00BC7712" w:rsidP="005C00B2">
      <w:pPr>
        <w:spacing w:after="0" w:line="240" w:lineRule="auto"/>
        <w:rPr>
          <w:rFonts w:eastAsiaTheme="minorEastAsia"/>
          <w:iCs/>
        </w:rPr>
      </w:pPr>
      <w:r>
        <w:rPr>
          <w:rFonts w:eastAsiaTheme="minorEastAsia"/>
          <w:iCs/>
        </w:rPr>
        <w:t>Our projection model indicated</w:t>
      </w:r>
      <w:r w:rsidR="00D729F0">
        <w:rPr>
          <w:rFonts w:eastAsiaTheme="minorEastAsia"/>
          <w:iCs/>
        </w:rPr>
        <w:t xml:space="preserve"> that the population is most likely to decline over a 30-year period </w:t>
      </w:r>
      <w:r w:rsidR="007F60DB">
        <w:rPr>
          <w:rFonts w:eastAsiaTheme="minorEastAsia"/>
          <w:iCs/>
        </w:rPr>
        <w:t xml:space="preserve">under the status quo scenario, i.e. </w:t>
      </w:r>
      <w:r w:rsidR="00D729F0">
        <w:rPr>
          <w:rFonts w:eastAsiaTheme="minorEastAsia"/>
          <w:iCs/>
        </w:rPr>
        <w:t xml:space="preserve">if the current rate of urbanization were to continue (Table </w:t>
      </w:r>
      <w:r w:rsidR="007F60DB">
        <w:rPr>
          <w:rFonts w:eastAsiaTheme="minorEastAsia"/>
          <w:iCs/>
        </w:rPr>
        <w:t>4</w:t>
      </w:r>
      <w:r w:rsidR="00D729F0">
        <w:rPr>
          <w:rFonts w:eastAsiaTheme="minorEastAsia"/>
          <w:iCs/>
        </w:rPr>
        <w:t>, Figure 5)</w:t>
      </w:r>
      <w:r w:rsidR="007F60DB">
        <w:rPr>
          <w:rFonts w:eastAsiaTheme="minorEastAsia"/>
          <w:iCs/>
        </w:rPr>
        <w:t xml:space="preserve">. Under the current rate of urbanization (16% per decade) the model predicted </w:t>
      </w:r>
      <w:r w:rsidR="00D729F0">
        <w:rPr>
          <w:rFonts w:eastAsiaTheme="minorEastAsia"/>
          <w:iCs/>
        </w:rPr>
        <w:t xml:space="preserve">a 54% probability of decline and 46% probability of stability or growth. Lower rates of urbanization were associated with a </w:t>
      </w:r>
      <w:r w:rsidR="00D729F0">
        <w:rPr>
          <w:rFonts w:eastAsiaTheme="minorEastAsia"/>
          <w:iCs/>
        </w:rPr>
        <w:lastRenderedPageBreak/>
        <w:t xml:space="preserve">greater probability of population stability or growth, but the probability of growth was only 56% under the </w:t>
      </w:r>
      <w:proofErr w:type="gramStart"/>
      <w:r w:rsidR="007F60DB">
        <w:rPr>
          <w:rFonts w:eastAsiaTheme="minorEastAsia"/>
          <w:iCs/>
        </w:rPr>
        <w:t>best case</w:t>
      </w:r>
      <w:proofErr w:type="gramEnd"/>
      <w:r w:rsidR="007F60DB">
        <w:rPr>
          <w:rFonts w:eastAsiaTheme="minorEastAsia"/>
          <w:iCs/>
        </w:rPr>
        <w:t xml:space="preserve"> </w:t>
      </w:r>
      <w:r w:rsidR="00D729F0">
        <w:rPr>
          <w:rFonts w:eastAsiaTheme="minorEastAsia"/>
          <w:iCs/>
        </w:rPr>
        <w:t xml:space="preserve">scenario (no further urbanization), which may be unlikely to occur. </w:t>
      </w:r>
      <w:r w:rsidR="004C0429">
        <w:rPr>
          <w:rFonts w:eastAsiaTheme="minorEastAsia"/>
          <w:iCs/>
        </w:rPr>
        <w:t>However, q</w:t>
      </w:r>
      <w:r w:rsidR="00D729F0">
        <w:rPr>
          <w:rFonts w:eastAsiaTheme="minorEastAsia"/>
          <w:iCs/>
        </w:rPr>
        <w:t>uasi-extinction probability was low</w:t>
      </w:r>
      <w:r w:rsidR="004C0429">
        <w:rPr>
          <w:rFonts w:eastAsiaTheme="minorEastAsia"/>
          <w:iCs/>
        </w:rPr>
        <w:t xml:space="preserve"> </w:t>
      </w:r>
      <w:r w:rsidR="00D729F0">
        <w:rPr>
          <w:rFonts w:eastAsiaTheme="minorEastAsia"/>
          <w:iCs/>
        </w:rPr>
        <w:t>due to the possibility of a large current population size (</w:t>
      </w:r>
      <w:r w:rsidR="002E1134">
        <w:rPr>
          <w:rFonts w:eastAsiaTheme="minorEastAsia"/>
          <w:iCs/>
        </w:rPr>
        <w:t xml:space="preserve">initial population size </w:t>
      </w:r>
      <w:proofErr w:type="gramStart"/>
      <w:r w:rsidR="002E1134">
        <w:rPr>
          <w:rFonts w:eastAsiaTheme="minorEastAsia"/>
          <w:iCs/>
        </w:rPr>
        <w:t>range</w:t>
      </w:r>
      <w:proofErr w:type="gramEnd"/>
      <w:r w:rsidR="002E1134">
        <w:rPr>
          <w:rFonts w:eastAsiaTheme="minorEastAsia"/>
          <w:iCs/>
        </w:rPr>
        <w:t xml:space="preserve"> from </w:t>
      </w:r>
      <w:r w:rsidR="002E1134">
        <w:rPr>
          <w:rFonts w:eastAsiaTheme="minorEastAsia"/>
        </w:rPr>
        <w:t xml:space="preserve">37,903 </w:t>
      </w:r>
      <w:r w:rsidR="00D729F0">
        <w:rPr>
          <w:rFonts w:eastAsiaTheme="minorEastAsia"/>
          <w:iCs/>
        </w:rPr>
        <w:t xml:space="preserve">to </w:t>
      </w:r>
      <w:r w:rsidR="00D729F0">
        <w:t>189,515 individuals</w:t>
      </w:r>
      <w:r w:rsidR="002E1134">
        <w:t xml:space="preserve">, see </w:t>
      </w:r>
      <w:r w:rsidR="002E1134">
        <w:rPr>
          <w:i/>
          <w:iCs/>
        </w:rPr>
        <w:t>Initial Population Size</w:t>
      </w:r>
      <w:r w:rsidR="002E1134">
        <w:t xml:space="preserve"> above</w:t>
      </w:r>
      <w:r w:rsidR="00D729F0">
        <w:t>) and was less than 5% for all scenarios and thresholds (Table 5, Figure 6).</w:t>
      </w:r>
    </w:p>
    <w:p w14:paraId="659FCA83" w14:textId="77777777" w:rsidR="00943C72" w:rsidRDefault="00943C72" w:rsidP="002836A7">
      <w:pPr>
        <w:spacing w:after="0" w:line="240" w:lineRule="auto"/>
        <w:rPr>
          <w:rFonts w:eastAsiaTheme="minorEastAsia"/>
          <w:iCs/>
        </w:rPr>
      </w:pPr>
    </w:p>
    <w:p w14:paraId="45D44DF4" w14:textId="2EDEFF31" w:rsidR="002836A7" w:rsidRPr="007F60DB" w:rsidRDefault="002836A7" w:rsidP="007F60DB">
      <w:pPr>
        <w:rPr>
          <w:b/>
          <w:bCs/>
        </w:rPr>
      </w:pPr>
      <w:r>
        <w:rPr>
          <w:b/>
          <w:bCs/>
        </w:rPr>
        <w:t xml:space="preserve">Table </w:t>
      </w:r>
      <w:r w:rsidR="007F60DB">
        <w:rPr>
          <w:b/>
          <w:bCs/>
        </w:rPr>
        <w:t>4</w:t>
      </w:r>
      <w:r>
        <w:rPr>
          <w:b/>
          <w:bCs/>
        </w:rPr>
        <w:t>.</w:t>
      </w:r>
      <w:r>
        <w:t xml:space="preserve"> The probabilities of quasi-extinction, population </w:t>
      </w:r>
      <w:r w:rsidR="00900997">
        <w:t>growth</w:t>
      </w:r>
      <w:r>
        <w:t xml:space="preserve">, and population decrease for each scenario. </w:t>
      </w:r>
      <w:r w:rsidR="003649E4">
        <w:t xml:space="preserve">We evaluated quasi-extinction probability at </w:t>
      </w:r>
      <w:r w:rsidR="00233A5F">
        <w:t>four</w:t>
      </w:r>
      <w:r w:rsidR="003649E4">
        <w:t xml:space="preserve"> thresholds due to our uncertainties about how that threshold should be determined. The probability of population </w:t>
      </w:r>
      <w:r w:rsidR="00900997">
        <w:t>growth</w:t>
      </w:r>
      <w:r w:rsidR="003649E4">
        <w:t xml:space="preserve"> and decline are the proportion of replicates in which the average population growth rate (</w:t>
      </w:r>
      <w:r w:rsidR="003649E4">
        <w:rPr>
          <w:rFonts w:cstheme="minorHAnsi"/>
        </w:rPr>
        <w:t>λ</w:t>
      </w:r>
      <w:r w:rsidR="003649E4">
        <w:t>) was greater than 1 or less than 1, respectively.</w:t>
      </w:r>
    </w:p>
    <w:tbl>
      <w:tblPr>
        <w:tblStyle w:val="TableGrid"/>
        <w:tblW w:w="98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1260"/>
        <w:gridCol w:w="630"/>
        <w:gridCol w:w="720"/>
        <w:gridCol w:w="900"/>
        <w:gridCol w:w="990"/>
        <w:gridCol w:w="1980"/>
        <w:gridCol w:w="1800"/>
      </w:tblGrid>
      <w:tr w:rsidR="00F57C2F" w14:paraId="6DFE5414" w14:textId="77777777" w:rsidTr="00D729F0">
        <w:tc>
          <w:tcPr>
            <w:tcW w:w="1530" w:type="dxa"/>
            <w:vMerge w:val="restart"/>
            <w:tcBorders>
              <w:top w:val="single" w:sz="4" w:space="0" w:color="auto"/>
            </w:tcBorders>
            <w:vAlign w:val="center"/>
          </w:tcPr>
          <w:p w14:paraId="7147CA06" w14:textId="0E7F401C" w:rsidR="00F57C2F" w:rsidRDefault="00F57C2F" w:rsidP="00FF7FD8">
            <w:pPr>
              <w:jc w:val="center"/>
              <w:rPr>
                <w:rFonts w:ascii="Calibri" w:hAnsi="Calibri" w:cs="Calibri"/>
                <w:color w:val="000000"/>
              </w:rPr>
            </w:pPr>
            <w:r>
              <w:rPr>
                <w:rFonts w:ascii="Calibri" w:hAnsi="Calibri" w:cs="Calibri"/>
                <w:color w:val="000000"/>
              </w:rPr>
              <w:t>Scenario</w:t>
            </w:r>
          </w:p>
        </w:tc>
        <w:tc>
          <w:tcPr>
            <w:tcW w:w="1260" w:type="dxa"/>
            <w:vMerge w:val="restart"/>
            <w:tcBorders>
              <w:top w:val="single" w:sz="4" w:space="0" w:color="auto"/>
            </w:tcBorders>
            <w:vAlign w:val="center"/>
          </w:tcPr>
          <w:p w14:paraId="6A1E3FFD" w14:textId="7D40E90F" w:rsidR="00F57C2F" w:rsidRDefault="00F57C2F" w:rsidP="00FF7FD8">
            <w:pPr>
              <w:jc w:val="center"/>
              <w:rPr>
                <w:rFonts w:ascii="Calibri" w:hAnsi="Calibri" w:cs="Calibri"/>
                <w:color w:val="000000"/>
              </w:rPr>
            </w:pPr>
            <w:r>
              <w:rPr>
                <w:rFonts w:ascii="Calibri" w:hAnsi="Calibri" w:cs="Calibri"/>
                <w:color w:val="000000"/>
              </w:rPr>
              <w:t>Urban growth per decade</w:t>
            </w:r>
          </w:p>
        </w:tc>
        <w:tc>
          <w:tcPr>
            <w:tcW w:w="3240" w:type="dxa"/>
            <w:gridSpan w:val="4"/>
            <w:tcBorders>
              <w:top w:val="single" w:sz="4" w:space="0" w:color="auto"/>
              <w:bottom w:val="single" w:sz="4" w:space="0" w:color="auto"/>
            </w:tcBorders>
            <w:vAlign w:val="center"/>
          </w:tcPr>
          <w:p w14:paraId="1A847534" w14:textId="7C958E29" w:rsidR="00F57C2F" w:rsidRDefault="00F57C2F" w:rsidP="00FF7FD8">
            <w:pPr>
              <w:jc w:val="center"/>
              <w:rPr>
                <w:rFonts w:ascii="Calibri" w:hAnsi="Calibri" w:cs="Calibri"/>
                <w:color w:val="000000"/>
              </w:rPr>
            </w:pPr>
            <w:r>
              <w:rPr>
                <w:rFonts w:ascii="Calibri" w:hAnsi="Calibri" w:cs="Calibri"/>
                <w:color w:val="000000"/>
              </w:rPr>
              <w:t>Quasi-extinction probability</w:t>
            </w:r>
          </w:p>
        </w:tc>
        <w:tc>
          <w:tcPr>
            <w:tcW w:w="1980" w:type="dxa"/>
            <w:vMerge w:val="restart"/>
            <w:tcBorders>
              <w:top w:val="single" w:sz="4" w:space="0" w:color="auto"/>
            </w:tcBorders>
            <w:vAlign w:val="center"/>
          </w:tcPr>
          <w:p w14:paraId="470C8194" w14:textId="3799AE9D" w:rsidR="00F57C2F" w:rsidRDefault="00F57C2F" w:rsidP="00FF7FD8">
            <w:pPr>
              <w:jc w:val="center"/>
              <w:rPr>
                <w:rFonts w:ascii="Calibri" w:hAnsi="Calibri" w:cs="Calibri"/>
                <w:color w:val="000000"/>
              </w:rPr>
            </w:pPr>
            <w:r>
              <w:rPr>
                <w:rFonts w:ascii="Calibri" w:hAnsi="Calibri" w:cs="Calibri"/>
                <w:color w:val="000000"/>
              </w:rPr>
              <w:t>Probability of population</w:t>
            </w:r>
            <w:r w:rsidR="00FF7FD8">
              <w:rPr>
                <w:rFonts w:ascii="Calibri" w:hAnsi="Calibri" w:cs="Calibri"/>
                <w:color w:val="000000"/>
              </w:rPr>
              <w:t xml:space="preserve"> stability or </w:t>
            </w:r>
            <w:r w:rsidR="00900997">
              <w:rPr>
                <w:rFonts w:ascii="Calibri" w:hAnsi="Calibri" w:cs="Calibri"/>
                <w:color w:val="000000"/>
              </w:rPr>
              <w:t>growth</w:t>
            </w:r>
          </w:p>
        </w:tc>
        <w:tc>
          <w:tcPr>
            <w:tcW w:w="1800" w:type="dxa"/>
            <w:vMerge w:val="restart"/>
            <w:tcBorders>
              <w:top w:val="single" w:sz="4" w:space="0" w:color="auto"/>
            </w:tcBorders>
            <w:vAlign w:val="center"/>
          </w:tcPr>
          <w:p w14:paraId="0FB0BD2F" w14:textId="77777777" w:rsidR="00F57C2F" w:rsidRDefault="00F57C2F" w:rsidP="00FF7FD8">
            <w:pPr>
              <w:jc w:val="center"/>
              <w:rPr>
                <w:rFonts w:ascii="Calibri" w:hAnsi="Calibri" w:cs="Calibri"/>
                <w:color w:val="000000"/>
              </w:rPr>
            </w:pPr>
            <w:r>
              <w:rPr>
                <w:rFonts w:ascii="Calibri" w:hAnsi="Calibri" w:cs="Calibri"/>
                <w:color w:val="000000"/>
              </w:rPr>
              <w:t>Probability of population</w:t>
            </w:r>
          </w:p>
          <w:p w14:paraId="45D3EB7F" w14:textId="0A567544" w:rsidR="00F57C2F" w:rsidRDefault="00F57C2F" w:rsidP="00FF7FD8">
            <w:pPr>
              <w:jc w:val="center"/>
              <w:rPr>
                <w:rFonts w:ascii="Calibri" w:hAnsi="Calibri" w:cs="Calibri"/>
                <w:color w:val="000000"/>
              </w:rPr>
            </w:pPr>
            <w:r>
              <w:rPr>
                <w:rFonts w:ascii="Calibri" w:hAnsi="Calibri" w:cs="Calibri"/>
                <w:color w:val="000000"/>
              </w:rPr>
              <w:t>decline</w:t>
            </w:r>
          </w:p>
        </w:tc>
      </w:tr>
      <w:tr w:rsidR="00F57C2F" w14:paraId="1C03CB3A" w14:textId="77777777" w:rsidTr="00D729F0">
        <w:tc>
          <w:tcPr>
            <w:tcW w:w="1530" w:type="dxa"/>
            <w:vMerge/>
            <w:tcBorders>
              <w:bottom w:val="single" w:sz="4" w:space="0" w:color="auto"/>
            </w:tcBorders>
            <w:vAlign w:val="center"/>
          </w:tcPr>
          <w:p w14:paraId="4D176C0D" w14:textId="4C87BD8A" w:rsidR="00F57C2F" w:rsidRDefault="00F57C2F" w:rsidP="00FF7FD8">
            <w:pPr>
              <w:jc w:val="center"/>
              <w:rPr>
                <w:rFonts w:ascii="Calibri" w:hAnsi="Calibri" w:cs="Calibri"/>
                <w:color w:val="000000"/>
              </w:rPr>
            </w:pPr>
          </w:p>
        </w:tc>
        <w:tc>
          <w:tcPr>
            <w:tcW w:w="1260" w:type="dxa"/>
            <w:vMerge/>
            <w:tcBorders>
              <w:bottom w:val="single" w:sz="4" w:space="0" w:color="auto"/>
            </w:tcBorders>
            <w:vAlign w:val="center"/>
          </w:tcPr>
          <w:p w14:paraId="7CBF71F0" w14:textId="4C191763" w:rsidR="00F57C2F" w:rsidRDefault="00F57C2F" w:rsidP="00FF7FD8">
            <w:pPr>
              <w:jc w:val="center"/>
            </w:pPr>
          </w:p>
        </w:tc>
        <w:tc>
          <w:tcPr>
            <w:tcW w:w="630" w:type="dxa"/>
            <w:tcBorders>
              <w:top w:val="single" w:sz="4" w:space="0" w:color="auto"/>
              <w:bottom w:val="single" w:sz="4" w:space="0" w:color="auto"/>
            </w:tcBorders>
            <w:vAlign w:val="center"/>
          </w:tcPr>
          <w:p w14:paraId="5782FE65" w14:textId="2E8AA9CC" w:rsidR="00F57C2F" w:rsidRDefault="00F57C2F" w:rsidP="00FF7FD8">
            <w:pPr>
              <w:jc w:val="center"/>
            </w:pPr>
            <w:r>
              <w:t>50</w:t>
            </w:r>
          </w:p>
        </w:tc>
        <w:tc>
          <w:tcPr>
            <w:tcW w:w="720" w:type="dxa"/>
            <w:tcBorders>
              <w:top w:val="single" w:sz="4" w:space="0" w:color="auto"/>
              <w:bottom w:val="single" w:sz="4" w:space="0" w:color="auto"/>
            </w:tcBorders>
            <w:vAlign w:val="center"/>
          </w:tcPr>
          <w:p w14:paraId="0B2C015B" w14:textId="3E4C3841" w:rsidR="00F57C2F" w:rsidRDefault="00F57C2F" w:rsidP="00FF7FD8">
            <w:pPr>
              <w:jc w:val="center"/>
              <w:rPr>
                <w:rFonts w:ascii="Calibri" w:hAnsi="Calibri" w:cs="Calibri"/>
                <w:color w:val="000000"/>
              </w:rPr>
            </w:pPr>
            <w:r>
              <w:rPr>
                <w:rFonts w:ascii="Calibri" w:hAnsi="Calibri" w:cs="Calibri"/>
                <w:color w:val="000000"/>
              </w:rPr>
              <w:t>500</w:t>
            </w:r>
          </w:p>
        </w:tc>
        <w:tc>
          <w:tcPr>
            <w:tcW w:w="900" w:type="dxa"/>
            <w:tcBorders>
              <w:top w:val="single" w:sz="4" w:space="0" w:color="auto"/>
              <w:bottom w:val="single" w:sz="4" w:space="0" w:color="auto"/>
            </w:tcBorders>
            <w:vAlign w:val="center"/>
          </w:tcPr>
          <w:p w14:paraId="79BA20D8" w14:textId="6E943BD5" w:rsidR="00F57C2F" w:rsidRDefault="00F57C2F" w:rsidP="00FF7FD8">
            <w:pPr>
              <w:jc w:val="center"/>
              <w:rPr>
                <w:rFonts w:ascii="Calibri" w:hAnsi="Calibri" w:cs="Calibri"/>
                <w:color w:val="000000"/>
              </w:rPr>
            </w:pPr>
            <w:r>
              <w:rPr>
                <w:rFonts w:ascii="Calibri" w:hAnsi="Calibri" w:cs="Calibri"/>
                <w:color w:val="000000"/>
              </w:rPr>
              <w:t>1000</w:t>
            </w:r>
          </w:p>
        </w:tc>
        <w:tc>
          <w:tcPr>
            <w:tcW w:w="990" w:type="dxa"/>
            <w:tcBorders>
              <w:bottom w:val="single" w:sz="4" w:space="0" w:color="auto"/>
            </w:tcBorders>
            <w:vAlign w:val="center"/>
          </w:tcPr>
          <w:p w14:paraId="66000F88" w14:textId="031B68CF" w:rsidR="00F57C2F" w:rsidRDefault="00F57C2F" w:rsidP="00FF7FD8">
            <w:pPr>
              <w:jc w:val="center"/>
            </w:pPr>
            <w:r>
              <w:t>5000</w:t>
            </w:r>
          </w:p>
        </w:tc>
        <w:tc>
          <w:tcPr>
            <w:tcW w:w="1980" w:type="dxa"/>
            <w:vMerge/>
            <w:tcBorders>
              <w:bottom w:val="single" w:sz="4" w:space="0" w:color="auto"/>
            </w:tcBorders>
            <w:vAlign w:val="center"/>
          </w:tcPr>
          <w:p w14:paraId="57664C6B" w14:textId="66910F2D" w:rsidR="00F57C2F" w:rsidRDefault="00F57C2F" w:rsidP="00FF7FD8">
            <w:pPr>
              <w:jc w:val="center"/>
            </w:pPr>
          </w:p>
        </w:tc>
        <w:tc>
          <w:tcPr>
            <w:tcW w:w="1800" w:type="dxa"/>
            <w:vMerge/>
            <w:tcBorders>
              <w:bottom w:val="single" w:sz="4" w:space="0" w:color="auto"/>
            </w:tcBorders>
            <w:vAlign w:val="center"/>
          </w:tcPr>
          <w:p w14:paraId="0A8E9C03" w14:textId="3C687DD9" w:rsidR="00F57C2F" w:rsidRDefault="00F57C2F" w:rsidP="00FF7FD8">
            <w:pPr>
              <w:jc w:val="center"/>
            </w:pPr>
          </w:p>
        </w:tc>
      </w:tr>
      <w:tr w:rsidR="00D729F0" w14:paraId="53F0C47C" w14:textId="77777777" w:rsidTr="00D729F0">
        <w:tc>
          <w:tcPr>
            <w:tcW w:w="1530" w:type="dxa"/>
            <w:tcBorders>
              <w:top w:val="single" w:sz="4" w:space="0" w:color="auto"/>
            </w:tcBorders>
            <w:vAlign w:val="center"/>
          </w:tcPr>
          <w:p w14:paraId="06A85C79" w14:textId="5FCA55C3" w:rsidR="00D729F0" w:rsidRDefault="00D729F0" w:rsidP="00D729F0">
            <w:pPr>
              <w:jc w:val="center"/>
              <w:rPr>
                <w:rFonts w:ascii="Calibri" w:hAnsi="Calibri" w:cs="Calibri"/>
                <w:color w:val="000000"/>
              </w:rPr>
            </w:pPr>
            <w:r>
              <w:rPr>
                <w:rFonts w:ascii="Calibri" w:hAnsi="Calibri" w:cs="Calibri"/>
                <w:color w:val="000000"/>
              </w:rPr>
              <w:t>No further urbanization</w:t>
            </w:r>
          </w:p>
        </w:tc>
        <w:tc>
          <w:tcPr>
            <w:tcW w:w="1260" w:type="dxa"/>
            <w:tcBorders>
              <w:top w:val="single" w:sz="4" w:space="0" w:color="auto"/>
            </w:tcBorders>
            <w:vAlign w:val="center"/>
          </w:tcPr>
          <w:p w14:paraId="58982305" w14:textId="5926D54E" w:rsidR="00D729F0" w:rsidRDefault="00D729F0" w:rsidP="00D729F0">
            <w:pPr>
              <w:jc w:val="center"/>
            </w:pPr>
            <w:r>
              <w:t>0%</w:t>
            </w:r>
          </w:p>
        </w:tc>
        <w:tc>
          <w:tcPr>
            <w:tcW w:w="630" w:type="dxa"/>
            <w:tcBorders>
              <w:top w:val="single" w:sz="4" w:space="0" w:color="auto"/>
            </w:tcBorders>
            <w:vAlign w:val="bottom"/>
          </w:tcPr>
          <w:p w14:paraId="5F84646F" w14:textId="19FF70F6" w:rsidR="00D729F0" w:rsidRDefault="00D729F0" w:rsidP="00D729F0">
            <w:pPr>
              <w:jc w:val="center"/>
            </w:pPr>
            <w:r>
              <w:rPr>
                <w:rFonts w:ascii="Calibri" w:hAnsi="Calibri" w:cs="Calibri"/>
                <w:color w:val="000000"/>
              </w:rPr>
              <w:t>0</w:t>
            </w:r>
          </w:p>
        </w:tc>
        <w:tc>
          <w:tcPr>
            <w:tcW w:w="720" w:type="dxa"/>
            <w:tcBorders>
              <w:top w:val="single" w:sz="4" w:space="0" w:color="auto"/>
            </w:tcBorders>
            <w:vAlign w:val="bottom"/>
          </w:tcPr>
          <w:p w14:paraId="5E5B9975" w14:textId="3C8DCB32" w:rsidR="00D729F0" w:rsidRDefault="00D729F0" w:rsidP="00D729F0">
            <w:pPr>
              <w:jc w:val="center"/>
            </w:pPr>
            <w:r>
              <w:rPr>
                <w:rFonts w:ascii="Calibri" w:hAnsi="Calibri" w:cs="Calibri"/>
                <w:color w:val="000000"/>
              </w:rPr>
              <w:t>0</w:t>
            </w:r>
          </w:p>
        </w:tc>
        <w:tc>
          <w:tcPr>
            <w:tcW w:w="900" w:type="dxa"/>
            <w:tcBorders>
              <w:top w:val="single" w:sz="4" w:space="0" w:color="auto"/>
            </w:tcBorders>
            <w:vAlign w:val="bottom"/>
          </w:tcPr>
          <w:p w14:paraId="135BBE08" w14:textId="1250888E" w:rsidR="00D729F0" w:rsidRDefault="00D729F0" w:rsidP="00D729F0">
            <w:pPr>
              <w:jc w:val="center"/>
            </w:pPr>
            <w:r>
              <w:rPr>
                <w:rFonts w:ascii="Calibri" w:hAnsi="Calibri" w:cs="Calibri"/>
                <w:color w:val="000000"/>
              </w:rPr>
              <w:t>0.001</w:t>
            </w:r>
          </w:p>
        </w:tc>
        <w:tc>
          <w:tcPr>
            <w:tcW w:w="990" w:type="dxa"/>
            <w:tcBorders>
              <w:top w:val="single" w:sz="4" w:space="0" w:color="auto"/>
            </w:tcBorders>
            <w:vAlign w:val="bottom"/>
          </w:tcPr>
          <w:p w14:paraId="38E3C338" w14:textId="50772109" w:rsidR="00D729F0" w:rsidRDefault="00D729F0" w:rsidP="00D729F0">
            <w:pPr>
              <w:jc w:val="center"/>
              <w:rPr>
                <w:rFonts w:ascii="Calibri" w:hAnsi="Calibri" w:cs="Calibri"/>
                <w:color w:val="000000"/>
              </w:rPr>
            </w:pPr>
            <w:r>
              <w:rPr>
                <w:rFonts w:ascii="Calibri" w:hAnsi="Calibri" w:cs="Calibri"/>
                <w:color w:val="000000"/>
              </w:rPr>
              <w:t>0.014</w:t>
            </w:r>
          </w:p>
        </w:tc>
        <w:tc>
          <w:tcPr>
            <w:tcW w:w="1980" w:type="dxa"/>
            <w:tcBorders>
              <w:top w:val="single" w:sz="4" w:space="0" w:color="auto"/>
            </w:tcBorders>
            <w:vAlign w:val="bottom"/>
          </w:tcPr>
          <w:p w14:paraId="750DEC8F" w14:textId="49A34000" w:rsidR="00D729F0" w:rsidRDefault="00D729F0" w:rsidP="00D729F0">
            <w:pPr>
              <w:jc w:val="center"/>
            </w:pPr>
            <w:r>
              <w:rPr>
                <w:rFonts w:ascii="Calibri" w:hAnsi="Calibri" w:cs="Calibri"/>
                <w:color w:val="000000"/>
              </w:rPr>
              <w:t>0.56</w:t>
            </w:r>
          </w:p>
        </w:tc>
        <w:tc>
          <w:tcPr>
            <w:tcW w:w="1800" w:type="dxa"/>
            <w:tcBorders>
              <w:top w:val="single" w:sz="4" w:space="0" w:color="auto"/>
            </w:tcBorders>
            <w:vAlign w:val="bottom"/>
          </w:tcPr>
          <w:p w14:paraId="32391BEB" w14:textId="6EF99916" w:rsidR="00D729F0" w:rsidRDefault="00D729F0" w:rsidP="00D729F0">
            <w:pPr>
              <w:jc w:val="center"/>
            </w:pPr>
            <w:r>
              <w:rPr>
                <w:rFonts w:ascii="Calibri" w:hAnsi="Calibri" w:cs="Calibri"/>
                <w:color w:val="000000"/>
              </w:rPr>
              <w:t>0.44</w:t>
            </w:r>
          </w:p>
        </w:tc>
      </w:tr>
      <w:tr w:rsidR="00D729F0" w14:paraId="6EEA7B9C" w14:textId="77777777" w:rsidTr="00D729F0">
        <w:tc>
          <w:tcPr>
            <w:tcW w:w="1530" w:type="dxa"/>
            <w:vAlign w:val="center"/>
          </w:tcPr>
          <w:p w14:paraId="3327CFB4" w14:textId="241ACEA7" w:rsidR="00D729F0" w:rsidRDefault="00D729F0" w:rsidP="00D729F0">
            <w:pPr>
              <w:jc w:val="center"/>
              <w:rPr>
                <w:rFonts w:ascii="Calibri" w:hAnsi="Calibri" w:cs="Calibri"/>
                <w:color w:val="000000"/>
              </w:rPr>
            </w:pPr>
            <w:r>
              <w:rPr>
                <w:rFonts w:ascii="Calibri" w:hAnsi="Calibri" w:cs="Calibri"/>
                <w:color w:val="000000"/>
              </w:rPr>
              <w:t>Reduced urbanization</w:t>
            </w:r>
          </w:p>
        </w:tc>
        <w:tc>
          <w:tcPr>
            <w:tcW w:w="1260" w:type="dxa"/>
            <w:vAlign w:val="center"/>
          </w:tcPr>
          <w:p w14:paraId="56AEB923" w14:textId="0AAEA953" w:rsidR="00D729F0" w:rsidRPr="006979C5" w:rsidRDefault="00D729F0" w:rsidP="00D729F0">
            <w:pPr>
              <w:jc w:val="center"/>
              <w:rPr>
                <w:rFonts w:ascii="Calibri" w:hAnsi="Calibri" w:cs="Calibri"/>
                <w:color w:val="000000"/>
              </w:rPr>
            </w:pPr>
            <w:r>
              <w:rPr>
                <w:rFonts w:ascii="Calibri" w:hAnsi="Calibri" w:cs="Calibri"/>
                <w:color w:val="000000"/>
              </w:rPr>
              <w:t>8%</w:t>
            </w:r>
          </w:p>
        </w:tc>
        <w:tc>
          <w:tcPr>
            <w:tcW w:w="630" w:type="dxa"/>
            <w:vAlign w:val="bottom"/>
          </w:tcPr>
          <w:p w14:paraId="080169BB" w14:textId="681DCC82" w:rsidR="00D729F0" w:rsidRDefault="00D729F0" w:rsidP="00D729F0">
            <w:pPr>
              <w:jc w:val="center"/>
            </w:pPr>
            <w:r>
              <w:rPr>
                <w:rFonts w:ascii="Calibri" w:hAnsi="Calibri" w:cs="Calibri"/>
                <w:color w:val="000000"/>
              </w:rPr>
              <w:t>0</w:t>
            </w:r>
          </w:p>
        </w:tc>
        <w:tc>
          <w:tcPr>
            <w:tcW w:w="720" w:type="dxa"/>
            <w:vAlign w:val="bottom"/>
          </w:tcPr>
          <w:p w14:paraId="55A3B039" w14:textId="742B8EB1" w:rsidR="00D729F0" w:rsidRDefault="00D729F0" w:rsidP="00D729F0">
            <w:pPr>
              <w:jc w:val="center"/>
            </w:pPr>
            <w:r>
              <w:rPr>
                <w:rFonts w:ascii="Calibri" w:hAnsi="Calibri" w:cs="Calibri"/>
                <w:color w:val="000000"/>
              </w:rPr>
              <w:t>0.001</w:t>
            </w:r>
          </w:p>
        </w:tc>
        <w:tc>
          <w:tcPr>
            <w:tcW w:w="900" w:type="dxa"/>
            <w:vAlign w:val="bottom"/>
          </w:tcPr>
          <w:p w14:paraId="2EEDC509" w14:textId="2201854F" w:rsidR="00D729F0" w:rsidRDefault="00D729F0" w:rsidP="00D729F0">
            <w:pPr>
              <w:jc w:val="center"/>
            </w:pPr>
            <w:r>
              <w:rPr>
                <w:rFonts w:ascii="Calibri" w:hAnsi="Calibri" w:cs="Calibri"/>
                <w:color w:val="000000"/>
              </w:rPr>
              <w:t>0.001</w:t>
            </w:r>
          </w:p>
        </w:tc>
        <w:tc>
          <w:tcPr>
            <w:tcW w:w="990" w:type="dxa"/>
            <w:vAlign w:val="bottom"/>
          </w:tcPr>
          <w:p w14:paraId="694E8C49" w14:textId="26772C87" w:rsidR="00D729F0" w:rsidRDefault="00D729F0" w:rsidP="00D729F0">
            <w:pPr>
              <w:jc w:val="center"/>
              <w:rPr>
                <w:rFonts w:ascii="Calibri" w:hAnsi="Calibri" w:cs="Calibri"/>
                <w:color w:val="000000"/>
              </w:rPr>
            </w:pPr>
            <w:r>
              <w:rPr>
                <w:rFonts w:ascii="Calibri" w:hAnsi="Calibri" w:cs="Calibri"/>
                <w:color w:val="000000"/>
              </w:rPr>
              <w:t>0.022</w:t>
            </w:r>
          </w:p>
        </w:tc>
        <w:tc>
          <w:tcPr>
            <w:tcW w:w="1980" w:type="dxa"/>
            <w:vAlign w:val="bottom"/>
          </w:tcPr>
          <w:p w14:paraId="3941E1A2" w14:textId="60137879" w:rsidR="00D729F0" w:rsidRDefault="00D729F0" w:rsidP="00D729F0">
            <w:pPr>
              <w:jc w:val="center"/>
            </w:pPr>
            <w:r>
              <w:rPr>
                <w:rFonts w:ascii="Calibri" w:hAnsi="Calibri" w:cs="Calibri"/>
                <w:color w:val="000000"/>
              </w:rPr>
              <w:t>0.51</w:t>
            </w:r>
          </w:p>
        </w:tc>
        <w:tc>
          <w:tcPr>
            <w:tcW w:w="1800" w:type="dxa"/>
            <w:vAlign w:val="bottom"/>
          </w:tcPr>
          <w:p w14:paraId="2F79CE42" w14:textId="68784949" w:rsidR="00D729F0" w:rsidRDefault="00D729F0" w:rsidP="00D729F0">
            <w:pPr>
              <w:jc w:val="center"/>
            </w:pPr>
            <w:r>
              <w:rPr>
                <w:rFonts w:ascii="Calibri" w:hAnsi="Calibri" w:cs="Calibri"/>
                <w:color w:val="000000"/>
              </w:rPr>
              <w:t>0.49</w:t>
            </w:r>
          </w:p>
        </w:tc>
      </w:tr>
      <w:tr w:rsidR="00D729F0" w14:paraId="04682EEB" w14:textId="77777777" w:rsidTr="00D729F0">
        <w:tc>
          <w:tcPr>
            <w:tcW w:w="1530" w:type="dxa"/>
            <w:vAlign w:val="center"/>
          </w:tcPr>
          <w:p w14:paraId="60755CCB" w14:textId="6E44F03D" w:rsidR="00D729F0" w:rsidRDefault="00D729F0" w:rsidP="00D729F0">
            <w:pPr>
              <w:jc w:val="center"/>
              <w:rPr>
                <w:rFonts w:ascii="Calibri" w:hAnsi="Calibri" w:cs="Calibri"/>
                <w:color w:val="000000"/>
              </w:rPr>
            </w:pPr>
            <w:r>
              <w:rPr>
                <w:rFonts w:ascii="Calibri" w:hAnsi="Calibri" w:cs="Calibri"/>
                <w:color w:val="000000"/>
              </w:rPr>
              <w:t>Status quo</w:t>
            </w:r>
          </w:p>
        </w:tc>
        <w:tc>
          <w:tcPr>
            <w:tcW w:w="1260" w:type="dxa"/>
            <w:vAlign w:val="center"/>
          </w:tcPr>
          <w:p w14:paraId="3495145F" w14:textId="3F511069" w:rsidR="00D729F0" w:rsidRDefault="00D729F0" w:rsidP="00D729F0">
            <w:pPr>
              <w:jc w:val="center"/>
            </w:pPr>
            <w:r>
              <w:t>16%</w:t>
            </w:r>
          </w:p>
        </w:tc>
        <w:tc>
          <w:tcPr>
            <w:tcW w:w="630" w:type="dxa"/>
            <w:vAlign w:val="bottom"/>
          </w:tcPr>
          <w:p w14:paraId="563B4E5C" w14:textId="3A0DB591" w:rsidR="00D729F0" w:rsidRDefault="00D729F0" w:rsidP="00D729F0">
            <w:pPr>
              <w:jc w:val="center"/>
            </w:pPr>
            <w:r>
              <w:rPr>
                <w:rFonts w:ascii="Calibri" w:hAnsi="Calibri" w:cs="Calibri"/>
                <w:color w:val="000000"/>
              </w:rPr>
              <w:t>0</w:t>
            </w:r>
          </w:p>
        </w:tc>
        <w:tc>
          <w:tcPr>
            <w:tcW w:w="720" w:type="dxa"/>
            <w:vAlign w:val="bottom"/>
          </w:tcPr>
          <w:p w14:paraId="091CA388" w14:textId="757949A1" w:rsidR="00D729F0" w:rsidRDefault="00D729F0" w:rsidP="00D729F0">
            <w:pPr>
              <w:jc w:val="center"/>
            </w:pPr>
            <w:r>
              <w:rPr>
                <w:rFonts w:ascii="Calibri" w:hAnsi="Calibri" w:cs="Calibri"/>
                <w:color w:val="000000"/>
              </w:rPr>
              <w:t>0.000</w:t>
            </w:r>
          </w:p>
        </w:tc>
        <w:tc>
          <w:tcPr>
            <w:tcW w:w="900" w:type="dxa"/>
            <w:vAlign w:val="bottom"/>
          </w:tcPr>
          <w:p w14:paraId="65AA9D59" w14:textId="3789343A" w:rsidR="00D729F0" w:rsidRDefault="00D729F0" w:rsidP="00D729F0">
            <w:pPr>
              <w:jc w:val="center"/>
            </w:pPr>
            <w:r>
              <w:rPr>
                <w:rFonts w:ascii="Calibri" w:hAnsi="Calibri" w:cs="Calibri"/>
                <w:color w:val="000000"/>
              </w:rPr>
              <w:t>0.002</w:t>
            </w:r>
          </w:p>
        </w:tc>
        <w:tc>
          <w:tcPr>
            <w:tcW w:w="990" w:type="dxa"/>
            <w:vAlign w:val="bottom"/>
          </w:tcPr>
          <w:p w14:paraId="1D8EA8E5" w14:textId="52C87E6A" w:rsidR="00D729F0" w:rsidRDefault="00D729F0" w:rsidP="00D729F0">
            <w:pPr>
              <w:jc w:val="center"/>
              <w:rPr>
                <w:rFonts w:ascii="Calibri" w:hAnsi="Calibri" w:cs="Calibri"/>
                <w:color w:val="000000"/>
              </w:rPr>
            </w:pPr>
            <w:r>
              <w:rPr>
                <w:rFonts w:ascii="Calibri" w:hAnsi="Calibri" w:cs="Calibri"/>
                <w:color w:val="000000"/>
              </w:rPr>
              <w:t>0.030</w:t>
            </w:r>
          </w:p>
        </w:tc>
        <w:tc>
          <w:tcPr>
            <w:tcW w:w="1980" w:type="dxa"/>
            <w:vAlign w:val="bottom"/>
          </w:tcPr>
          <w:p w14:paraId="3C3A150F" w14:textId="42729902" w:rsidR="00D729F0" w:rsidRDefault="00D729F0" w:rsidP="00D729F0">
            <w:pPr>
              <w:jc w:val="center"/>
            </w:pPr>
            <w:r>
              <w:rPr>
                <w:rFonts w:ascii="Calibri" w:hAnsi="Calibri" w:cs="Calibri"/>
                <w:color w:val="000000"/>
              </w:rPr>
              <w:t>0.46</w:t>
            </w:r>
          </w:p>
        </w:tc>
        <w:tc>
          <w:tcPr>
            <w:tcW w:w="1800" w:type="dxa"/>
            <w:vAlign w:val="bottom"/>
          </w:tcPr>
          <w:p w14:paraId="1B46C109" w14:textId="50207F7C" w:rsidR="00D729F0" w:rsidRDefault="00D729F0" w:rsidP="00D729F0">
            <w:pPr>
              <w:jc w:val="center"/>
            </w:pPr>
            <w:r>
              <w:rPr>
                <w:rFonts w:ascii="Calibri" w:hAnsi="Calibri" w:cs="Calibri"/>
                <w:color w:val="000000"/>
              </w:rPr>
              <w:t>0.54</w:t>
            </w:r>
          </w:p>
        </w:tc>
      </w:tr>
      <w:tr w:rsidR="00D729F0" w14:paraId="0B9D2929" w14:textId="77777777" w:rsidTr="00D729F0">
        <w:tc>
          <w:tcPr>
            <w:tcW w:w="1530" w:type="dxa"/>
            <w:vAlign w:val="center"/>
          </w:tcPr>
          <w:p w14:paraId="0DBCFD8C" w14:textId="4321D57B" w:rsidR="00D729F0" w:rsidRDefault="00D729F0" w:rsidP="00D729F0">
            <w:pPr>
              <w:jc w:val="center"/>
              <w:rPr>
                <w:rFonts w:ascii="Calibri" w:hAnsi="Calibri" w:cs="Calibri"/>
                <w:color w:val="000000"/>
              </w:rPr>
            </w:pPr>
            <w:r>
              <w:rPr>
                <w:rFonts w:ascii="Calibri" w:hAnsi="Calibri" w:cs="Calibri"/>
                <w:color w:val="000000"/>
              </w:rPr>
              <w:t>Increased urbanization</w:t>
            </w:r>
          </w:p>
        </w:tc>
        <w:tc>
          <w:tcPr>
            <w:tcW w:w="1260" w:type="dxa"/>
            <w:vAlign w:val="center"/>
          </w:tcPr>
          <w:p w14:paraId="26579431" w14:textId="09D74E4C" w:rsidR="00D729F0" w:rsidRDefault="00D729F0" w:rsidP="00D729F0">
            <w:pPr>
              <w:jc w:val="center"/>
            </w:pPr>
            <w:r>
              <w:t>24%</w:t>
            </w:r>
          </w:p>
        </w:tc>
        <w:tc>
          <w:tcPr>
            <w:tcW w:w="630" w:type="dxa"/>
            <w:vAlign w:val="bottom"/>
          </w:tcPr>
          <w:p w14:paraId="08DCD559" w14:textId="557FCC79" w:rsidR="00D729F0" w:rsidRDefault="00D729F0" w:rsidP="00D729F0">
            <w:pPr>
              <w:jc w:val="center"/>
            </w:pPr>
            <w:r>
              <w:rPr>
                <w:rFonts w:ascii="Calibri" w:hAnsi="Calibri" w:cs="Calibri"/>
                <w:color w:val="000000"/>
              </w:rPr>
              <w:t>0</w:t>
            </w:r>
          </w:p>
        </w:tc>
        <w:tc>
          <w:tcPr>
            <w:tcW w:w="720" w:type="dxa"/>
            <w:vAlign w:val="bottom"/>
          </w:tcPr>
          <w:p w14:paraId="1AF17DFE" w14:textId="2221B93D" w:rsidR="00D729F0" w:rsidRDefault="00D729F0" w:rsidP="00D729F0">
            <w:pPr>
              <w:jc w:val="center"/>
            </w:pPr>
            <w:r>
              <w:rPr>
                <w:rFonts w:ascii="Calibri" w:hAnsi="Calibri" w:cs="Calibri"/>
                <w:color w:val="000000"/>
              </w:rPr>
              <w:t>0.001</w:t>
            </w:r>
          </w:p>
        </w:tc>
        <w:tc>
          <w:tcPr>
            <w:tcW w:w="900" w:type="dxa"/>
            <w:vAlign w:val="bottom"/>
          </w:tcPr>
          <w:p w14:paraId="3D7B37C4" w14:textId="6C9FB1C2" w:rsidR="00D729F0" w:rsidRDefault="00D729F0" w:rsidP="00D729F0">
            <w:pPr>
              <w:jc w:val="center"/>
            </w:pPr>
            <w:r>
              <w:rPr>
                <w:rFonts w:ascii="Calibri" w:hAnsi="Calibri" w:cs="Calibri"/>
                <w:color w:val="000000"/>
              </w:rPr>
              <w:t>0.001</w:t>
            </w:r>
          </w:p>
        </w:tc>
        <w:tc>
          <w:tcPr>
            <w:tcW w:w="990" w:type="dxa"/>
            <w:vAlign w:val="bottom"/>
          </w:tcPr>
          <w:p w14:paraId="563E5DE3" w14:textId="752D8A43" w:rsidR="00D729F0" w:rsidRDefault="00D729F0" w:rsidP="00D729F0">
            <w:pPr>
              <w:jc w:val="center"/>
              <w:rPr>
                <w:rFonts w:ascii="Calibri" w:hAnsi="Calibri" w:cs="Calibri"/>
                <w:color w:val="000000"/>
              </w:rPr>
            </w:pPr>
            <w:r>
              <w:rPr>
                <w:rFonts w:ascii="Calibri" w:hAnsi="Calibri" w:cs="Calibri"/>
                <w:color w:val="000000"/>
              </w:rPr>
              <w:t>0.037</w:t>
            </w:r>
          </w:p>
        </w:tc>
        <w:tc>
          <w:tcPr>
            <w:tcW w:w="1980" w:type="dxa"/>
            <w:vAlign w:val="bottom"/>
          </w:tcPr>
          <w:p w14:paraId="3B172069" w14:textId="74CD7496" w:rsidR="00D729F0" w:rsidRDefault="00D729F0" w:rsidP="00D729F0">
            <w:pPr>
              <w:jc w:val="center"/>
            </w:pPr>
            <w:r>
              <w:rPr>
                <w:rFonts w:ascii="Calibri" w:hAnsi="Calibri" w:cs="Calibri"/>
                <w:color w:val="000000"/>
              </w:rPr>
              <w:t>0.41</w:t>
            </w:r>
          </w:p>
        </w:tc>
        <w:tc>
          <w:tcPr>
            <w:tcW w:w="1800" w:type="dxa"/>
            <w:vAlign w:val="bottom"/>
          </w:tcPr>
          <w:p w14:paraId="01433D8E" w14:textId="2971778E" w:rsidR="00D729F0" w:rsidRDefault="00D729F0" w:rsidP="00D729F0">
            <w:pPr>
              <w:jc w:val="center"/>
            </w:pPr>
            <w:r>
              <w:rPr>
                <w:rFonts w:ascii="Calibri" w:hAnsi="Calibri" w:cs="Calibri"/>
                <w:color w:val="000000"/>
              </w:rPr>
              <w:t>0.59</w:t>
            </w:r>
          </w:p>
        </w:tc>
      </w:tr>
    </w:tbl>
    <w:p w14:paraId="1B0E9C76" w14:textId="4712C951" w:rsidR="001C1AC5" w:rsidRDefault="00943C72" w:rsidP="00404D9C">
      <w:pPr>
        <w:rPr>
          <w:b/>
          <w:bCs/>
        </w:rPr>
      </w:pPr>
      <w:r>
        <w:rPr>
          <w:b/>
          <w:bCs/>
          <w:noProof/>
        </w:rPr>
        <w:br w:type="page"/>
      </w:r>
      <w:r w:rsidR="00D729F0">
        <w:rPr>
          <w:b/>
          <w:bCs/>
          <w:noProof/>
        </w:rPr>
        <w:lastRenderedPageBreak/>
        <w:drawing>
          <wp:inline distT="0" distB="0" distL="0" distR="0" wp14:anchorId="36C2153A" wp14:editId="7A14A43D">
            <wp:extent cx="5943600" cy="4754880"/>
            <wp:effectExtent l="0" t="0" r="0"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ion__new-ha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F99382E" w14:textId="6E2B4132" w:rsidR="00CC6F5D" w:rsidRDefault="00CC6F5D" w:rsidP="00D97E17">
      <w:pPr>
        <w:spacing w:after="0" w:line="240" w:lineRule="auto"/>
      </w:pPr>
      <w:r>
        <w:rPr>
          <w:b/>
          <w:bCs/>
        </w:rPr>
        <w:t xml:space="preserve">Figure </w:t>
      </w:r>
      <w:r w:rsidR="00214D7F">
        <w:rPr>
          <w:b/>
          <w:bCs/>
        </w:rPr>
        <w:t>5</w:t>
      </w:r>
      <w:r>
        <w:rPr>
          <w:b/>
          <w:bCs/>
        </w:rPr>
        <w:t xml:space="preserve">. </w:t>
      </w:r>
      <w:r w:rsidR="00D97E17">
        <w:t xml:space="preserve">Projected change in population size over 30 years for </w:t>
      </w:r>
      <w:r w:rsidR="00943C72">
        <w:t>four</w:t>
      </w:r>
      <w:r w:rsidR="00D97E17">
        <w:t xml:space="preserve"> potential scenarios of land cover change. </w:t>
      </w:r>
      <w:r>
        <w:t>Solid black lines show the medians among all replicates, and shaded gray regions show the 95% quantiles</w:t>
      </w:r>
      <w:r w:rsidR="00397C61">
        <w:t xml:space="preserve"> (95% of replications fell within this range)</w:t>
      </w:r>
      <w:r>
        <w:t>. The dashed line is at 0</w:t>
      </w:r>
      <w:r w:rsidR="00D97E17">
        <w:t xml:space="preserve">, </w:t>
      </w:r>
      <w:r>
        <w:t xml:space="preserve">indicating no change in population size. </w:t>
      </w:r>
    </w:p>
    <w:p w14:paraId="6C102C5A" w14:textId="3CD74500" w:rsidR="001C1AC5" w:rsidRDefault="001C1AC5" w:rsidP="005C00B2">
      <w:pPr>
        <w:spacing w:after="0" w:line="240" w:lineRule="auto"/>
        <w:rPr>
          <w:b/>
          <w:bCs/>
        </w:rPr>
      </w:pPr>
    </w:p>
    <w:p w14:paraId="297EF64E" w14:textId="06BBD7FF" w:rsidR="002836A7" w:rsidRDefault="002836A7" w:rsidP="005C00B2">
      <w:pPr>
        <w:spacing w:after="0" w:line="240" w:lineRule="auto"/>
        <w:rPr>
          <w:b/>
          <w:bCs/>
        </w:rPr>
      </w:pPr>
    </w:p>
    <w:p w14:paraId="6F59F3F4" w14:textId="15BD8B16" w:rsidR="002836A7" w:rsidRDefault="002836A7" w:rsidP="005C00B2">
      <w:pPr>
        <w:spacing w:after="0" w:line="240" w:lineRule="auto"/>
        <w:rPr>
          <w:b/>
          <w:bCs/>
        </w:rPr>
      </w:pPr>
    </w:p>
    <w:p w14:paraId="238D8C8E" w14:textId="0855FAF5" w:rsidR="00D97E17" w:rsidRDefault="00D97E17" w:rsidP="005C00B2">
      <w:pPr>
        <w:spacing w:after="0" w:line="240" w:lineRule="auto"/>
        <w:rPr>
          <w:b/>
          <w:bCs/>
        </w:rPr>
      </w:pPr>
    </w:p>
    <w:p w14:paraId="4E46B2AC" w14:textId="51229CAA" w:rsidR="00D97E17" w:rsidRDefault="00D97E17">
      <w:pPr>
        <w:rPr>
          <w:b/>
        </w:rPr>
      </w:pPr>
      <w:r>
        <w:rPr>
          <w:b/>
        </w:rPr>
        <w:br w:type="page"/>
      </w:r>
    </w:p>
    <w:p w14:paraId="37E1122E" w14:textId="33BE7818" w:rsidR="00984554" w:rsidRDefault="00D729F0" w:rsidP="00214D7F">
      <w:pPr>
        <w:jc w:val="center"/>
        <w:rPr>
          <w:b/>
        </w:rPr>
      </w:pPr>
      <w:r>
        <w:rPr>
          <w:b/>
          <w:noProof/>
        </w:rPr>
        <w:lastRenderedPageBreak/>
        <w:drawing>
          <wp:inline distT="0" distB="0" distL="0" distR="0" wp14:anchorId="2D11F13C" wp14:editId="6235C22F">
            <wp:extent cx="5257800" cy="328612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e_probs_new-ha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8038" cy="3286274"/>
                    </a:xfrm>
                    <a:prstGeom prst="rect">
                      <a:avLst/>
                    </a:prstGeom>
                  </pic:spPr>
                </pic:pic>
              </a:graphicData>
            </a:graphic>
          </wp:inline>
        </w:drawing>
      </w:r>
    </w:p>
    <w:p w14:paraId="7620951C" w14:textId="307C15AB" w:rsidR="00984554" w:rsidRPr="00984554" w:rsidRDefault="00984554">
      <w:pPr>
        <w:rPr>
          <w:bCs/>
        </w:rPr>
      </w:pPr>
      <w:r>
        <w:rPr>
          <w:b/>
        </w:rPr>
        <w:t xml:space="preserve">Figure </w:t>
      </w:r>
      <w:r w:rsidR="00214D7F">
        <w:rPr>
          <w:b/>
        </w:rPr>
        <w:t>6</w:t>
      </w:r>
      <w:r>
        <w:rPr>
          <w:b/>
        </w:rPr>
        <w:t xml:space="preserve">. </w:t>
      </w:r>
      <w:r w:rsidR="00900997">
        <w:rPr>
          <w:bCs/>
        </w:rPr>
        <w:t>Predicted q</w:t>
      </w:r>
      <w:r>
        <w:rPr>
          <w:bCs/>
        </w:rPr>
        <w:t>uasi-extinction probability</w:t>
      </w:r>
      <w:r w:rsidR="00900997">
        <w:rPr>
          <w:bCs/>
        </w:rPr>
        <w:t xml:space="preserve"> for the PR boa</w:t>
      </w:r>
      <w:r>
        <w:rPr>
          <w:bCs/>
        </w:rPr>
        <w:t xml:space="preserve"> under four scenarios of future urbanization, evaluat</w:t>
      </w:r>
      <w:r w:rsidR="00900997">
        <w:rPr>
          <w:bCs/>
        </w:rPr>
        <w:t>ed</w:t>
      </w:r>
      <w:r>
        <w:rPr>
          <w:bCs/>
        </w:rPr>
        <w:t xml:space="preserve"> at four different quasi-extinction thresholds (50, 500, 1000, and 5000). </w:t>
      </w:r>
    </w:p>
    <w:p w14:paraId="257DE078" w14:textId="77777777" w:rsidR="00984554" w:rsidRDefault="00984554">
      <w:pPr>
        <w:rPr>
          <w:b/>
        </w:rPr>
      </w:pPr>
    </w:p>
    <w:p w14:paraId="59928031" w14:textId="3C03872C" w:rsidR="00900997" w:rsidRDefault="008D299E">
      <w:pPr>
        <w:rPr>
          <w:bCs/>
        </w:rPr>
      </w:pPr>
      <w:r>
        <w:rPr>
          <w:b/>
        </w:rPr>
        <w:t>Discussion</w:t>
      </w:r>
    </w:p>
    <w:p w14:paraId="6E657434" w14:textId="77777777" w:rsidR="008D299E" w:rsidRPr="008D299E" w:rsidRDefault="008D299E">
      <w:pPr>
        <w:rPr>
          <w:bCs/>
        </w:rPr>
      </w:pPr>
      <w:bookmarkStart w:id="0" w:name="_GoBack"/>
      <w:bookmarkEnd w:id="0"/>
    </w:p>
    <w:p w14:paraId="3D622E57" w14:textId="77777777" w:rsidR="008D299E" w:rsidRDefault="008D299E">
      <w:pPr>
        <w:rPr>
          <w:b/>
        </w:rPr>
      </w:pPr>
    </w:p>
    <w:p w14:paraId="03040916" w14:textId="0B6C6CB1" w:rsidR="002A06B5" w:rsidRDefault="002A06B5" w:rsidP="005C00B2">
      <w:pPr>
        <w:spacing w:after="0" w:line="240" w:lineRule="auto"/>
      </w:pPr>
      <w:r>
        <w:rPr>
          <w:b/>
        </w:rPr>
        <w:t>Literature Cited</w:t>
      </w:r>
    </w:p>
    <w:p w14:paraId="58E60B5A" w14:textId="0C4E6D4A" w:rsidR="002A06B5" w:rsidRDefault="002A06B5" w:rsidP="005C00B2">
      <w:pPr>
        <w:spacing w:after="0" w:line="240" w:lineRule="auto"/>
      </w:pPr>
    </w:p>
    <w:p w14:paraId="2F649513" w14:textId="65335722" w:rsidR="00B446DE" w:rsidRPr="00B446DE" w:rsidRDefault="002A06B5" w:rsidP="00B446DE">
      <w:pPr>
        <w:widowControl w:val="0"/>
        <w:autoSpaceDE w:val="0"/>
        <w:autoSpaceDN w:val="0"/>
        <w:adjustRightInd w:val="0"/>
        <w:spacing w:after="0"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B446DE" w:rsidRPr="00B446DE">
        <w:rPr>
          <w:rFonts w:ascii="Calibri" w:hAnsi="Calibri" w:cs="Calibri"/>
          <w:noProof/>
          <w:szCs w:val="24"/>
        </w:rPr>
        <w:t>Burgman, M. A. 2005. Risks and Decisions for Conservation and Environmental Management. Cambridge University Press, Cambridge, UK.</w:t>
      </w:r>
    </w:p>
    <w:p w14:paraId="40B7BBEB"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63B0F1D2"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Caswell, H. 2001. Matrix population models: construction, analysis, and interpretation. 2nd edition. Sinauer Associates, Inc., Sunderland, MA, USA.</w:t>
      </w:r>
    </w:p>
    <w:p w14:paraId="163A021F"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 xml:space="preserve">Gilpin, M. E., and M. E. Soulé. 1986. Minimum viable populations: processes of species extinctions. Pages 19–34 </w:t>
      </w:r>
      <w:r w:rsidRPr="00B446DE">
        <w:rPr>
          <w:rFonts w:ascii="Calibri" w:hAnsi="Calibri" w:cs="Calibri"/>
          <w:i/>
          <w:iCs/>
          <w:noProof/>
          <w:szCs w:val="24"/>
        </w:rPr>
        <w:t>in</w:t>
      </w:r>
      <w:r w:rsidRPr="00B446DE">
        <w:rPr>
          <w:rFonts w:ascii="Calibri" w:hAnsi="Calibri" w:cs="Calibri"/>
          <w:noProof/>
          <w:szCs w:val="24"/>
        </w:rPr>
        <w:t xml:space="preserve"> M. E. Soulé, editor. Conservation Biology: the Science of Scarcity and Diversity. Sinauer Associates, Inc., Sunderland, MA, USA.</w:t>
      </w:r>
    </w:p>
    <w:p w14:paraId="4A702A44"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Gould, W. A., C. Alarcon, B. Fevold, M. E. Jimenez, S. Martinuzzi, G. Potts, M. Quinones, M. Solórzano, and E. Ventosa. 2008. The Puerto Rico Gap Analysis Project Volume 1: land cover, vertebrate species distributions, and land stewardship.</w:t>
      </w:r>
    </w:p>
    <w:p w14:paraId="4C1245B9"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Huff, T. A. 1978. Breeding the Puerto Rican boa at the Reptile Breeding Foundation. International Zoo Yearbook 16:81–82.</w:t>
      </w:r>
    </w:p>
    <w:p w14:paraId="7409ADEF"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 xml:space="preserve">Martinuzzi, S., W. A. Gould, and O. M. Ramos González. 2007. Land development, land use, and urban </w:t>
      </w:r>
      <w:r w:rsidRPr="00B446DE">
        <w:rPr>
          <w:rFonts w:ascii="Calibri" w:hAnsi="Calibri" w:cs="Calibri"/>
          <w:noProof/>
          <w:szCs w:val="24"/>
        </w:rPr>
        <w:lastRenderedPageBreak/>
        <w:t>sprawl in Puerto Rico integrating remote sensing and population census data. Landscape and Urban Planning 79:288–297.</w:t>
      </w:r>
    </w:p>
    <w:p w14:paraId="3262A0F6"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0CC5D004"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Morris, W. F., and D. F. Doak. 2002. Quantitative Conservation Biology. Sinauer Associates, Inc., Sunderland, MA, USA.</w:t>
      </w:r>
    </w:p>
    <w:p w14:paraId="1BC9EA58"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Mulero-Oliveras, E. S. 2019. Population and habitat utilization of the Puerto Rican boa (Chilabothrus inornatus) in an urban fragmented habitat. University of Puerto Rico.</w:t>
      </w:r>
    </w:p>
    <w:p w14:paraId="2C2FF0FC"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Puente Rolon, A. R. 2012. Reproductive ecology, fitness, and management of the Puerto Rican Boa (Epicrates inornatus, Boidae). University of Puerto Rico.</w:t>
      </w:r>
    </w:p>
    <w:p w14:paraId="463CC42B"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R Core Team. 2016. R: A language and environment for statistical computing. R Foundation for Statistical Computing, Vienna, Austria.</w:t>
      </w:r>
    </w:p>
    <w:p w14:paraId="243E908C"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Stubben, C., and B. Milligan. 2007. Estimating and Analyzing Demographic Models Using the popbio package in R. Journal of Statistical Software 22.</w:t>
      </w:r>
    </w:p>
    <w:p w14:paraId="0F3C060E"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rPr>
      </w:pPr>
      <w:r w:rsidRPr="00B446DE">
        <w:rPr>
          <w:rFonts w:ascii="Calibri" w:hAnsi="Calibri" w:cs="Calibri"/>
          <w:noProof/>
          <w:szCs w:val="24"/>
        </w:rPr>
        <w:t xml:space="preserve">Tolson, P. J. 1992. The Reproductive Biology of the Neotropical Boid Genus Epicrates (Serpentes:Boidae). Page </w:t>
      </w:r>
      <w:r w:rsidRPr="00B446DE">
        <w:rPr>
          <w:rFonts w:ascii="Calibri" w:hAnsi="Calibri" w:cs="Calibri"/>
          <w:i/>
          <w:iCs/>
          <w:noProof/>
          <w:szCs w:val="24"/>
        </w:rPr>
        <w:t>in</w:t>
      </w:r>
      <w:r w:rsidRPr="00B446DE">
        <w:rPr>
          <w:rFonts w:ascii="Calibri" w:hAnsi="Calibri" w:cs="Calibri"/>
          <w:noProof/>
          <w:szCs w:val="24"/>
        </w:rPr>
        <w:t xml:space="preserve"> W. C. Hamlett, editor. Reproductive Biology of South American Vertebrates. Springer, New York, NY.</w:t>
      </w:r>
    </w:p>
    <w:p w14:paraId="37C37172" w14:textId="61924CAB" w:rsidR="002A06B5" w:rsidRPr="002A06B5" w:rsidRDefault="002A06B5" w:rsidP="005C00B2">
      <w:pPr>
        <w:spacing w:after="0" w:line="240" w:lineRule="auto"/>
      </w:pPr>
      <w:r>
        <w:fldChar w:fldCharType="end"/>
      </w:r>
    </w:p>
    <w:p w14:paraId="76710516" w14:textId="68DD0178" w:rsidR="00CB2972" w:rsidRDefault="00CB2972" w:rsidP="005C00B2">
      <w:pPr>
        <w:spacing w:after="0" w:line="240" w:lineRule="auto"/>
      </w:pPr>
    </w:p>
    <w:p w14:paraId="0DE17070" w14:textId="77777777" w:rsidR="00E6605B" w:rsidRDefault="001A7715">
      <w:pPr>
        <w:sectPr w:rsidR="00E6605B">
          <w:footerReference w:type="default" r:id="rId14"/>
          <w:pgSz w:w="12240" w:h="15840"/>
          <w:pgMar w:top="1440" w:right="1440" w:bottom="1440" w:left="1440" w:header="720" w:footer="720" w:gutter="0"/>
          <w:cols w:space="720"/>
          <w:docGrid w:linePitch="360"/>
        </w:sectPr>
      </w:pPr>
      <w:r>
        <w:br w:type="page"/>
      </w:r>
    </w:p>
    <w:p w14:paraId="0D8C5038" w14:textId="7A53813D" w:rsidR="00E6605B" w:rsidRDefault="00E6605B" w:rsidP="001A7715">
      <w:pPr>
        <w:spacing w:after="0" w:line="240" w:lineRule="auto"/>
        <w:rPr>
          <w:u w:val="single"/>
        </w:rPr>
      </w:pPr>
      <w:r>
        <w:rPr>
          <w:u w:val="single"/>
        </w:rPr>
        <w:lastRenderedPageBreak/>
        <w:t>Appendix A: Simulation model diagram</w:t>
      </w:r>
    </w:p>
    <w:p w14:paraId="7091F84B" w14:textId="2AEF4E42" w:rsidR="00E6605B" w:rsidRDefault="00E6605B" w:rsidP="001A7715">
      <w:pPr>
        <w:spacing w:after="0" w:line="240" w:lineRule="auto"/>
        <w:rPr>
          <w:u w:val="single"/>
        </w:rPr>
      </w:pPr>
    </w:p>
    <w:p w14:paraId="3999FAF1" w14:textId="77777777" w:rsidR="00E6605B" w:rsidRDefault="00E6605B" w:rsidP="001A7715">
      <w:pPr>
        <w:spacing w:after="0" w:line="240" w:lineRule="auto"/>
      </w:pPr>
    </w:p>
    <w:p w14:paraId="4976102E" w14:textId="5D3423F8" w:rsidR="00E6605B" w:rsidRDefault="00E6605B" w:rsidP="00E6605B">
      <w:pPr>
        <w:spacing w:after="0" w:line="240" w:lineRule="auto"/>
        <w:jc w:val="center"/>
        <w:rPr>
          <w:u w:val="single"/>
        </w:rPr>
      </w:pPr>
      <w:r>
        <w:rPr>
          <w:noProof/>
          <w:u w:val="single"/>
        </w:rPr>
        <w:drawing>
          <wp:inline distT="0" distB="0" distL="0" distR="0" wp14:anchorId="3454C3B3" wp14:editId="73ADB17A">
            <wp:extent cx="8229600" cy="4600575"/>
            <wp:effectExtent l="0" t="0" r="0"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mo-rates-example.png"/>
                    <pic:cNvPicPr/>
                  </pic:nvPicPr>
                  <pic:blipFill>
                    <a:blip r:embed="rId15">
                      <a:extLst>
                        <a:ext uri="{28A0092B-C50C-407E-A947-70E740481C1C}">
                          <a14:useLocalDpi xmlns:a14="http://schemas.microsoft.com/office/drawing/2010/main" val="0"/>
                        </a:ext>
                      </a:extLst>
                    </a:blip>
                    <a:stretch>
                      <a:fillRect/>
                    </a:stretch>
                  </pic:blipFill>
                  <pic:spPr>
                    <a:xfrm>
                      <a:off x="0" y="0"/>
                      <a:ext cx="8229600" cy="4600575"/>
                    </a:xfrm>
                    <a:prstGeom prst="rect">
                      <a:avLst/>
                    </a:prstGeom>
                    <a:ln>
                      <a:noFill/>
                    </a:ln>
                  </pic:spPr>
                </pic:pic>
              </a:graphicData>
            </a:graphic>
          </wp:inline>
        </w:drawing>
      </w:r>
    </w:p>
    <w:p w14:paraId="29408F29" w14:textId="77777777" w:rsidR="00E6605B" w:rsidRDefault="00E6605B" w:rsidP="001A7715">
      <w:pPr>
        <w:spacing w:after="0" w:line="240" w:lineRule="auto"/>
        <w:rPr>
          <w:u w:val="single"/>
        </w:rPr>
      </w:pPr>
    </w:p>
    <w:p w14:paraId="7ECA84B3" w14:textId="04CFE294" w:rsidR="00E6605B" w:rsidRPr="00E6605B" w:rsidRDefault="00E6605B" w:rsidP="001A7715">
      <w:pPr>
        <w:spacing w:after="0" w:line="240" w:lineRule="auto"/>
        <w:sectPr w:rsidR="00E6605B" w:rsidRPr="00E6605B" w:rsidSect="00E6605B">
          <w:pgSz w:w="15840" w:h="12240" w:orient="landscape"/>
          <w:pgMar w:top="1440" w:right="1440" w:bottom="1440" w:left="1440" w:header="720" w:footer="720" w:gutter="0"/>
          <w:cols w:space="720"/>
          <w:docGrid w:linePitch="360"/>
        </w:sectPr>
      </w:pPr>
      <w:r>
        <w:t>Figure A1. Diagram depicting how annual demographic rates were simulated incorporating both parametric uncertainty in the true overall values and annual variation, using survival of the smallest age class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t>) as an example. This process was used to simulate all demographic rates.</w:t>
      </w:r>
    </w:p>
    <w:p w14:paraId="09332CB3" w14:textId="2CC0E2D3" w:rsidR="001A7715" w:rsidRPr="00E6605B" w:rsidRDefault="001A7715" w:rsidP="001A7715">
      <w:pPr>
        <w:spacing w:after="0" w:line="240" w:lineRule="auto"/>
        <w:rPr>
          <w:u w:val="single"/>
        </w:rPr>
      </w:pPr>
      <w:r w:rsidRPr="004636E5">
        <w:rPr>
          <w:u w:val="single"/>
        </w:rPr>
        <w:lastRenderedPageBreak/>
        <w:t xml:space="preserve">Appendix </w:t>
      </w:r>
      <w:r w:rsidR="00E6605B">
        <w:rPr>
          <w:u w:val="single"/>
        </w:rPr>
        <w:t>B</w:t>
      </w:r>
      <w:r w:rsidRPr="004636E5">
        <w:rPr>
          <w:u w:val="single"/>
        </w:rPr>
        <w:t xml:space="preserve">: </w:t>
      </w:r>
      <w:r w:rsidRPr="004636E5">
        <w:rPr>
          <w:rFonts w:eastAsiaTheme="minorEastAsia"/>
          <w:iCs/>
          <w:u w:val="single"/>
        </w:rPr>
        <w:t>Sensitivity Analysis</w:t>
      </w:r>
    </w:p>
    <w:p w14:paraId="6D329D25" w14:textId="0C710FFB" w:rsidR="001A7715" w:rsidRDefault="001A7715" w:rsidP="001A7715">
      <w:pPr>
        <w:spacing w:after="0" w:line="240" w:lineRule="auto"/>
        <w:rPr>
          <w:rFonts w:eastAsiaTheme="minorEastAsia"/>
        </w:rPr>
      </w:pPr>
    </w:p>
    <w:p w14:paraId="687ECA8D" w14:textId="06730EF9" w:rsidR="00397C61" w:rsidRPr="00397C61" w:rsidRDefault="00397C61" w:rsidP="001A7715">
      <w:pPr>
        <w:spacing w:after="0" w:line="240" w:lineRule="auto"/>
        <w:rPr>
          <w:rFonts w:eastAsiaTheme="minorEastAsia"/>
          <w:i/>
          <w:iCs/>
        </w:rPr>
      </w:pPr>
      <w:r>
        <w:rPr>
          <w:rFonts w:eastAsiaTheme="minorEastAsia"/>
          <w:i/>
          <w:iCs/>
        </w:rPr>
        <w:t>Demographic Rates</w:t>
      </w:r>
    </w:p>
    <w:p w14:paraId="41A817CF" w14:textId="2110BD72" w:rsidR="001A7715" w:rsidRDefault="001A7715" w:rsidP="001A7715">
      <w:pPr>
        <w:spacing w:after="0" w:line="240" w:lineRule="auto"/>
        <w:rPr>
          <w:rFonts w:eastAsiaTheme="minorEastAsia"/>
        </w:rPr>
      </w:pPr>
      <w:r>
        <w:rPr>
          <w:rFonts w:eastAsiaTheme="minorEastAsia"/>
        </w:rPr>
        <w:t>Most of the demographic rates used in this model have not been empirically estimated for this population, therefore we relied on approximation by the expert team. To evaluate the sensitivity of model outputs to these input values, we ran simulations in which we randomly drew values for survival and fecundity from a wide range of possible values</w:t>
      </w:r>
      <w:r w:rsidR="002E34DB">
        <w:rPr>
          <w:rFonts w:eastAsiaTheme="minorEastAsia"/>
        </w:rPr>
        <w:t xml:space="preserve">. For survival rates, we drew values between 0.01 and 0.99, and for fecundity we drew values between 1 and 20. For each demographic rate we randomly drew 1000 values, holding all other rates constant at the average values in Table 1. We randomly drew 100 values, and simulated 1000 replications of the population projection at each value. </w:t>
      </w:r>
      <w:r w:rsidR="00802B52">
        <w:rPr>
          <w:rFonts w:eastAsiaTheme="minorEastAsia"/>
        </w:rPr>
        <w:t xml:space="preserve">For these model sensitivity tests, we were interested in evaluating the sensitivity of model outcomes to changes in demographic rates, and therefore we kept the initial population size and carrying capacity fixed at </w:t>
      </w:r>
      <w:r>
        <w:rPr>
          <w:rFonts w:eastAsiaTheme="minorEastAsia"/>
        </w:rPr>
        <w:t>215,000 and 1,000,000</w:t>
      </w:r>
      <w:r w:rsidR="00802B52">
        <w:rPr>
          <w:rFonts w:eastAsiaTheme="minorEastAsia"/>
        </w:rPr>
        <w:t>, respectively,</w:t>
      </w:r>
      <w:r>
        <w:rPr>
          <w:rFonts w:eastAsiaTheme="minorEastAsia"/>
        </w:rPr>
        <w:t xml:space="preserve"> for all projections. For each projection we </w:t>
      </w:r>
      <w:r w:rsidR="002E34DB">
        <w:rPr>
          <w:rFonts w:eastAsiaTheme="minorEastAsia"/>
        </w:rPr>
        <w:t xml:space="preserve">determined whether </w:t>
      </w:r>
      <w:proofErr w:type="spellStart"/>
      <w:r w:rsidR="002E34DB">
        <w:rPr>
          <w:rFonts w:eastAsiaTheme="minorEastAsia"/>
        </w:rPr>
        <w:t>te</w:t>
      </w:r>
      <w:proofErr w:type="spellEnd"/>
      <w:r w:rsidR="002E34DB">
        <w:rPr>
          <w:rFonts w:eastAsiaTheme="minorEastAsia"/>
        </w:rPr>
        <w:t xml:space="preserve"> population remained stable or grew by determining whether the population size in the final year was greater than or equal to the initial population size. </w:t>
      </w:r>
      <w:r>
        <w:rPr>
          <w:rFonts w:eastAsiaTheme="minorEastAsia"/>
        </w:rPr>
        <w:t xml:space="preserve">We </w:t>
      </w:r>
      <w:r w:rsidR="002E34DB">
        <w:rPr>
          <w:rFonts w:eastAsiaTheme="minorEastAsia"/>
        </w:rPr>
        <w:t xml:space="preserve">also </w:t>
      </w:r>
      <w:r>
        <w:rPr>
          <w:rFonts w:eastAsiaTheme="minorEastAsia"/>
        </w:rPr>
        <w:t xml:space="preserve">calculated the probability of quasi-extinction </w:t>
      </w:r>
      <w:r w:rsidR="00802B52">
        <w:rPr>
          <w:rFonts w:eastAsiaTheme="minorEastAsia"/>
        </w:rPr>
        <w:t xml:space="preserve">at </w:t>
      </w:r>
      <w:r w:rsidR="00B12730">
        <w:rPr>
          <w:rFonts w:eastAsiaTheme="minorEastAsia"/>
        </w:rPr>
        <w:t>the most conservative threshold (5000 individuals</w:t>
      </w:r>
      <w:r w:rsidR="00802B52">
        <w:rPr>
          <w:rFonts w:eastAsiaTheme="minorEastAsia"/>
        </w:rPr>
        <w:t xml:space="preserve">) </w:t>
      </w:r>
      <w:r>
        <w:rPr>
          <w:rFonts w:eastAsiaTheme="minorEastAsia"/>
        </w:rPr>
        <w:t xml:space="preserve">by finding the proportion of replicates in which </w:t>
      </w:r>
      <w:r w:rsidR="00802B52">
        <w:rPr>
          <w:rFonts w:eastAsiaTheme="minorEastAsia"/>
        </w:rPr>
        <w:t xml:space="preserve">the population size fell below </w:t>
      </w:r>
      <w:r w:rsidR="00B12730">
        <w:rPr>
          <w:rFonts w:eastAsiaTheme="minorEastAsia"/>
        </w:rPr>
        <w:t>5000</w:t>
      </w:r>
      <w:r w:rsidR="00802B52">
        <w:rPr>
          <w:rFonts w:eastAsiaTheme="minorEastAsia"/>
        </w:rPr>
        <w:t>.</w:t>
      </w:r>
    </w:p>
    <w:p w14:paraId="4C6DE43E" w14:textId="77777777" w:rsidR="002E34DB" w:rsidRDefault="002E34DB" w:rsidP="001A7715">
      <w:pPr>
        <w:spacing w:after="0" w:line="240" w:lineRule="auto"/>
        <w:rPr>
          <w:rFonts w:eastAsiaTheme="minorEastAsia"/>
        </w:rPr>
      </w:pPr>
    </w:p>
    <w:p w14:paraId="68A62727" w14:textId="77777777" w:rsidR="001A7715" w:rsidRDefault="001A7715" w:rsidP="001A7715">
      <w:pPr>
        <w:spacing w:after="0" w:line="240" w:lineRule="auto"/>
        <w:rPr>
          <w:rFonts w:eastAsiaTheme="minorEastAsia"/>
          <w:noProof/>
        </w:rPr>
      </w:pPr>
      <w:r>
        <w:rPr>
          <w:rFonts w:eastAsiaTheme="minorEastAsia"/>
        </w:rPr>
        <w:t xml:space="preserve"> </w:t>
      </w:r>
    </w:p>
    <w:p w14:paraId="43F2EFBE" w14:textId="77777777" w:rsidR="002E34DB" w:rsidRDefault="002E34DB" w:rsidP="001A7715">
      <w:pPr>
        <w:rPr>
          <w:rFonts w:eastAsiaTheme="minorEastAsia"/>
          <w:noProof/>
        </w:rPr>
      </w:pPr>
      <w:r>
        <w:rPr>
          <w:rFonts w:eastAsiaTheme="minorEastAsia"/>
          <w:noProof/>
        </w:rPr>
        <w:drawing>
          <wp:inline distT="0" distB="0" distL="0" distR="0" wp14:anchorId="2C23578F" wp14:editId="33D75596">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_n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93903E5" w14:textId="3A96ED56" w:rsidR="001A7715" w:rsidRPr="002E34DB" w:rsidRDefault="002E34DB" w:rsidP="001A7715">
      <w:pPr>
        <w:rPr>
          <w:rFonts w:eastAsiaTheme="minorEastAsia"/>
          <w:b/>
          <w:bCs/>
          <w:noProof/>
        </w:rPr>
      </w:pPr>
      <w:r w:rsidRPr="002E34DB">
        <w:rPr>
          <w:rFonts w:eastAsiaTheme="minorEastAsia"/>
          <w:b/>
          <w:bCs/>
          <w:noProof/>
        </w:rPr>
        <w:t xml:space="preserve">Figure </w:t>
      </w:r>
      <w:r w:rsidR="00B87280">
        <w:rPr>
          <w:rFonts w:eastAsiaTheme="minorEastAsia"/>
          <w:b/>
          <w:bCs/>
          <w:noProof/>
        </w:rPr>
        <w:t>B</w:t>
      </w:r>
      <w:r w:rsidRPr="002E34DB">
        <w:rPr>
          <w:rFonts w:eastAsiaTheme="minorEastAsia"/>
          <w:b/>
          <w:bCs/>
          <w:noProof/>
        </w:rPr>
        <w:t>1.</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for each stage (adult – orange, subadult – blue, juvenile – green, young – purple). </w:t>
      </w:r>
      <w:r w:rsidRPr="002E34DB">
        <w:rPr>
          <w:rFonts w:eastAsiaTheme="minorEastAsia"/>
          <w:b/>
          <w:bCs/>
          <w:noProof/>
        </w:rPr>
        <w:t xml:space="preserve"> </w:t>
      </w:r>
      <w:r w:rsidR="001A7715" w:rsidRPr="002E34DB">
        <w:rPr>
          <w:rFonts w:eastAsiaTheme="minorEastAsia"/>
          <w:b/>
          <w:bCs/>
          <w:noProof/>
        </w:rPr>
        <w:br w:type="page"/>
      </w:r>
    </w:p>
    <w:p w14:paraId="27922954" w14:textId="642477DC" w:rsidR="001A7715" w:rsidRDefault="002E34DB" w:rsidP="001A7715">
      <w:pPr>
        <w:spacing w:after="0" w:line="240" w:lineRule="auto"/>
        <w:rPr>
          <w:rFonts w:eastAsiaTheme="minorEastAsia"/>
        </w:rPr>
      </w:pPr>
      <w:r>
        <w:rPr>
          <w:rFonts w:eastAsiaTheme="minorEastAsia"/>
          <w:noProof/>
        </w:rPr>
        <w:lastRenderedPageBreak/>
        <w:drawing>
          <wp:inline distT="0" distB="0" distL="0" distR="0" wp14:anchorId="7D5B71D9" wp14:editId="580C1F95">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_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6171FDE" w14:textId="06F089CB" w:rsidR="002E34DB" w:rsidRDefault="002E34DB" w:rsidP="001A7715">
      <w:pPr>
        <w:spacing w:after="0" w:line="240" w:lineRule="auto"/>
        <w:rPr>
          <w:rFonts w:eastAsiaTheme="minorEastAsia"/>
        </w:rPr>
      </w:pPr>
      <w:r w:rsidRPr="002E34DB">
        <w:rPr>
          <w:rFonts w:eastAsiaTheme="minorEastAsia"/>
          <w:b/>
          <w:bCs/>
        </w:rPr>
        <w:t xml:space="preserve">Figure </w:t>
      </w:r>
      <w:r w:rsidR="00B87280">
        <w:rPr>
          <w:rFonts w:eastAsiaTheme="minorEastAsia"/>
          <w:b/>
          <w:bCs/>
        </w:rPr>
        <w:t>B</w:t>
      </w:r>
      <w:r w:rsidRPr="002E34DB">
        <w:rPr>
          <w:rFonts w:eastAsiaTheme="minorEastAsia"/>
          <w:b/>
          <w:bCs/>
        </w:rPr>
        <w:t>2.</w:t>
      </w:r>
      <w:r>
        <w:rPr>
          <w:rFonts w:eastAsiaTheme="minorEastAsia"/>
        </w:rPr>
        <w:t xml:space="preserve"> Simulated probabilities of quasi-extinction and population stability/growth over the range of possible fecundity values. </w:t>
      </w:r>
    </w:p>
    <w:p w14:paraId="2EFA031A" w14:textId="1E3CF81A" w:rsidR="002E34DB" w:rsidRDefault="002E34DB" w:rsidP="001A7715">
      <w:pPr>
        <w:spacing w:after="0" w:line="240" w:lineRule="auto"/>
        <w:rPr>
          <w:rFonts w:eastAsiaTheme="minorEastAsia"/>
        </w:rPr>
      </w:pPr>
    </w:p>
    <w:p w14:paraId="2406AE00" w14:textId="2788947D" w:rsidR="001832A5" w:rsidRDefault="001832A5" w:rsidP="001A7715">
      <w:pPr>
        <w:spacing w:after="0" w:line="240" w:lineRule="auto"/>
        <w:rPr>
          <w:rFonts w:eastAsiaTheme="minorEastAsia"/>
        </w:rPr>
      </w:pPr>
      <w:r>
        <w:rPr>
          <w:rFonts w:eastAsiaTheme="minorEastAsia"/>
        </w:rPr>
        <w:t xml:space="preserve">Changes in adult survival probability had the strongest influence on both the probability of quasi-extinction and of population growth (Figure A1). Quasi-extinction probability was ~0 for all iterations in which adult survival was &gt; 0.75. This analysis also indicated some thresholds at which would expect population dynamics to change. For example, the probability of population growth declined drastically as fecundity fell below ~5 young per adult per year (Figure A2). </w:t>
      </w:r>
      <w:r w:rsidR="00B956C3">
        <w:rPr>
          <w:rFonts w:eastAsiaTheme="minorEastAsia"/>
        </w:rPr>
        <w:t xml:space="preserve">We note that this sensitivity analysis is conducted assuming that only one demographic rate changes independent of the others, while </w:t>
      </w:r>
      <w:proofErr w:type="gramStart"/>
      <w:r w:rsidR="00B956C3">
        <w:rPr>
          <w:rFonts w:eastAsiaTheme="minorEastAsia"/>
        </w:rPr>
        <w:t>in reality threats</w:t>
      </w:r>
      <w:proofErr w:type="gramEnd"/>
      <w:r w:rsidR="00B956C3">
        <w:rPr>
          <w:rFonts w:eastAsiaTheme="minorEastAsia"/>
        </w:rPr>
        <w:t xml:space="preserve"> likely influence more than one rate simultaneously.</w:t>
      </w:r>
    </w:p>
    <w:p w14:paraId="199D54E3" w14:textId="61625C5A" w:rsidR="00144BC9" w:rsidRDefault="00144BC9" w:rsidP="005C00B2">
      <w:pPr>
        <w:spacing w:after="0" w:line="240" w:lineRule="auto"/>
      </w:pPr>
    </w:p>
    <w:p w14:paraId="68393F3A" w14:textId="0712227A" w:rsidR="000B166C" w:rsidRDefault="000B166C" w:rsidP="005C00B2">
      <w:pPr>
        <w:spacing w:after="0" w:line="240" w:lineRule="auto"/>
      </w:pPr>
    </w:p>
    <w:p w14:paraId="5DC168C0" w14:textId="399548B0" w:rsidR="00397C61" w:rsidRDefault="00397C61" w:rsidP="005C00B2">
      <w:pPr>
        <w:spacing w:after="0" w:line="240" w:lineRule="auto"/>
      </w:pPr>
      <w:r>
        <w:rPr>
          <w:i/>
          <w:iCs/>
        </w:rPr>
        <w:t>Maximum Density</w:t>
      </w:r>
    </w:p>
    <w:p w14:paraId="350E842E" w14:textId="69131EB4" w:rsidR="00397C61" w:rsidRDefault="00E570C0" w:rsidP="00397C61">
      <w:pPr>
        <w:rPr>
          <w:rFonts w:eastAsiaTheme="minorEastAsia"/>
        </w:rPr>
      </w:pPr>
      <w:r>
        <w:t>Initially</w:t>
      </w:r>
      <w:r w:rsidR="00397C61">
        <w:t xml:space="preserve"> we defined the range of possible current population sizes by assuming that boa density across all suitable habitat ranged from 0.1-1 boas/ha. We defined the range of possible carrying capacities by assuming that the maximum density of boas we could find across all suitable habitat ranged from 1-6 boas/ha. Based on our habitat analysis, we estimated </w:t>
      </w:r>
      <w:r w:rsidR="00397C61">
        <w:rPr>
          <w:rFonts w:eastAsiaTheme="minorEastAsia"/>
        </w:rPr>
        <w:t xml:space="preserve">379,029 ha of suitable habitat. This corresponds to a maximum current population size of 379,029 boas, and a maximum possible carrying capacity of </w:t>
      </w:r>
      <w:r w:rsidR="00397C61" w:rsidRPr="002B0335">
        <w:rPr>
          <w:rFonts w:eastAsiaTheme="minorEastAsia"/>
        </w:rPr>
        <w:t>2,274,174</w:t>
      </w:r>
      <w:r w:rsidR="00397C61">
        <w:rPr>
          <w:rFonts w:eastAsiaTheme="minorEastAsia"/>
        </w:rPr>
        <w:t xml:space="preserve"> boas. There was some concern that these estimates might be too large and relying too heavily on information from the northern part of the range where habitat quality and boa density are known to be greater, and a more conservative approach would be to assume a lower upper bound for both current population size and carrying capacity. Here I compare four different iterations of the simulation model that reduce either the upper bound for current population size (from 1 boa/ha to 0.5 boa/ha), the upper bound for carrying capacity (from 6 boas/ha to 3 boas/ha), both, </w:t>
      </w:r>
      <w:proofErr w:type="gramStart"/>
      <w:r w:rsidR="00397C61">
        <w:rPr>
          <w:rFonts w:eastAsiaTheme="minorEastAsia"/>
        </w:rPr>
        <w:t>or</w:t>
      </w:r>
      <w:proofErr w:type="gramEnd"/>
      <w:r w:rsidR="00397C61">
        <w:rPr>
          <w:rFonts w:eastAsiaTheme="minorEastAsia"/>
        </w:rPr>
        <w:t xml:space="preserve"> neither.</w:t>
      </w:r>
    </w:p>
    <w:p w14:paraId="1D8DC1A0" w14:textId="6249CF9F" w:rsidR="001832A5" w:rsidRDefault="001832A5" w:rsidP="00397C61">
      <w:pPr>
        <w:rPr>
          <w:rFonts w:eastAsiaTheme="minorEastAsia"/>
        </w:rPr>
      </w:pPr>
    </w:p>
    <w:p w14:paraId="44AEDEF4" w14:textId="77777777" w:rsidR="001832A5" w:rsidRDefault="001832A5" w:rsidP="00397C61">
      <w:pPr>
        <w:rPr>
          <w:rFonts w:eastAsiaTheme="minorEastAsia"/>
        </w:rPr>
      </w:pPr>
    </w:p>
    <w:p w14:paraId="08F1A2AB" w14:textId="5A2BD51E" w:rsidR="00397C61" w:rsidRPr="00397C61" w:rsidRDefault="00397C61" w:rsidP="00397C61">
      <w:r>
        <w:rPr>
          <w:b/>
          <w:bCs/>
        </w:rPr>
        <w:t xml:space="preserve"> Table </w:t>
      </w:r>
      <w:r w:rsidR="00B87280">
        <w:rPr>
          <w:b/>
          <w:bCs/>
        </w:rPr>
        <w:t>B</w:t>
      </w:r>
      <w:r w:rsidR="001832A5">
        <w:rPr>
          <w:b/>
          <w:bCs/>
        </w:rPr>
        <w:t>1</w:t>
      </w:r>
      <w:r>
        <w:rPr>
          <w:b/>
          <w:bCs/>
        </w:rPr>
        <w:t xml:space="preserve">. </w:t>
      </w:r>
      <w:r>
        <w:t>Scenarios used to evaluate the effect of assuming a lower maximum density on model outputs.</w:t>
      </w:r>
    </w:p>
    <w:tbl>
      <w:tblPr>
        <w:tblStyle w:val="TableGrid"/>
        <w:tblW w:w="94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837"/>
        <w:gridCol w:w="1837"/>
        <w:gridCol w:w="1837"/>
        <w:gridCol w:w="1838"/>
      </w:tblGrid>
      <w:tr w:rsidR="00397C61" w:rsidRPr="00444DC5" w14:paraId="5E67E204" w14:textId="77777777" w:rsidTr="002B6313">
        <w:trPr>
          <w:jc w:val="center"/>
        </w:trPr>
        <w:tc>
          <w:tcPr>
            <w:tcW w:w="2115" w:type="dxa"/>
            <w:tcBorders>
              <w:top w:val="single" w:sz="4" w:space="0" w:color="auto"/>
              <w:bottom w:val="single" w:sz="4" w:space="0" w:color="auto"/>
            </w:tcBorders>
            <w:vAlign w:val="center"/>
          </w:tcPr>
          <w:p w14:paraId="38FA3850" w14:textId="77777777" w:rsidR="00397C61" w:rsidRPr="00444DC5" w:rsidRDefault="00397C61" w:rsidP="002B6313">
            <w:pPr>
              <w:jc w:val="center"/>
            </w:pPr>
            <w:r w:rsidRPr="00444DC5">
              <w:t>Scenario</w:t>
            </w:r>
          </w:p>
        </w:tc>
        <w:tc>
          <w:tcPr>
            <w:tcW w:w="1837" w:type="dxa"/>
            <w:tcBorders>
              <w:top w:val="single" w:sz="4" w:space="0" w:color="auto"/>
              <w:bottom w:val="single" w:sz="4" w:space="0" w:color="auto"/>
            </w:tcBorders>
            <w:vAlign w:val="center"/>
          </w:tcPr>
          <w:p w14:paraId="724F25C2" w14:textId="77777777" w:rsidR="00397C61" w:rsidRPr="00444DC5" w:rsidRDefault="00397C61" w:rsidP="002B6313">
            <w:pPr>
              <w:jc w:val="center"/>
            </w:pPr>
            <w:r w:rsidRPr="00444DC5">
              <w:t>Maximum density – current population size (boas/ha)</w:t>
            </w:r>
          </w:p>
        </w:tc>
        <w:tc>
          <w:tcPr>
            <w:tcW w:w="1837" w:type="dxa"/>
            <w:tcBorders>
              <w:top w:val="single" w:sz="4" w:space="0" w:color="auto"/>
              <w:bottom w:val="single" w:sz="4" w:space="0" w:color="auto"/>
            </w:tcBorders>
            <w:vAlign w:val="center"/>
          </w:tcPr>
          <w:p w14:paraId="6168755E" w14:textId="77777777" w:rsidR="00397C61" w:rsidRPr="00444DC5" w:rsidRDefault="00397C61" w:rsidP="002B6313">
            <w:pPr>
              <w:jc w:val="center"/>
            </w:pPr>
            <w:r w:rsidRPr="00444DC5">
              <w:t>Maximum current population size (boas)</w:t>
            </w:r>
          </w:p>
        </w:tc>
        <w:tc>
          <w:tcPr>
            <w:tcW w:w="1837" w:type="dxa"/>
            <w:tcBorders>
              <w:top w:val="single" w:sz="4" w:space="0" w:color="auto"/>
              <w:bottom w:val="single" w:sz="4" w:space="0" w:color="auto"/>
            </w:tcBorders>
            <w:vAlign w:val="center"/>
          </w:tcPr>
          <w:p w14:paraId="7F6B7495" w14:textId="77777777" w:rsidR="00397C61" w:rsidRPr="00444DC5" w:rsidRDefault="00397C61" w:rsidP="002B6313">
            <w:pPr>
              <w:jc w:val="center"/>
            </w:pPr>
            <w:r w:rsidRPr="00444DC5">
              <w:t>Maximum density – carry capacity</w:t>
            </w:r>
          </w:p>
          <w:p w14:paraId="58646560" w14:textId="77777777" w:rsidR="00397C61" w:rsidRPr="00444DC5" w:rsidRDefault="00397C61" w:rsidP="002B6313">
            <w:pPr>
              <w:jc w:val="center"/>
            </w:pPr>
            <w:r w:rsidRPr="00444DC5">
              <w:t>(boas/ha)</w:t>
            </w:r>
          </w:p>
        </w:tc>
        <w:tc>
          <w:tcPr>
            <w:tcW w:w="1838" w:type="dxa"/>
            <w:tcBorders>
              <w:top w:val="single" w:sz="4" w:space="0" w:color="auto"/>
              <w:bottom w:val="single" w:sz="4" w:space="0" w:color="auto"/>
            </w:tcBorders>
            <w:vAlign w:val="center"/>
          </w:tcPr>
          <w:p w14:paraId="1E91E76C" w14:textId="77777777" w:rsidR="00397C61" w:rsidRPr="00444DC5" w:rsidRDefault="00397C61" w:rsidP="002B6313">
            <w:pPr>
              <w:jc w:val="center"/>
            </w:pPr>
            <w:r w:rsidRPr="00444DC5">
              <w:t>Maximum carrying capacity (boas)</w:t>
            </w:r>
          </w:p>
        </w:tc>
      </w:tr>
      <w:tr w:rsidR="00397C61" w:rsidRPr="00444DC5" w14:paraId="6D9F68E0" w14:textId="77777777" w:rsidTr="002B6313">
        <w:trPr>
          <w:jc w:val="center"/>
        </w:trPr>
        <w:tc>
          <w:tcPr>
            <w:tcW w:w="2115" w:type="dxa"/>
            <w:tcBorders>
              <w:top w:val="single" w:sz="4" w:space="0" w:color="auto"/>
            </w:tcBorders>
            <w:vAlign w:val="center"/>
          </w:tcPr>
          <w:p w14:paraId="52568DBE" w14:textId="77777777" w:rsidR="00397C61" w:rsidRPr="00444DC5" w:rsidRDefault="00397C61" w:rsidP="002B6313">
            <w:pPr>
              <w:jc w:val="center"/>
            </w:pPr>
            <w:r w:rsidRPr="00444DC5">
              <w:t>Reduce both</w:t>
            </w:r>
          </w:p>
        </w:tc>
        <w:tc>
          <w:tcPr>
            <w:tcW w:w="1837" w:type="dxa"/>
            <w:tcBorders>
              <w:top w:val="single" w:sz="4" w:space="0" w:color="auto"/>
            </w:tcBorders>
            <w:vAlign w:val="center"/>
          </w:tcPr>
          <w:p w14:paraId="5D888724" w14:textId="77777777" w:rsidR="00397C61" w:rsidRPr="00444DC5" w:rsidRDefault="00397C61" w:rsidP="002B6313">
            <w:pPr>
              <w:jc w:val="center"/>
            </w:pPr>
            <w:r>
              <w:t>0.5</w:t>
            </w:r>
          </w:p>
        </w:tc>
        <w:tc>
          <w:tcPr>
            <w:tcW w:w="1837" w:type="dxa"/>
            <w:tcBorders>
              <w:top w:val="single" w:sz="4" w:space="0" w:color="auto"/>
            </w:tcBorders>
            <w:vAlign w:val="center"/>
          </w:tcPr>
          <w:p w14:paraId="59B5571A" w14:textId="77777777" w:rsidR="00397C61" w:rsidRPr="00444DC5" w:rsidRDefault="00397C61" w:rsidP="002B6313">
            <w:pPr>
              <w:jc w:val="center"/>
            </w:pPr>
            <w:r>
              <w:t>189,515</w:t>
            </w:r>
          </w:p>
        </w:tc>
        <w:tc>
          <w:tcPr>
            <w:tcW w:w="1837" w:type="dxa"/>
            <w:tcBorders>
              <w:top w:val="single" w:sz="4" w:space="0" w:color="auto"/>
            </w:tcBorders>
            <w:vAlign w:val="center"/>
          </w:tcPr>
          <w:p w14:paraId="1CDB7749" w14:textId="77777777" w:rsidR="00397C61" w:rsidRPr="00444DC5" w:rsidRDefault="00397C61" w:rsidP="002B6313">
            <w:pPr>
              <w:jc w:val="center"/>
            </w:pPr>
            <w:r>
              <w:t>3</w:t>
            </w:r>
          </w:p>
        </w:tc>
        <w:tc>
          <w:tcPr>
            <w:tcW w:w="1838" w:type="dxa"/>
            <w:tcBorders>
              <w:top w:val="single" w:sz="4" w:space="0" w:color="auto"/>
            </w:tcBorders>
            <w:vAlign w:val="center"/>
          </w:tcPr>
          <w:p w14:paraId="2A7BE225" w14:textId="77777777" w:rsidR="00397C61" w:rsidRPr="00444DC5" w:rsidRDefault="00397C61" w:rsidP="002B6313">
            <w:pPr>
              <w:jc w:val="center"/>
            </w:pPr>
            <w:r w:rsidRPr="005C075B">
              <w:t>1,137,087</w:t>
            </w:r>
          </w:p>
        </w:tc>
      </w:tr>
      <w:tr w:rsidR="00397C61" w:rsidRPr="00444DC5" w14:paraId="3D9D5F77" w14:textId="77777777" w:rsidTr="002B6313">
        <w:trPr>
          <w:jc w:val="center"/>
        </w:trPr>
        <w:tc>
          <w:tcPr>
            <w:tcW w:w="2115" w:type="dxa"/>
            <w:vAlign w:val="center"/>
          </w:tcPr>
          <w:p w14:paraId="17874580" w14:textId="77777777" w:rsidR="00397C61" w:rsidRPr="00444DC5" w:rsidRDefault="00397C61" w:rsidP="002B6313">
            <w:pPr>
              <w:jc w:val="center"/>
            </w:pPr>
            <w:r w:rsidRPr="00444DC5">
              <w:t>Reduce maximum current N</w:t>
            </w:r>
          </w:p>
        </w:tc>
        <w:tc>
          <w:tcPr>
            <w:tcW w:w="1837" w:type="dxa"/>
            <w:vAlign w:val="center"/>
          </w:tcPr>
          <w:p w14:paraId="3B81F72C" w14:textId="77777777" w:rsidR="00397C61" w:rsidRPr="00444DC5" w:rsidRDefault="00397C61" w:rsidP="002B6313">
            <w:pPr>
              <w:jc w:val="center"/>
            </w:pPr>
            <w:r>
              <w:t>0.5</w:t>
            </w:r>
          </w:p>
        </w:tc>
        <w:tc>
          <w:tcPr>
            <w:tcW w:w="1837" w:type="dxa"/>
            <w:vAlign w:val="center"/>
          </w:tcPr>
          <w:p w14:paraId="03F42B41" w14:textId="77777777" w:rsidR="00397C61" w:rsidRPr="00444DC5" w:rsidRDefault="00397C61" w:rsidP="002B6313">
            <w:pPr>
              <w:jc w:val="center"/>
            </w:pPr>
            <w:r>
              <w:t>189,515</w:t>
            </w:r>
          </w:p>
        </w:tc>
        <w:tc>
          <w:tcPr>
            <w:tcW w:w="1837" w:type="dxa"/>
            <w:vAlign w:val="center"/>
          </w:tcPr>
          <w:p w14:paraId="492C0F0A" w14:textId="77777777" w:rsidR="00397C61" w:rsidRPr="00444DC5" w:rsidRDefault="00397C61" w:rsidP="002B6313">
            <w:pPr>
              <w:jc w:val="center"/>
            </w:pPr>
            <w:r>
              <w:t>6</w:t>
            </w:r>
          </w:p>
        </w:tc>
        <w:tc>
          <w:tcPr>
            <w:tcW w:w="1838" w:type="dxa"/>
            <w:vAlign w:val="center"/>
          </w:tcPr>
          <w:p w14:paraId="3A49D5D7" w14:textId="77777777" w:rsidR="00397C61" w:rsidRPr="00444DC5" w:rsidRDefault="00397C61" w:rsidP="002B6313">
            <w:pPr>
              <w:jc w:val="center"/>
            </w:pPr>
            <w:r w:rsidRPr="002B0335">
              <w:rPr>
                <w:rFonts w:eastAsiaTheme="minorEastAsia"/>
              </w:rPr>
              <w:t>2,274,174</w:t>
            </w:r>
          </w:p>
        </w:tc>
      </w:tr>
      <w:tr w:rsidR="00397C61" w:rsidRPr="00444DC5" w14:paraId="2C3EB9B9" w14:textId="77777777" w:rsidTr="002B6313">
        <w:trPr>
          <w:jc w:val="center"/>
        </w:trPr>
        <w:tc>
          <w:tcPr>
            <w:tcW w:w="2115" w:type="dxa"/>
            <w:vAlign w:val="center"/>
          </w:tcPr>
          <w:p w14:paraId="59642136" w14:textId="77777777" w:rsidR="00397C61" w:rsidRPr="00444DC5" w:rsidRDefault="00397C61" w:rsidP="002B6313">
            <w:pPr>
              <w:jc w:val="center"/>
            </w:pPr>
            <w:r w:rsidRPr="00444DC5">
              <w:t>Reduce maximum K</w:t>
            </w:r>
          </w:p>
        </w:tc>
        <w:tc>
          <w:tcPr>
            <w:tcW w:w="1837" w:type="dxa"/>
            <w:vAlign w:val="center"/>
          </w:tcPr>
          <w:p w14:paraId="715AEB4E" w14:textId="77777777" w:rsidR="00397C61" w:rsidRPr="00444DC5" w:rsidRDefault="00397C61" w:rsidP="002B6313">
            <w:pPr>
              <w:jc w:val="center"/>
            </w:pPr>
            <w:r w:rsidRPr="00444DC5">
              <w:t>1</w:t>
            </w:r>
          </w:p>
        </w:tc>
        <w:tc>
          <w:tcPr>
            <w:tcW w:w="1837" w:type="dxa"/>
            <w:vAlign w:val="center"/>
          </w:tcPr>
          <w:p w14:paraId="4802159B" w14:textId="77777777" w:rsidR="00397C61" w:rsidRPr="00444DC5" w:rsidRDefault="00397C61" w:rsidP="002B6313">
            <w:pPr>
              <w:jc w:val="center"/>
            </w:pPr>
            <w:r>
              <w:rPr>
                <w:rFonts w:eastAsiaTheme="minorEastAsia"/>
              </w:rPr>
              <w:t>379,029</w:t>
            </w:r>
          </w:p>
        </w:tc>
        <w:tc>
          <w:tcPr>
            <w:tcW w:w="1837" w:type="dxa"/>
            <w:vAlign w:val="center"/>
          </w:tcPr>
          <w:p w14:paraId="1303C855" w14:textId="77777777" w:rsidR="00397C61" w:rsidRPr="00444DC5" w:rsidRDefault="00397C61" w:rsidP="002B6313">
            <w:pPr>
              <w:jc w:val="center"/>
            </w:pPr>
            <w:r>
              <w:t>3</w:t>
            </w:r>
          </w:p>
        </w:tc>
        <w:tc>
          <w:tcPr>
            <w:tcW w:w="1838" w:type="dxa"/>
            <w:vAlign w:val="center"/>
          </w:tcPr>
          <w:p w14:paraId="1329235F" w14:textId="77777777" w:rsidR="00397C61" w:rsidRPr="00444DC5" w:rsidRDefault="00397C61" w:rsidP="002B6313">
            <w:pPr>
              <w:jc w:val="center"/>
            </w:pPr>
            <w:r w:rsidRPr="005C075B">
              <w:t>1,137,087</w:t>
            </w:r>
          </w:p>
        </w:tc>
      </w:tr>
      <w:tr w:rsidR="00397C61" w:rsidRPr="00444DC5" w14:paraId="789FDDC4" w14:textId="77777777" w:rsidTr="002B6313">
        <w:trPr>
          <w:jc w:val="center"/>
        </w:trPr>
        <w:tc>
          <w:tcPr>
            <w:tcW w:w="2115" w:type="dxa"/>
            <w:vAlign w:val="center"/>
          </w:tcPr>
          <w:p w14:paraId="7D67A93F" w14:textId="77777777" w:rsidR="00397C61" w:rsidRPr="00444DC5" w:rsidRDefault="00397C61" w:rsidP="002B6313">
            <w:pPr>
              <w:jc w:val="center"/>
            </w:pPr>
            <w:r w:rsidRPr="00444DC5">
              <w:t>Reduce neither (original)</w:t>
            </w:r>
          </w:p>
        </w:tc>
        <w:tc>
          <w:tcPr>
            <w:tcW w:w="1837" w:type="dxa"/>
            <w:vAlign w:val="center"/>
          </w:tcPr>
          <w:p w14:paraId="0CD4DB30" w14:textId="77777777" w:rsidR="00397C61" w:rsidRPr="00444DC5" w:rsidRDefault="00397C61" w:rsidP="002B6313">
            <w:pPr>
              <w:jc w:val="center"/>
            </w:pPr>
            <w:r>
              <w:t>1</w:t>
            </w:r>
          </w:p>
        </w:tc>
        <w:tc>
          <w:tcPr>
            <w:tcW w:w="1837" w:type="dxa"/>
            <w:vAlign w:val="center"/>
          </w:tcPr>
          <w:p w14:paraId="5CE9794E" w14:textId="77777777" w:rsidR="00397C61" w:rsidRPr="00444DC5" w:rsidRDefault="00397C61" w:rsidP="002B6313">
            <w:pPr>
              <w:jc w:val="center"/>
            </w:pPr>
            <w:r>
              <w:rPr>
                <w:rFonts w:eastAsiaTheme="minorEastAsia"/>
              </w:rPr>
              <w:t>379,029</w:t>
            </w:r>
          </w:p>
        </w:tc>
        <w:tc>
          <w:tcPr>
            <w:tcW w:w="1837" w:type="dxa"/>
            <w:vAlign w:val="center"/>
          </w:tcPr>
          <w:p w14:paraId="03DFA05F" w14:textId="77777777" w:rsidR="00397C61" w:rsidRPr="00444DC5" w:rsidRDefault="00397C61" w:rsidP="002B6313">
            <w:pPr>
              <w:jc w:val="center"/>
            </w:pPr>
            <w:r>
              <w:t>6</w:t>
            </w:r>
          </w:p>
        </w:tc>
        <w:tc>
          <w:tcPr>
            <w:tcW w:w="1838" w:type="dxa"/>
            <w:vAlign w:val="center"/>
          </w:tcPr>
          <w:p w14:paraId="351819BB" w14:textId="77777777" w:rsidR="00397C61" w:rsidRPr="00444DC5" w:rsidRDefault="00397C61" w:rsidP="002B6313">
            <w:pPr>
              <w:jc w:val="center"/>
            </w:pPr>
            <w:r w:rsidRPr="002B0335">
              <w:rPr>
                <w:rFonts w:eastAsiaTheme="minorEastAsia"/>
              </w:rPr>
              <w:t>2,274,174</w:t>
            </w:r>
          </w:p>
        </w:tc>
      </w:tr>
    </w:tbl>
    <w:p w14:paraId="280BA94E" w14:textId="77777777" w:rsidR="00397C61" w:rsidRDefault="00397C61" w:rsidP="00397C61">
      <w:pPr>
        <w:rPr>
          <w:b/>
          <w:bCs/>
        </w:rPr>
      </w:pPr>
    </w:p>
    <w:p w14:paraId="6CDEDDA6" w14:textId="77777777" w:rsidR="00397C61" w:rsidRDefault="00397C61" w:rsidP="00397C61"/>
    <w:p w14:paraId="643461EE" w14:textId="77777777" w:rsidR="008A6C4E" w:rsidRDefault="008A6C4E" w:rsidP="00397C61">
      <w:r>
        <w:t>We</w:t>
      </w:r>
      <w:r w:rsidR="00397C61">
        <w:t xml:space="preserve"> ran the simulation model </w:t>
      </w:r>
      <w:r>
        <w:t xml:space="preserve">described above </w:t>
      </w:r>
      <w:r w:rsidR="00397C61">
        <w:t>for 10,000 replicates per scenario, under each of 4 different urbanization rates (0%, 8%, 16% or 24% urban growth per decade).</w:t>
      </w:r>
    </w:p>
    <w:p w14:paraId="626AEDF9" w14:textId="507644A6" w:rsidR="00397C61" w:rsidRDefault="00397C61" w:rsidP="00397C61">
      <w:pPr>
        <w:rPr>
          <w:noProof/>
        </w:rPr>
      </w:pPr>
      <w:r w:rsidRPr="006352FB">
        <w:rPr>
          <w:noProof/>
        </w:rPr>
        <w:t xml:space="preserve"> </w:t>
      </w:r>
    </w:p>
    <w:p w14:paraId="3B386517" w14:textId="77777777" w:rsidR="00397C61" w:rsidRDefault="00397C61" w:rsidP="00397C61">
      <w:r>
        <w:rPr>
          <w:noProof/>
        </w:rPr>
        <w:lastRenderedPageBreak/>
        <w:drawing>
          <wp:inline distT="0" distB="0" distL="0" distR="0" wp14:anchorId="738F35B9" wp14:editId="580CF264">
            <wp:extent cx="5943600" cy="4754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uce_max_K_Nini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D8AF1F4" w14:textId="1A3C564A" w:rsidR="00397C61" w:rsidRDefault="008A6C4E" w:rsidP="00397C61">
      <w:r w:rsidRPr="008A6C4E">
        <w:rPr>
          <w:b/>
          <w:bCs/>
        </w:rPr>
        <w:t xml:space="preserve">Figure </w:t>
      </w:r>
      <w:r w:rsidR="00B87280">
        <w:rPr>
          <w:b/>
          <w:bCs/>
        </w:rPr>
        <w:t>B</w:t>
      </w:r>
      <w:r w:rsidR="001832A5">
        <w:rPr>
          <w:b/>
          <w:bCs/>
        </w:rPr>
        <w:t>3</w:t>
      </w:r>
      <w:r w:rsidRPr="008A6C4E">
        <w:rPr>
          <w:b/>
          <w:bCs/>
        </w:rPr>
        <w:t>.</w:t>
      </w:r>
      <w:r>
        <w:t xml:space="preserve"> Projected change in population size under four rates of urbanization, with four different inputs for maximum current and carrying capacity density. Solid lines are the median and shaded regions represent the range in which 95% of the replications fell. The dashed horizontal line at 0 indicates no change in population size.</w:t>
      </w:r>
    </w:p>
    <w:p w14:paraId="60755E18" w14:textId="77777777" w:rsidR="008A6C4E" w:rsidRPr="008A6C4E" w:rsidRDefault="008A6C4E" w:rsidP="00397C61"/>
    <w:p w14:paraId="1A35584D" w14:textId="2DCE4AD3" w:rsidR="008A6C4E" w:rsidRPr="00544119" w:rsidRDefault="008A6C4E" w:rsidP="008A6C4E">
      <w:r>
        <w:t>Changing the input for maximum current density and maximum carrying capacity density had little effect on simulation model outcomes</w:t>
      </w:r>
      <w:r w:rsidR="001832A5">
        <w:t xml:space="preserve"> (Figure A3)</w:t>
      </w:r>
      <w:r>
        <w:t>.</w:t>
      </w:r>
      <w:r w:rsidR="00397C61">
        <w:t xml:space="preserve"> </w:t>
      </w:r>
      <w:r>
        <w:t>Reducing the upper bound for initial population size (current density) resulted in slightly higher quasi-extinction probabilities, but probability of quasi-extinction was ~1% at the highest threshold and under the worst urbanization scenario. Reducing the upper bound for carrying capacity resulted in slightly lower probabilities of population growth and lower probabilities of population decline.</w:t>
      </w:r>
    </w:p>
    <w:p w14:paraId="17ADF12C" w14:textId="77777777" w:rsidR="00397C61" w:rsidRDefault="00397C61" w:rsidP="00397C61"/>
    <w:p w14:paraId="0709E068" w14:textId="77777777" w:rsidR="00397C61" w:rsidRDefault="00397C61" w:rsidP="00397C61"/>
    <w:p w14:paraId="20F2AAD5" w14:textId="77777777" w:rsidR="00397C61" w:rsidRDefault="00397C61" w:rsidP="00397C61"/>
    <w:p w14:paraId="3CEF574D" w14:textId="48E36B3E" w:rsidR="00397C61" w:rsidRDefault="008A6C4E" w:rsidP="00397C61">
      <w:r w:rsidRPr="008A6C4E">
        <w:rPr>
          <w:b/>
          <w:bCs/>
        </w:rPr>
        <w:lastRenderedPageBreak/>
        <w:t xml:space="preserve">Table </w:t>
      </w:r>
      <w:r w:rsidR="00B87280">
        <w:rPr>
          <w:b/>
          <w:bCs/>
        </w:rPr>
        <w:t>B</w:t>
      </w:r>
      <w:r w:rsidR="001832A5">
        <w:rPr>
          <w:b/>
          <w:bCs/>
        </w:rPr>
        <w:t>2</w:t>
      </w:r>
      <w:r w:rsidRPr="008A6C4E">
        <w:rPr>
          <w:b/>
          <w:bCs/>
        </w:rPr>
        <w:t>.</w:t>
      </w:r>
      <w:r>
        <w:t xml:space="preserve"> Probabilities of quasi-extinction, growth, and decline under four rates of urbanization and four potential density thresholds. </w:t>
      </w:r>
      <w:r w:rsidR="00397C61">
        <w:t xml:space="preserve">For quasi-extinction probability and the probability of population decline, lower numbers are green and higher numbers are red. For the probability of population growth low numbers are red and high numbers are green. </w:t>
      </w:r>
    </w:p>
    <w:tbl>
      <w:tblPr>
        <w:tblW w:w="10185" w:type="dxa"/>
        <w:tblLook w:val="04A0" w:firstRow="1" w:lastRow="0" w:firstColumn="1" w:lastColumn="0" w:noHBand="0" w:noVBand="1"/>
      </w:tblPr>
      <w:tblGrid>
        <w:gridCol w:w="1260"/>
        <w:gridCol w:w="1170"/>
        <w:gridCol w:w="1350"/>
        <w:gridCol w:w="830"/>
        <w:gridCol w:w="1152"/>
        <w:gridCol w:w="830"/>
        <w:gridCol w:w="830"/>
        <w:gridCol w:w="1540"/>
        <w:gridCol w:w="1223"/>
      </w:tblGrid>
      <w:tr w:rsidR="00397C61" w:rsidRPr="006352FB" w14:paraId="1FE6D873" w14:textId="77777777" w:rsidTr="008A6C4E">
        <w:trPr>
          <w:trHeight w:val="300"/>
        </w:trPr>
        <w:tc>
          <w:tcPr>
            <w:tcW w:w="1260" w:type="dxa"/>
            <w:vMerge w:val="restart"/>
            <w:tcBorders>
              <w:top w:val="single" w:sz="4" w:space="0" w:color="auto"/>
              <w:left w:val="nil"/>
              <w:bottom w:val="single" w:sz="4" w:space="0" w:color="000000"/>
              <w:right w:val="nil"/>
            </w:tcBorders>
            <w:shd w:val="clear" w:color="auto" w:fill="auto"/>
            <w:vAlign w:val="center"/>
            <w:hideMark/>
          </w:tcPr>
          <w:p w14:paraId="44F4E842" w14:textId="77777777" w:rsidR="00397C61" w:rsidRPr="006352FB" w:rsidRDefault="00397C61" w:rsidP="002B6313">
            <w:pPr>
              <w:spacing w:after="0" w:line="240" w:lineRule="auto"/>
              <w:jc w:val="center"/>
              <w:rPr>
                <w:rFonts w:ascii="Calibri" w:eastAsia="Times New Roman" w:hAnsi="Calibri" w:cs="Calibri"/>
                <w:b/>
                <w:bCs/>
                <w:color w:val="000000"/>
              </w:rPr>
            </w:pPr>
            <w:r w:rsidRPr="006352FB">
              <w:rPr>
                <w:rFonts w:ascii="Calibri" w:eastAsia="Times New Roman" w:hAnsi="Calibri" w:cs="Calibri"/>
                <w:b/>
                <w:bCs/>
                <w:color w:val="000000"/>
              </w:rPr>
              <w:t>Percent urban growth per decade</w:t>
            </w:r>
          </w:p>
        </w:tc>
        <w:tc>
          <w:tcPr>
            <w:tcW w:w="1170" w:type="dxa"/>
            <w:vMerge w:val="restart"/>
            <w:tcBorders>
              <w:top w:val="single" w:sz="4" w:space="0" w:color="auto"/>
              <w:left w:val="nil"/>
              <w:bottom w:val="single" w:sz="4" w:space="0" w:color="000000"/>
              <w:right w:val="nil"/>
            </w:tcBorders>
            <w:shd w:val="clear" w:color="auto" w:fill="auto"/>
            <w:vAlign w:val="center"/>
            <w:hideMark/>
          </w:tcPr>
          <w:p w14:paraId="027F0A2A" w14:textId="77777777" w:rsidR="00397C61" w:rsidRPr="006352FB" w:rsidRDefault="00397C61" w:rsidP="002B6313">
            <w:pPr>
              <w:spacing w:after="0" w:line="240" w:lineRule="auto"/>
              <w:jc w:val="center"/>
              <w:rPr>
                <w:rFonts w:ascii="Calibri" w:eastAsia="Times New Roman" w:hAnsi="Calibri" w:cs="Calibri"/>
                <w:b/>
                <w:bCs/>
                <w:color w:val="000000"/>
              </w:rPr>
            </w:pPr>
            <w:r w:rsidRPr="006352FB">
              <w:rPr>
                <w:rFonts w:ascii="Calibri" w:eastAsia="Times New Roman" w:hAnsi="Calibri" w:cs="Calibri"/>
                <w:b/>
                <w:bCs/>
                <w:color w:val="000000"/>
              </w:rPr>
              <w:t>Maximum current density</w:t>
            </w:r>
            <w:r w:rsidRPr="006352FB">
              <w:rPr>
                <w:rFonts w:ascii="Calibri" w:eastAsia="Times New Roman" w:hAnsi="Calibri" w:cs="Calibri"/>
                <w:b/>
                <w:bCs/>
                <w:color w:val="000000"/>
              </w:rPr>
              <w:br/>
              <w:t>(boas/ha)</w:t>
            </w:r>
          </w:p>
        </w:tc>
        <w:tc>
          <w:tcPr>
            <w:tcW w:w="1350" w:type="dxa"/>
            <w:vMerge w:val="restart"/>
            <w:tcBorders>
              <w:top w:val="single" w:sz="4" w:space="0" w:color="auto"/>
              <w:left w:val="nil"/>
              <w:bottom w:val="single" w:sz="4" w:space="0" w:color="000000"/>
              <w:right w:val="nil"/>
            </w:tcBorders>
            <w:shd w:val="clear" w:color="auto" w:fill="auto"/>
            <w:vAlign w:val="center"/>
            <w:hideMark/>
          </w:tcPr>
          <w:p w14:paraId="5EB5AD18" w14:textId="77777777" w:rsidR="00397C61" w:rsidRPr="006352FB" w:rsidRDefault="00397C61" w:rsidP="002B6313">
            <w:pPr>
              <w:spacing w:after="0" w:line="240" w:lineRule="auto"/>
              <w:jc w:val="center"/>
              <w:rPr>
                <w:rFonts w:ascii="Calibri" w:eastAsia="Times New Roman" w:hAnsi="Calibri" w:cs="Calibri"/>
                <w:b/>
                <w:bCs/>
                <w:color w:val="000000"/>
              </w:rPr>
            </w:pPr>
            <w:r w:rsidRPr="006352FB">
              <w:rPr>
                <w:rFonts w:ascii="Calibri" w:eastAsia="Times New Roman" w:hAnsi="Calibri" w:cs="Calibri"/>
                <w:b/>
                <w:bCs/>
                <w:color w:val="000000"/>
              </w:rPr>
              <w:t>Maximum carrying capacity density</w:t>
            </w:r>
            <w:r w:rsidRPr="006352FB">
              <w:rPr>
                <w:rFonts w:ascii="Calibri" w:eastAsia="Times New Roman" w:hAnsi="Calibri" w:cs="Calibri"/>
                <w:b/>
                <w:bCs/>
                <w:color w:val="000000"/>
              </w:rPr>
              <w:br/>
              <w:t>(boas/ha)</w:t>
            </w:r>
          </w:p>
        </w:tc>
        <w:tc>
          <w:tcPr>
            <w:tcW w:w="3642"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7ABE68A1" w14:textId="77777777" w:rsidR="00397C61" w:rsidRPr="006352FB" w:rsidRDefault="00397C61" w:rsidP="002B6313">
            <w:pPr>
              <w:spacing w:after="0" w:line="240" w:lineRule="auto"/>
              <w:jc w:val="center"/>
              <w:rPr>
                <w:rFonts w:ascii="Calibri" w:eastAsia="Times New Roman" w:hAnsi="Calibri" w:cs="Calibri"/>
                <w:b/>
                <w:bCs/>
                <w:color w:val="000000"/>
              </w:rPr>
            </w:pPr>
            <w:r w:rsidRPr="006352FB">
              <w:rPr>
                <w:rFonts w:ascii="Calibri" w:eastAsia="Times New Roman" w:hAnsi="Calibri" w:cs="Calibri"/>
                <w:b/>
                <w:bCs/>
                <w:color w:val="000000"/>
              </w:rPr>
              <w:t>Quasi-extinction probability</w:t>
            </w:r>
          </w:p>
        </w:tc>
        <w:tc>
          <w:tcPr>
            <w:tcW w:w="1540" w:type="dxa"/>
            <w:vMerge w:val="restart"/>
            <w:tcBorders>
              <w:top w:val="single" w:sz="4" w:space="0" w:color="auto"/>
              <w:left w:val="single" w:sz="4" w:space="0" w:color="auto"/>
              <w:right w:val="single" w:sz="4" w:space="0" w:color="auto"/>
            </w:tcBorders>
            <w:shd w:val="clear" w:color="auto" w:fill="auto"/>
            <w:vAlign w:val="center"/>
            <w:hideMark/>
          </w:tcPr>
          <w:p w14:paraId="75C0E371" w14:textId="77777777" w:rsidR="00397C61" w:rsidRPr="006352FB" w:rsidRDefault="00397C61" w:rsidP="002B6313">
            <w:pPr>
              <w:spacing w:after="0" w:line="240" w:lineRule="auto"/>
              <w:jc w:val="center"/>
              <w:rPr>
                <w:rFonts w:ascii="Calibri" w:eastAsia="Times New Roman" w:hAnsi="Calibri" w:cs="Calibri"/>
                <w:b/>
                <w:bCs/>
                <w:color w:val="000000"/>
              </w:rPr>
            </w:pPr>
            <w:r w:rsidRPr="006352FB">
              <w:rPr>
                <w:rFonts w:ascii="Calibri" w:eastAsia="Times New Roman" w:hAnsi="Calibri" w:cs="Calibri"/>
                <w:b/>
                <w:bCs/>
                <w:color w:val="000000"/>
              </w:rPr>
              <w:t>Probability of population growth</w:t>
            </w:r>
          </w:p>
        </w:tc>
        <w:tc>
          <w:tcPr>
            <w:tcW w:w="1223" w:type="dxa"/>
            <w:vMerge w:val="restart"/>
            <w:tcBorders>
              <w:top w:val="single" w:sz="4" w:space="0" w:color="auto"/>
              <w:left w:val="nil"/>
              <w:right w:val="nil"/>
            </w:tcBorders>
            <w:shd w:val="clear" w:color="auto" w:fill="auto"/>
            <w:vAlign w:val="center"/>
            <w:hideMark/>
          </w:tcPr>
          <w:p w14:paraId="03E2691B" w14:textId="77777777" w:rsidR="00397C61" w:rsidRPr="006352FB" w:rsidRDefault="00397C61" w:rsidP="002B6313">
            <w:pPr>
              <w:spacing w:after="0" w:line="240" w:lineRule="auto"/>
              <w:jc w:val="center"/>
              <w:rPr>
                <w:rFonts w:ascii="Calibri" w:eastAsia="Times New Roman" w:hAnsi="Calibri" w:cs="Calibri"/>
                <w:b/>
                <w:bCs/>
                <w:color w:val="000000"/>
              </w:rPr>
            </w:pPr>
            <w:r w:rsidRPr="006352FB">
              <w:rPr>
                <w:rFonts w:ascii="Calibri" w:eastAsia="Times New Roman" w:hAnsi="Calibri" w:cs="Calibri"/>
                <w:b/>
                <w:bCs/>
                <w:color w:val="000000"/>
              </w:rPr>
              <w:t>Probability of population decline</w:t>
            </w:r>
          </w:p>
        </w:tc>
      </w:tr>
      <w:tr w:rsidR="00397C61" w:rsidRPr="006352FB" w14:paraId="48FFFAA2" w14:textId="77777777" w:rsidTr="002B6313">
        <w:trPr>
          <w:trHeight w:val="630"/>
        </w:trPr>
        <w:tc>
          <w:tcPr>
            <w:tcW w:w="1260" w:type="dxa"/>
            <w:vMerge/>
            <w:tcBorders>
              <w:top w:val="nil"/>
              <w:left w:val="nil"/>
              <w:bottom w:val="single" w:sz="4" w:space="0" w:color="000000"/>
              <w:right w:val="nil"/>
            </w:tcBorders>
            <w:vAlign w:val="center"/>
            <w:hideMark/>
          </w:tcPr>
          <w:p w14:paraId="760A6A9F" w14:textId="77777777" w:rsidR="00397C61" w:rsidRPr="006352FB" w:rsidRDefault="00397C61" w:rsidP="002B6313">
            <w:pPr>
              <w:spacing w:after="0" w:line="240" w:lineRule="auto"/>
              <w:rPr>
                <w:rFonts w:ascii="Calibri" w:eastAsia="Times New Roman" w:hAnsi="Calibri" w:cs="Calibri"/>
                <w:b/>
                <w:bCs/>
                <w:color w:val="000000"/>
              </w:rPr>
            </w:pPr>
          </w:p>
        </w:tc>
        <w:tc>
          <w:tcPr>
            <w:tcW w:w="1170" w:type="dxa"/>
            <w:vMerge/>
            <w:tcBorders>
              <w:top w:val="nil"/>
              <w:left w:val="nil"/>
              <w:bottom w:val="single" w:sz="4" w:space="0" w:color="000000"/>
              <w:right w:val="nil"/>
            </w:tcBorders>
            <w:vAlign w:val="center"/>
            <w:hideMark/>
          </w:tcPr>
          <w:p w14:paraId="08A95478" w14:textId="77777777" w:rsidR="00397C61" w:rsidRPr="006352FB" w:rsidRDefault="00397C61" w:rsidP="002B6313">
            <w:pPr>
              <w:spacing w:after="0" w:line="240" w:lineRule="auto"/>
              <w:rPr>
                <w:rFonts w:ascii="Calibri" w:eastAsia="Times New Roman" w:hAnsi="Calibri" w:cs="Calibri"/>
                <w:b/>
                <w:bCs/>
                <w:color w:val="000000"/>
              </w:rPr>
            </w:pPr>
          </w:p>
        </w:tc>
        <w:tc>
          <w:tcPr>
            <w:tcW w:w="1350" w:type="dxa"/>
            <w:vMerge/>
            <w:tcBorders>
              <w:top w:val="nil"/>
              <w:left w:val="nil"/>
              <w:bottom w:val="single" w:sz="4" w:space="0" w:color="000000"/>
              <w:right w:val="nil"/>
            </w:tcBorders>
            <w:vAlign w:val="center"/>
            <w:hideMark/>
          </w:tcPr>
          <w:p w14:paraId="631A3910" w14:textId="77777777" w:rsidR="00397C61" w:rsidRPr="006352FB" w:rsidRDefault="00397C61" w:rsidP="002B6313">
            <w:pPr>
              <w:spacing w:after="0" w:line="240" w:lineRule="auto"/>
              <w:rPr>
                <w:rFonts w:ascii="Calibri" w:eastAsia="Times New Roman" w:hAnsi="Calibri" w:cs="Calibri"/>
                <w:b/>
                <w:bCs/>
                <w:color w:val="000000"/>
              </w:rPr>
            </w:pPr>
          </w:p>
        </w:tc>
        <w:tc>
          <w:tcPr>
            <w:tcW w:w="830" w:type="dxa"/>
            <w:tcBorders>
              <w:top w:val="nil"/>
              <w:left w:val="single" w:sz="4" w:space="0" w:color="auto"/>
              <w:bottom w:val="single" w:sz="4" w:space="0" w:color="auto"/>
              <w:right w:val="nil"/>
            </w:tcBorders>
            <w:shd w:val="clear" w:color="auto" w:fill="auto"/>
            <w:vAlign w:val="center"/>
            <w:hideMark/>
          </w:tcPr>
          <w:p w14:paraId="000C00DE" w14:textId="77777777" w:rsidR="00397C61" w:rsidRPr="006352FB" w:rsidRDefault="00397C61" w:rsidP="002B6313">
            <w:pPr>
              <w:spacing w:after="0" w:line="240" w:lineRule="auto"/>
              <w:jc w:val="center"/>
              <w:rPr>
                <w:rFonts w:ascii="Calibri" w:eastAsia="Times New Roman" w:hAnsi="Calibri" w:cs="Calibri"/>
                <w:b/>
                <w:bCs/>
                <w:color w:val="000000"/>
              </w:rPr>
            </w:pPr>
            <w:r w:rsidRPr="006352FB">
              <w:rPr>
                <w:rFonts w:ascii="Calibri" w:eastAsia="Times New Roman" w:hAnsi="Calibri" w:cs="Calibri"/>
                <w:b/>
                <w:bCs/>
                <w:color w:val="000000"/>
              </w:rPr>
              <w:t>50</w:t>
            </w:r>
          </w:p>
        </w:tc>
        <w:tc>
          <w:tcPr>
            <w:tcW w:w="1152" w:type="dxa"/>
            <w:tcBorders>
              <w:top w:val="nil"/>
              <w:left w:val="nil"/>
              <w:bottom w:val="single" w:sz="4" w:space="0" w:color="auto"/>
              <w:right w:val="nil"/>
            </w:tcBorders>
            <w:shd w:val="clear" w:color="auto" w:fill="auto"/>
            <w:vAlign w:val="center"/>
            <w:hideMark/>
          </w:tcPr>
          <w:p w14:paraId="678A0742" w14:textId="77777777" w:rsidR="00397C61" w:rsidRPr="006352FB" w:rsidRDefault="00397C61" w:rsidP="002B6313">
            <w:pPr>
              <w:spacing w:after="0" w:line="240" w:lineRule="auto"/>
              <w:jc w:val="center"/>
              <w:rPr>
                <w:rFonts w:ascii="Calibri" w:eastAsia="Times New Roman" w:hAnsi="Calibri" w:cs="Calibri"/>
                <w:b/>
                <w:bCs/>
                <w:color w:val="000000"/>
              </w:rPr>
            </w:pPr>
            <w:r w:rsidRPr="006352FB">
              <w:rPr>
                <w:rFonts w:ascii="Calibri" w:eastAsia="Times New Roman" w:hAnsi="Calibri" w:cs="Calibri"/>
                <w:b/>
                <w:bCs/>
                <w:color w:val="000000"/>
              </w:rPr>
              <w:t>500</w:t>
            </w:r>
          </w:p>
        </w:tc>
        <w:tc>
          <w:tcPr>
            <w:tcW w:w="830" w:type="dxa"/>
            <w:tcBorders>
              <w:top w:val="nil"/>
              <w:left w:val="nil"/>
              <w:bottom w:val="single" w:sz="4" w:space="0" w:color="auto"/>
              <w:right w:val="nil"/>
            </w:tcBorders>
            <w:shd w:val="clear" w:color="auto" w:fill="auto"/>
            <w:vAlign w:val="center"/>
            <w:hideMark/>
          </w:tcPr>
          <w:p w14:paraId="35455B2D" w14:textId="77777777" w:rsidR="00397C61" w:rsidRPr="006352FB" w:rsidRDefault="00397C61" w:rsidP="002B6313">
            <w:pPr>
              <w:spacing w:after="0" w:line="240" w:lineRule="auto"/>
              <w:jc w:val="center"/>
              <w:rPr>
                <w:rFonts w:ascii="Calibri" w:eastAsia="Times New Roman" w:hAnsi="Calibri" w:cs="Calibri"/>
                <w:b/>
                <w:bCs/>
                <w:color w:val="000000"/>
              </w:rPr>
            </w:pPr>
            <w:r w:rsidRPr="006352FB">
              <w:rPr>
                <w:rFonts w:ascii="Calibri" w:eastAsia="Times New Roman" w:hAnsi="Calibri" w:cs="Calibri"/>
                <w:b/>
                <w:bCs/>
                <w:color w:val="000000"/>
              </w:rPr>
              <w:t>1000</w:t>
            </w:r>
          </w:p>
        </w:tc>
        <w:tc>
          <w:tcPr>
            <w:tcW w:w="830" w:type="dxa"/>
            <w:tcBorders>
              <w:top w:val="nil"/>
              <w:left w:val="nil"/>
              <w:bottom w:val="single" w:sz="4" w:space="0" w:color="auto"/>
              <w:right w:val="single" w:sz="4" w:space="0" w:color="auto"/>
            </w:tcBorders>
            <w:shd w:val="clear" w:color="auto" w:fill="auto"/>
            <w:vAlign w:val="center"/>
            <w:hideMark/>
          </w:tcPr>
          <w:p w14:paraId="40C7998D" w14:textId="77777777" w:rsidR="00397C61" w:rsidRPr="006352FB" w:rsidRDefault="00397C61" w:rsidP="002B6313">
            <w:pPr>
              <w:spacing w:after="0" w:line="240" w:lineRule="auto"/>
              <w:jc w:val="center"/>
              <w:rPr>
                <w:rFonts w:ascii="Calibri" w:eastAsia="Times New Roman" w:hAnsi="Calibri" w:cs="Calibri"/>
                <w:b/>
                <w:bCs/>
                <w:color w:val="000000"/>
              </w:rPr>
            </w:pPr>
            <w:r w:rsidRPr="006352FB">
              <w:rPr>
                <w:rFonts w:ascii="Calibri" w:eastAsia="Times New Roman" w:hAnsi="Calibri" w:cs="Calibri"/>
                <w:b/>
                <w:bCs/>
                <w:color w:val="000000"/>
              </w:rPr>
              <w:t>5000</w:t>
            </w:r>
          </w:p>
        </w:tc>
        <w:tc>
          <w:tcPr>
            <w:tcW w:w="1540" w:type="dxa"/>
            <w:vMerge/>
            <w:tcBorders>
              <w:left w:val="single" w:sz="4" w:space="0" w:color="auto"/>
              <w:bottom w:val="single" w:sz="4" w:space="0" w:color="000000"/>
              <w:right w:val="single" w:sz="4" w:space="0" w:color="auto"/>
            </w:tcBorders>
            <w:vAlign w:val="center"/>
            <w:hideMark/>
          </w:tcPr>
          <w:p w14:paraId="445A85A6" w14:textId="77777777" w:rsidR="00397C61" w:rsidRPr="006352FB" w:rsidRDefault="00397C61" w:rsidP="002B6313">
            <w:pPr>
              <w:spacing w:after="0" w:line="240" w:lineRule="auto"/>
              <w:rPr>
                <w:rFonts w:ascii="Calibri" w:eastAsia="Times New Roman" w:hAnsi="Calibri" w:cs="Calibri"/>
                <w:b/>
                <w:bCs/>
                <w:color w:val="000000"/>
              </w:rPr>
            </w:pPr>
          </w:p>
        </w:tc>
        <w:tc>
          <w:tcPr>
            <w:tcW w:w="1223" w:type="dxa"/>
            <w:vMerge/>
            <w:tcBorders>
              <w:left w:val="nil"/>
              <w:bottom w:val="single" w:sz="4" w:space="0" w:color="000000"/>
              <w:right w:val="nil"/>
            </w:tcBorders>
            <w:vAlign w:val="center"/>
            <w:hideMark/>
          </w:tcPr>
          <w:p w14:paraId="5FC5F976" w14:textId="77777777" w:rsidR="00397C61" w:rsidRPr="006352FB" w:rsidRDefault="00397C61" w:rsidP="002B6313">
            <w:pPr>
              <w:spacing w:after="0" w:line="240" w:lineRule="auto"/>
              <w:rPr>
                <w:rFonts w:ascii="Calibri" w:eastAsia="Times New Roman" w:hAnsi="Calibri" w:cs="Calibri"/>
                <w:b/>
                <w:bCs/>
                <w:color w:val="000000"/>
              </w:rPr>
            </w:pPr>
          </w:p>
        </w:tc>
      </w:tr>
      <w:tr w:rsidR="00397C61" w:rsidRPr="006352FB" w14:paraId="0AB3E7D4" w14:textId="77777777" w:rsidTr="002B6313">
        <w:trPr>
          <w:trHeight w:val="600"/>
        </w:trPr>
        <w:tc>
          <w:tcPr>
            <w:tcW w:w="1260" w:type="dxa"/>
            <w:tcBorders>
              <w:top w:val="nil"/>
              <w:left w:val="nil"/>
              <w:bottom w:val="nil"/>
              <w:right w:val="nil"/>
            </w:tcBorders>
            <w:shd w:val="clear" w:color="auto" w:fill="auto"/>
            <w:noWrap/>
            <w:vAlign w:val="center"/>
            <w:hideMark/>
          </w:tcPr>
          <w:p w14:paraId="1F3EFFBB"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w:t>
            </w:r>
          </w:p>
        </w:tc>
        <w:tc>
          <w:tcPr>
            <w:tcW w:w="1170" w:type="dxa"/>
            <w:tcBorders>
              <w:top w:val="nil"/>
              <w:left w:val="nil"/>
              <w:bottom w:val="nil"/>
              <w:right w:val="nil"/>
            </w:tcBorders>
            <w:shd w:val="clear" w:color="auto" w:fill="auto"/>
            <w:noWrap/>
            <w:vAlign w:val="center"/>
            <w:hideMark/>
          </w:tcPr>
          <w:p w14:paraId="4EE56B7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350" w:type="dxa"/>
            <w:tcBorders>
              <w:top w:val="nil"/>
              <w:left w:val="nil"/>
              <w:bottom w:val="nil"/>
              <w:right w:val="nil"/>
            </w:tcBorders>
            <w:shd w:val="clear" w:color="auto" w:fill="auto"/>
            <w:noWrap/>
            <w:vAlign w:val="center"/>
            <w:hideMark/>
          </w:tcPr>
          <w:p w14:paraId="5258BFD2"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830" w:type="dxa"/>
            <w:tcBorders>
              <w:top w:val="nil"/>
              <w:left w:val="single" w:sz="4" w:space="0" w:color="auto"/>
              <w:bottom w:val="nil"/>
              <w:right w:val="nil"/>
            </w:tcBorders>
            <w:shd w:val="clear" w:color="000000" w:fill="63BE7B"/>
            <w:noWrap/>
            <w:vAlign w:val="center"/>
            <w:hideMark/>
          </w:tcPr>
          <w:p w14:paraId="31C3C457"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FCFCFF"/>
            <w:noWrap/>
            <w:vAlign w:val="center"/>
            <w:hideMark/>
          </w:tcPr>
          <w:p w14:paraId="3E500A6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0.0002</w:t>
            </w:r>
          </w:p>
        </w:tc>
        <w:tc>
          <w:tcPr>
            <w:tcW w:w="830" w:type="dxa"/>
            <w:tcBorders>
              <w:top w:val="nil"/>
              <w:left w:val="nil"/>
              <w:bottom w:val="nil"/>
              <w:right w:val="nil"/>
            </w:tcBorders>
            <w:shd w:val="clear" w:color="000000" w:fill="FCFCFF"/>
            <w:noWrap/>
            <w:vAlign w:val="center"/>
            <w:hideMark/>
          </w:tcPr>
          <w:p w14:paraId="1FAC1897"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0.0002</w:t>
            </w:r>
          </w:p>
        </w:tc>
        <w:tc>
          <w:tcPr>
            <w:tcW w:w="830" w:type="dxa"/>
            <w:tcBorders>
              <w:top w:val="nil"/>
              <w:left w:val="nil"/>
              <w:bottom w:val="nil"/>
              <w:right w:val="single" w:sz="4" w:space="0" w:color="auto"/>
            </w:tcBorders>
            <w:shd w:val="clear" w:color="000000" w:fill="FA9EA1"/>
            <w:noWrap/>
            <w:vAlign w:val="center"/>
            <w:hideMark/>
          </w:tcPr>
          <w:p w14:paraId="2838266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0.0071</w:t>
            </w:r>
          </w:p>
        </w:tc>
        <w:tc>
          <w:tcPr>
            <w:tcW w:w="1540" w:type="dxa"/>
            <w:tcBorders>
              <w:top w:val="nil"/>
              <w:left w:val="single" w:sz="4" w:space="0" w:color="auto"/>
              <w:bottom w:val="nil"/>
              <w:right w:val="single" w:sz="4" w:space="0" w:color="auto"/>
            </w:tcBorders>
            <w:shd w:val="clear" w:color="000000" w:fill="8BCF9E"/>
            <w:noWrap/>
            <w:vAlign w:val="center"/>
            <w:hideMark/>
          </w:tcPr>
          <w:p w14:paraId="0D263D8C"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0.831</w:t>
            </w:r>
          </w:p>
        </w:tc>
        <w:tc>
          <w:tcPr>
            <w:tcW w:w="1223" w:type="dxa"/>
            <w:tcBorders>
              <w:top w:val="nil"/>
              <w:left w:val="nil"/>
              <w:bottom w:val="nil"/>
              <w:right w:val="nil"/>
            </w:tcBorders>
            <w:shd w:val="clear" w:color="000000" w:fill="8ACE9D"/>
            <w:noWrap/>
            <w:vAlign w:val="center"/>
            <w:hideMark/>
          </w:tcPr>
          <w:p w14:paraId="0F13EE91"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0.169</w:t>
            </w:r>
          </w:p>
        </w:tc>
      </w:tr>
      <w:tr w:rsidR="00397C61" w:rsidRPr="006352FB" w14:paraId="5AF8ED22" w14:textId="77777777" w:rsidTr="002B6313">
        <w:trPr>
          <w:trHeight w:val="600"/>
        </w:trPr>
        <w:tc>
          <w:tcPr>
            <w:tcW w:w="1260" w:type="dxa"/>
            <w:tcBorders>
              <w:top w:val="nil"/>
              <w:left w:val="nil"/>
              <w:bottom w:val="nil"/>
              <w:right w:val="nil"/>
            </w:tcBorders>
            <w:shd w:val="clear" w:color="auto" w:fill="auto"/>
            <w:noWrap/>
            <w:vAlign w:val="center"/>
            <w:hideMark/>
          </w:tcPr>
          <w:p w14:paraId="32D15781"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8%</w:t>
            </w:r>
          </w:p>
        </w:tc>
        <w:tc>
          <w:tcPr>
            <w:tcW w:w="1170" w:type="dxa"/>
            <w:tcBorders>
              <w:top w:val="nil"/>
              <w:left w:val="nil"/>
              <w:bottom w:val="nil"/>
              <w:right w:val="nil"/>
            </w:tcBorders>
            <w:shd w:val="clear" w:color="auto" w:fill="auto"/>
            <w:noWrap/>
            <w:vAlign w:val="center"/>
            <w:hideMark/>
          </w:tcPr>
          <w:p w14:paraId="2416BF2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350" w:type="dxa"/>
            <w:tcBorders>
              <w:top w:val="nil"/>
              <w:left w:val="nil"/>
              <w:bottom w:val="nil"/>
              <w:right w:val="nil"/>
            </w:tcBorders>
            <w:shd w:val="clear" w:color="auto" w:fill="auto"/>
            <w:noWrap/>
            <w:vAlign w:val="center"/>
            <w:hideMark/>
          </w:tcPr>
          <w:p w14:paraId="17AF824D"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830" w:type="dxa"/>
            <w:tcBorders>
              <w:top w:val="nil"/>
              <w:left w:val="single" w:sz="4" w:space="0" w:color="auto"/>
              <w:bottom w:val="nil"/>
              <w:right w:val="nil"/>
            </w:tcBorders>
            <w:shd w:val="clear" w:color="000000" w:fill="63BE7B"/>
            <w:noWrap/>
            <w:vAlign w:val="center"/>
            <w:hideMark/>
          </w:tcPr>
          <w:p w14:paraId="43267C9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C9E7D3"/>
            <w:noWrap/>
            <w:vAlign w:val="center"/>
            <w:hideMark/>
          </w:tcPr>
          <w:p w14:paraId="36879F87"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0.0001</w:t>
            </w:r>
          </w:p>
        </w:tc>
        <w:tc>
          <w:tcPr>
            <w:tcW w:w="830" w:type="dxa"/>
            <w:tcBorders>
              <w:top w:val="nil"/>
              <w:left w:val="nil"/>
              <w:bottom w:val="nil"/>
              <w:right w:val="nil"/>
            </w:tcBorders>
            <w:shd w:val="clear" w:color="000000" w:fill="FCF6F9"/>
            <w:noWrap/>
            <w:vAlign w:val="center"/>
            <w:hideMark/>
          </w:tcPr>
          <w:p w14:paraId="0BFFC7A0"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0.0006</w:t>
            </w:r>
          </w:p>
        </w:tc>
        <w:tc>
          <w:tcPr>
            <w:tcW w:w="830" w:type="dxa"/>
            <w:tcBorders>
              <w:top w:val="nil"/>
              <w:left w:val="nil"/>
              <w:bottom w:val="nil"/>
              <w:right w:val="single" w:sz="4" w:space="0" w:color="auto"/>
            </w:tcBorders>
            <w:shd w:val="clear" w:color="000000" w:fill="F97E80"/>
            <w:noWrap/>
            <w:vAlign w:val="center"/>
            <w:hideMark/>
          </w:tcPr>
          <w:p w14:paraId="6E9A06D6"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0.0095</w:t>
            </w:r>
          </w:p>
        </w:tc>
        <w:tc>
          <w:tcPr>
            <w:tcW w:w="1540" w:type="dxa"/>
            <w:tcBorders>
              <w:top w:val="nil"/>
              <w:left w:val="single" w:sz="4" w:space="0" w:color="auto"/>
              <w:bottom w:val="nil"/>
              <w:right w:val="single" w:sz="4" w:space="0" w:color="auto"/>
            </w:tcBorders>
            <w:shd w:val="clear" w:color="000000" w:fill="B7E1C4"/>
            <w:noWrap/>
            <w:vAlign w:val="center"/>
            <w:hideMark/>
          </w:tcPr>
          <w:p w14:paraId="2605250C"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0.825</w:t>
            </w:r>
          </w:p>
        </w:tc>
        <w:tc>
          <w:tcPr>
            <w:tcW w:w="1223" w:type="dxa"/>
            <w:tcBorders>
              <w:top w:val="nil"/>
              <w:left w:val="nil"/>
              <w:bottom w:val="nil"/>
              <w:right w:val="nil"/>
            </w:tcBorders>
            <w:shd w:val="clear" w:color="000000" w:fill="B6E0C3"/>
            <w:noWrap/>
            <w:vAlign w:val="center"/>
            <w:hideMark/>
          </w:tcPr>
          <w:p w14:paraId="2E6B070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0.175</w:t>
            </w:r>
          </w:p>
        </w:tc>
      </w:tr>
      <w:tr w:rsidR="00397C61" w:rsidRPr="006352FB" w14:paraId="0EBE2A45" w14:textId="77777777" w:rsidTr="002B6313">
        <w:trPr>
          <w:trHeight w:val="600"/>
        </w:trPr>
        <w:tc>
          <w:tcPr>
            <w:tcW w:w="1260" w:type="dxa"/>
            <w:tcBorders>
              <w:top w:val="nil"/>
              <w:left w:val="nil"/>
              <w:bottom w:val="nil"/>
              <w:right w:val="nil"/>
            </w:tcBorders>
            <w:shd w:val="clear" w:color="auto" w:fill="auto"/>
            <w:noWrap/>
            <w:vAlign w:val="center"/>
            <w:hideMark/>
          </w:tcPr>
          <w:p w14:paraId="1AAE1289"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16%</w:t>
            </w:r>
          </w:p>
        </w:tc>
        <w:tc>
          <w:tcPr>
            <w:tcW w:w="1170" w:type="dxa"/>
            <w:tcBorders>
              <w:top w:val="nil"/>
              <w:left w:val="nil"/>
              <w:bottom w:val="nil"/>
              <w:right w:val="nil"/>
            </w:tcBorders>
            <w:shd w:val="clear" w:color="auto" w:fill="auto"/>
            <w:noWrap/>
            <w:vAlign w:val="center"/>
            <w:hideMark/>
          </w:tcPr>
          <w:p w14:paraId="2309DBCD"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350" w:type="dxa"/>
            <w:tcBorders>
              <w:top w:val="nil"/>
              <w:left w:val="nil"/>
              <w:bottom w:val="nil"/>
              <w:right w:val="nil"/>
            </w:tcBorders>
            <w:shd w:val="clear" w:color="auto" w:fill="auto"/>
            <w:noWrap/>
            <w:vAlign w:val="center"/>
            <w:hideMark/>
          </w:tcPr>
          <w:p w14:paraId="4C420CA2"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830" w:type="dxa"/>
            <w:tcBorders>
              <w:top w:val="nil"/>
              <w:left w:val="single" w:sz="4" w:space="0" w:color="auto"/>
              <w:bottom w:val="nil"/>
              <w:right w:val="nil"/>
            </w:tcBorders>
            <w:shd w:val="clear" w:color="000000" w:fill="63BE7B"/>
            <w:noWrap/>
            <w:vAlign w:val="center"/>
            <w:hideMark/>
          </w:tcPr>
          <w:p w14:paraId="1CEB6F6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FCFAFD"/>
            <w:noWrap/>
            <w:vAlign w:val="center"/>
            <w:hideMark/>
          </w:tcPr>
          <w:p w14:paraId="0F1E9AD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0.0003</w:t>
            </w:r>
          </w:p>
        </w:tc>
        <w:tc>
          <w:tcPr>
            <w:tcW w:w="830" w:type="dxa"/>
            <w:tcBorders>
              <w:top w:val="nil"/>
              <w:left w:val="nil"/>
              <w:bottom w:val="nil"/>
              <w:right w:val="nil"/>
            </w:tcBorders>
            <w:shd w:val="clear" w:color="000000" w:fill="FCF6F9"/>
            <w:noWrap/>
            <w:vAlign w:val="center"/>
            <w:hideMark/>
          </w:tcPr>
          <w:p w14:paraId="2427EA33"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0.0006</w:t>
            </w:r>
          </w:p>
        </w:tc>
        <w:tc>
          <w:tcPr>
            <w:tcW w:w="830" w:type="dxa"/>
            <w:tcBorders>
              <w:top w:val="nil"/>
              <w:left w:val="nil"/>
              <w:bottom w:val="nil"/>
              <w:right w:val="single" w:sz="4" w:space="0" w:color="auto"/>
            </w:tcBorders>
            <w:shd w:val="clear" w:color="000000" w:fill="F97A7C"/>
            <w:noWrap/>
            <w:vAlign w:val="center"/>
            <w:hideMark/>
          </w:tcPr>
          <w:p w14:paraId="2A507F2B"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0.0098</w:t>
            </w:r>
          </w:p>
        </w:tc>
        <w:tc>
          <w:tcPr>
            <w:tcW w:w="1540" w:type="dxa"/>
            <w:tcBorders>
              <w:top w:val="nil"/>
              <w:left w:val="single" w:sz="4" w:space="0" w:color="auto"/>
              <w:bottom w:val="nil"/>
              <w:right w:val="single" w:sz="4" w:space="0" w:color="auto"/>
            </w:tcBorders>
            <w:shd w:val="clear" w:color="000000" w:fill="F1F8F6"/>
            <w:noWrap/>
            <w:vAlign w:val="center"/>
            <w:hideMark/>
          </w:tcPr>
          <w:p w14:paraId="6D2B69E3"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0.817</w:t>
            </w:r>
          </w:p>
        </w:tc>
        <w:tc>
          <w:tcPr>
            <w:tcW w:w="1223" w:type="dxa"/>
            <w:tcBorders>
              <w:top w:val="nil"/>
              <w:left w:val="nil"/>
              <w:bottom w:val="nil"/>
              <w:right w:val="nil"/>
            </w:tcBorders>
            <w:shd w:val="clear" w:color="000000" w:fill="F0F7F5"/>
            <w:noWrap/>
            <w:vAlign w:val="center"/>
            <w:hideMark/>
          </w:tcPr>
          <w:p w14:paraId="358A1E6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0.183</w:t>
            </w:r>
          </w:p>
        </w:tc>
      </w:tr>
      <w:tr w:rsidR="00397C61" w:rsidRPr="006352FB" w14:paraId="33360D7C" w14:textId="77777777" w:rsidTr="002B6313">
        <w:trPr>
          <w:trHeight w:val="600"/>
        </w:trPr>
        <w:tc>
          <w:tcPr>
            <w:tcW w:w="1260" w:type="dxa"/>
            <w:tcBorders>
              <w:top w:val="nil"/>
              <w:left w:val="nil"/>
              <w:bottom w:val="nil"/>
              <w:right w:val="nil"/>
            </w:tcBorders>
            <w:shd w:val="clear" w:color="auto" w:fill="auto"/>
            <w:noWrap/>
            <w:vAlign w:val="center"/>
            <w:hideMark/>
          </w:tcPr>
          <w:p w14:paraId="3068576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24%</w:t>
            </w:r>
          </w:p>
        </w:tc>
        <w:tc>
          <w:tcPr>
            <w:tcW w:w="1170" w:type="dxa"/>
            <w:tcBorders>
              <w:top w:val="nil"/>
              <w:left w:val="nil"/>
              <w:bottom w:val="nil"/>
              <w:right w:val="nil"/>
            </w:tcBorders>
            <w:shd w:val="clear" w:color="auto" w:fill="auto"/>
            <w:noWrap/>
            <w:vAlign w:val="center"/>
            <w:hideMark/>
          </w:tcPr>
          <w:p w14:paraId="2DEE0F6B"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350" w:type="dxa"/>
            <w:tcBorders>
              <w:top w:val="nil"/>
              <w:left w:val="nil"/>
              <w:bottom w:val="nil"/>
              <w:right w:val="nil"/>
            </w:tcBorders>
            <w:shd w:val="clear" w:color="auto" w:fill="auto"/>
            <w:noWrap/>
            <w:vAlign w:val="center"/>
            <w:hideMark/>
          </w:tcPr>
          <w:p w14:paraId="20D23F29"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830" w:type="dxa"/>
            <w:tcBorders>
              <w:top w:val="nil"/>
              <w:left w:val="single" w:sz="4" w:space="0" w:color="auto"/>
              <w:bottom w:val="nil"/>
              <w:right w:val="nil"/>
            </w:tcBorders>
            <w:shd w:val="clear" w:color="000000" w:fill="63BE7B"/>
            <w:noWrap/>
            <w:vAlign w:val="center"/>
            <w:hideMark/>
          </w:tcPr>
          <w:p w14:paraId="3CCDBFB7"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63BE7B"/>
            <w:noWrap/>
            <w:vAlign w:val="center"/>
            <w:hideMark/>
          </w:tcPr>
          <w:p w14:paraId="3C40B5AF"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830" w:type="dxa"/>
            <w:tcBorders>
              <w:top w:val="nil"/>
              <w:left w:val="nil"/>
              <w:bottom w:val="nil"/>
              <w:right w:val="nil"/>
            </w:tcBorders>
            <w:shd w:val="clear" w:color="000000" w:fill="FCF8FB"/>
            <w:noWrap/>
            <w:vAlign w:val="center"/>
            <w:hideMark/>
          </w:tcPr>
          <w:p w14:paraId="1986CB20"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0.0005</w:t>
            </w:r>
          </w:p>
        </w:tc>
        <w:tc>
          <w:tcPr>
            <w:tcW w:w="830" w:type="dxa"/>
            <w:tcBorders>
              <w:top w:val="nil"/>
              <w:left w:val="nil"/>
              <w:bottom w:val="nil"/>
              <w:right w:val="single" w:sz="4" w:space="0" w:color="auto"/>
            </w:tcBorders>
            <w:shd w:val="clear" w:color="000000" w:fill="F97274"/>
            <w:noWrap/>
            <w:vAlign w:val="center"/>
            <w:hideMark/>
          </w:tcPr>
          <w:p w14:paraId="632B4837"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0.0104</w:t>
            </w:r>
          </w:p>
        </w:tc>
        <w:tc>
          <w:tcPr>
            <w:tcW w:w="1540" w:type="dxa"/>
            <w:tcBorders>
              <w:top w:val="nil"/>
              <w:left w:val="single" w:sz="4" w:space="0" w:color="auto"/>
              <w:bottom w:val="nil"/>
              <w:right w:val="single" w:sz="4" w:space="0" w:color="auto"/>
            </w:tcBorders>
            <w:shd w:val="clear" w:color="000000" w:fill="FBE8EB"/>
            <w:noWrap/>
            <w:vAlign w:val="center"/>
            <w:hideMark/>
          </w:tcPr>
          <w:p w14:paraId="0E7E4BA9"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0.803</w:t>
            </w:r>
          </w:p>
        </w:tc>
        <w:tc>
          <w:tcPr>
            <w:tcW w:w="1223" w:type="dxa"/>
            <w:tcBorders>
              <w:top w:val="nil"/>
              <w:left w:val="nil"/>
              <w:bottom w:val="nil"/>
              <w:right w:val="nil"/>
            </w:tcBorders>
            <w:shd w:val="clear" w:color="000000" w:fill="FCE9EC"/>
            <w:noWrap/>
            <w:vAlign w:val="center"/>
            <w:hideMark/>
          </w:tcPr>
          <w:p w14:paraId="1E29588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0.197</w:t>
            </w:r>
          </w:p>
        </w:tc>
      </w:tr>
      <w:tr w:rsidR="00397C61" w:rsidRPr="006352FB" w14:paraId="19D3E195" w14:textId="77777777" w:rsidTr="002B6313">
        <w:trPr>
          <w:trHeight w:val="600"/>
        </w:trPr>
        <w:tc>
          <w:tcPr>
            <w:tcW w:w="1260" w:type="dxa"/>
            <w:tcBorders>
              <w:top w:val="nil"/>
              <w:left w:val="nil"/>
              <w:bottom w:val="nil"/>
              <w:right w:val="nil"/>
            </w:tcBorders>
            <w:shd w:val="clear" w:color="auto" w:fill="auto"/>
            <w:noWrap/>
            <w:vAlign w:val="center"/>
            <w:hideMark/>
          </w:tcPr>
          <w:p w14:paraId="3BB00ABD"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w:t>
            </w:r>
          </w:p>
        </w:tc>
        <w:tc>
          <w:tcPr>
            <w:tcW w:w="1170" w:type="dxa"/>
            <w:tcBorders>
              <w:top w:val="nil"/>
              <w:left w:val="nil"/>
              <w:bottom w:val="nil"/>
              <w:right w:val="nil"/>
            </w:tcBorders>
            <w:shd w:val="clear" w:color="auto" w:fill="auto"/>
            <w:noWrap/>
            <w:vAlign w:val="center"/>
            <w:hideMark/>
          </w:tcPr>
          <w:p w14:paraId="6B98D371"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350" w:type="dxa"/>
            <w:tcBorders>
              <w:top w:val="nil"/>
              <w:left w:val="nil"/>
              <w:bottom w:val="nil"/>
              <w:right w:val="nil"/>
            </w:tcBorders>
            <w:shd w:val="clear" w:color="auto" w:fill="auto"/>
            <w:noWrap/>
            <w:vAlign w:val="center"/>
            <w:hideMark/>
          </w:tcPr>
          <w:p w14:paraId="60F48DA2"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830" w:type="dxa"/>
            <w:tcBorders>
              <w:top w:val="nil"/>
              <w:left w:val="single" w:sz="4" w:space="0" w:color="auto"/>
              <w:bottom w:val="nil"/>
              <w:right w:val="nil"/>
            </w:tcBorders>
            <w:shd w:val="clear" w:color="000000" w:fill="63BE7B"/>
            <w:noWrap/>
            <w:vAlign w:val="center"/>
            <w:hideMark/>
          </w:tcPr>
          <w:p w14:paraId="20EA7C29"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63BE7B"/>
            <w:noWrap/>
            <w:vAlign w:val="center"/>
            <w:hideMark/>
          </w:tcPr>
          <w:p w14:paraId="5EA9F17B"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830" w:type="dxa"/>
            <w:tcBorders>
              <w:top w:val="nil"/>
              <w:left w:val="nil"/>
              <w:bottom w:val="nil"/>
              <w:right w:val="nil"/>
            </w:tcBorders>
            <w:shd w:val="clear" w:color="000000" w:fill="FCFAFD"/>
            <w:noWrap/>
            <w:vAlign w:val="center"/>
            <w:hideMark/>
          </w:tcPr>
          <w:p w14:paraId="38A1EB8D"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0.0003</w:t>
            </w:r>
          </w:p>
        </w:tc>
        <w:tc>
          <w:tcPr>
            <w:tcW w:w="830" w:type="dxa"/>
            <w:tcBorders>
              <w:top w:val="nil"/>
              <w:left w:val="nil"/>
              <w:bottom w:val="nil"/>
              <w:right w:val="single" w:sz="4" w:space="0" w:color="auto"/>
            </w:tcBorders>
            <w:shd w:val="clear" w:color="000000" w:fill="FA9597"/>
            <w:noWrap/>
            <w:vAlign w:val="center"/>
            <w:hideMark/>
          </w:tcPr>
          <w:p w14:paraId="36D66155"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0.0078</w:t>
            </w:r>
          </w:p>
        </w:tc>
        <w:tc>
          <w:tcPr>
            <w:tcW w:w="1540" w:type="dxa"/>
            <w:tcBorders>
              <w:top w:val="nil"/>
              <w:left w:val="single" w:sz="4" w:space="0" w:color="auto"/>
              <w:bottom w:val="nil"/>
              <w:right w:val="single" w:sz="4" w:space="0" w:color="auto"/>
            </w:tcBorders>
            <w:shd w:val="clear" w:color="000000" w:fill="63BE7B"/>
            <w:noWrap/>
            <w:vAlign w:val="center"/>
            <w:hideMark/>
          </w:tcPr>
          <w:p w14:paraId="5960BCF0"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0.837</w:t>
            </w:r>
          </w:p>
        </w:tc>
        <w:tc>
          <w:tcPr>
            <w:tcW w:w="1223" w:type="dxa"/>
            <w:tcBorders>
              <w:top w:val="nil"/>
              <w:left w:val="nil"/>
              <w:bottom w:val="nil"/>
              <w:right w:val="nil"/>
            </w:tcBorders>
            <w:shd w:val="clear" w:color="000000" w:fill="63BE7B"/>
            <w:noWrap/>
            <w:vAlign w:val="center"/>
            <w:hideMark/>
          </w:tcPr>
          <w:p w14:paraId="6F3D32D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0.163</w:t>
            </w:r>
          </w:p>
        </w:tc>
      </w:tr>
      <w:tr w:rsidR="00397C61" w:rsidRPr="006352FB" w14:paraId="773D1629" w14:textId="77777777" w:rsidTr="002B6313">
        <w:trPr>
          <w:trHeight w:val="600"/>
        </w:trPr>
        <w:tc>
          <w:tcPr>
            <w:tcW w:w="1260" w:type="dxa"/>
            <w:tcBorders>
              <w:top w:val="nil"/>
              <w:left w:val="nil"/>
              <w:bottom w:val="nil"/>
              <w:right w:val="nil"/>
            </w:tcBorders>
            <w:shd w:val="clear" w:color="auto" w:fill="auto"/>
            <w:noWrap/>
            <w:vAlign w:val="center"/>
            <w:hideMark/>
          </w:tcPr>
          <w:p w14:paraId="7081E0A0"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8%</w:t>
            </w:r>
          </w:p>
        </w:tc>
        <w:tc>
          <w:tcPr>
            <w:tcW w:w="1170" w:type="dxa"/>
            <w:tcBorders>
              <w:top w:val="nil"/>
              <w:left w:val="nil"/>
              <w:bottom w:val="nil"/>
              <w:right w:val="nil"/>
            </w:tcBorders>
            <w:shd w:val="clear" w:color="auto" w:fill="auto"/>
            <w:noWrap/>
            <w:vAlign w:val="center"/>
            <w:hideMark/>
          </w:tcPr>
          <w:p w14:paraId="41934F9D"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350" w:type="dxa"/>
            <w:tcBorders>
              <w:top w:val="nil"/>
              <w:left w:val="nil"/>
              <w:bottom w:val="nil"/>
              <w:right w:val="nil"/>
            </w:tcBorders>
            <w:shd w:val="clear" w:color="auto" w:fill="auto"/>
            <w:noWrap/>
            <w:vAlign w:val="center"/>
            <w:hideMark/>
          </w:tcPr>
          <w:p w14:paraId="4B620CA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830" w:type="dxa"/>
            <w:tcBorders>
              <w:top w:val="nil"/>
              <w:left w:val="single" w:sz="4" w:space="0" w:color="auto"/>
              <w:bottom w:val="nil"/>
              <w:right w:val="nil"/>
            </w:tcBorders>
            <w:shd w:val="clear" w:color="000000" w:fill="63BE7B"/>
            <w:noWrap/>
            <w:vAlign w:val="center"/>
            <w:hideMark/>
          </w:tcPr>
          <w:p w14:paraId="0B8D5677"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C9E7D3"/>
            <w:noWrap/>
            <w:vAlign w:val="center"/>
            <w:hideMark/>
          </w:tcPr>
          <w:p w14:paraId="483AD23F"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0.0001</w:t>
            </w:r>
          </w:p>
        </w:tc>
        <w:tc>
          <w:tcPr>
            <w:tcW w:w="830" w:type="dxa"/>
            <w:tcBorders>
              <w:top w:val="nil"/>
              <w:left w:val="nil"/>
              <w:bottom w:val="nil"/>
              <w:right w:val="nil"/>
            </w:tcBorders>
            <w:shd w:val="clear" w:color="000000" w:fill="FCF8FB"/>
            <w:noWrap/>
            <w:vAlign w:val="center"/>
            <w:hideMark/>
          </w:tcPr>
          <w:p w14:paraId="13A08B83"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0.0005</w:t>
            </w:r>
          </w:p>
        </w:tc>
        <w:tc>
          <w:tcPr>
            <w:tcW w:w="830" w:type="dxa"/>
            <w:tcBorders>
              <w:top w:val="nil"/>
              <w:left w:val="nil"/>
              <w:bottom w:val="nil"/>
              <w:right w:val="single" w:sz="4" w:space="0" w:color="auto"/>
            </w:tcBorders>
            <w:shd w:val="clear" w:color="000000" w:fill="F97072"/>
            <w:noWrap/>
            <w:vAlign w:val="center"/>
            <w:hideMark/>
          </w:tcPr>
          <w:p w14:paraId="1114E527"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0.0105</w:t>
            </w:r>
          </w:p>
        </w:tc>
        <w:tc>
          <w:tcPr>
            <w:tcW w:w="1540" w:type="dxa"/>
            <w:tcBorders>
              <w:top w:val="nil"/>
              <w:left w:val="single" w:sz="4" w:space="0" w:color="auto"/>
              <w:bottom w:val="nil"/>
              <w:right w:val="single" w:sz="4" w:space="0" w:color="auto"/>
            </w:tcBorders>
            <w:shd w:val="clear" w:color="000000" w:fill="B2DEBF"/>
            <w:noWrap/>
            <w:vAlign w:val="center"/>
            <w:hideMark/>
          </w:tcPr>
          <w:p w14:paraId="69A7C45C"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0.826</w:t>
            </w:r>
          </w:p>
        </w:tc>
        <w:tc>
          <w:tcPr>
            <w:tcW w:w="1223" w:type="dxa"/>
            <w:tcBorders>
              <w:top w:val="nil"/>
              <w:left w:val="nil"/>
              <w:bottom w:val="nil"/>
              <w:right w:val="nil"/>
            </w:tcBorders>
            <w:shd w:val="clear" w:color="000000" w:fill="B1DDBE"/>
            <w:noWrap/>
            <w:vAlign w:val="center"/>
            <w:hideMark/>
          </w:tcPr>
          <w:p w14:paraId="6424EA4A"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0.174</w:t>
            </w:r>
          </w:p>
        </w:tc>
      </w:tr>
      <w:tr w:rsidR="00397C61" w:rsidRPr="006352FB" w14:paraId="4D323A15" w14:textId="77777777" w:rsidTr="002B6313">
        <w:trPr>
          <w:trHeight w:val="600"/>
        </w:trPr>
        <w:tc>
          <w:tcPr>
            <w:tcW w:w="1260" w:type="dxa"/>
            <w:tcBorders>
              <w:top w:val="nil"/>
              <w:left w:val="nil"/>
              <w:bottom w:val="nil"/>
              <w:right w:val="nil"/>
            </w:tcBorders>
            <w:shd w:val="clear" w:color="auto" w:fill="auto"/>
            <w:noWrap/>
            <w:vAlign w:val="center"/>
            <w:hideMark/>
          </w:tcPr>
          <w:p w14:paraId="7D8817B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16%</w:t>
            </w:r>
          </w:p>
        </w:tc>
        <w:tc>
          <w:tcPr>
            <w:tcW w:w="1170" w:type="dxa"/>
            <w:tcBorders>
              <w:top w:val="nil"/>
              <w:left w:val="nil"/>
              <w:bottom w:val="nil"/>
              <w:right w:val="nil"/>
            </w:tcBorders>
            <w:shd w:val="clear" w:color="auto" w:fill="auto"/>
            <w:noWrap/>
            <w:vAlign w:val="center"/>
            <w:hideMark/>
          </w:tcPr>
          <w:p w14:paraId="69025B7C"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350" w:type="dxa"/>
            <w:tcBorders>
              <w:top w:val="nil"/>
              <w:left w:val="nil"/>
              <w:bottom w:val="nil"/>
              <w:right w:val="nil"/>
            </w:tcBorders>
            <w:shd w:val="clear" w:color="auto" w:fill="auto"/>
            <w:noWrap/>
            <w:vAlign w:val="center"/>
            <w:hideMark/>
          </w:tcPr>
          <w:p w14:paraId="1A7C9112"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830" w:type="dxa"/>
            <w:tcBorders>
              <w:top w:val="nil"/>
              <w:left w:val="single" w:sz="4" w:space="0" w:color="auto"/>
              <w:bottom w:val="nil"/>
              <w:right w:val="nil"/>
            </w:tcBorders>
            <w:shd w:val="clear" w:color="000000" w:fill="63BE7B"/>
            <w:noWrap/>
            <w:vAlign w:val="center"/>
            <w:hideMark/>
          </w:tcPr>
          <w:p w14:paraId="37D61E0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C9E7D3"/>
            <w:noWrap/>
            <w:vAlign w:val="center"/>
            <w:hideMark/>
          </w:tcPr>
          <w:p w14:paraId="2C4ADF1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0.0001</w:t>
            </w:r>
          </w:p>
        </w:tc>
        <w:tc>
          <w:tcPr>
            <w:tcW w:w="830" w:type="dxa"/>
            <w:tcBorders>
              <w:top w:val="nil"/>
              <w:left w:val="nil"/>
              <w:bottom w:val="nil"/>
              <w:right w:val="nil"/>
            </w:tcBorders>
            <w:shd w:val="clear" w:color="000000" w:fill="FCFCFF"/>
            <w:noWrap/>
            <w:vAlign w:val="center"/>
            <w:hideMark/>
          </w:tcPr>
          <w:p w14:paraId="4F5E3CF1"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0.0002</w:t>
            </w:r>
          </w:p>
        </w:tc>
        <w:tc>
          <w:tcPr>
            <w:tcW w:w="830" w:type="dxa"/>
            <w:tcBorders>
              <w:top w:val="nil"/>
              <w:left w:val="nil"/>
              <w:bottom w:val="nil"/>
              <w:right w:val="single" w:sz="4" w:space="0" w:color="auto"/>
            </w:tcBorders>
            <w:shd w:val="clear" w:color="000000" w:fill="F8696B"/>
            <w:noWrap/>
            <w:vAlign w:val="center"/>
            <w:hideMark/>
          </w:tcPr>
          <w:p w14:paraId="6D54C87C"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0.0110</w:t>
            </w:r>
          </w:p>
        </w:tc>
        <w:tc>
          <w:tcPr>
            <w:tcW w:w="1540" w:type="dxa"/>
            <w:tcBorders>
              <w:top w:val="nil"/>
              <w:left w:val="single" w:sz="4" w:space="0" w:color="auto"/>
              <w:bottom w:val="nil"/>
              <w:right w:val="single" w:sz="4" w:space="0" w:color="auto"/>
            </w:tcBorders>
            <w:shd w:val="clear" w:color="000000" w:fill="F9FBFC"/>
            <w:noWrap/>
            <w:vAlign w:val="center"/>
            <w:hideMark/>
          </w:tcPr>
          <w:p w14:paraId="689C1C3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0.816</w:t>
            </w:r>
          </w:p>
        </w:tc>
        <w:tc>
          <w:tcPr>
            <w:tcW w:w="1223" w:type="dxa"/>
            <w:tcBorders>
              <w:top w:val="nil"/>
              <w:left w:val="nil"/>
              <w:bottom w:val="nil"/>
              <w:right w:val="nil"/>
            </w:tcBorders>
            <w:shd w:val="clear" w:color="000000" w:fill="F8FAFB"/>
            <w:noWrap/>
            <w:vAlign w:val="center"/>
            <w:hideMark/>
          </w:tcPr>
          <w:p w14:paraId="47F2EB1B"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0.184</w:t>
            </w:r>
          </w:p>
        </w:tc>
      </w:tr>
      <w:tr w:rsidR="00397C61" w:rsidRPr="006352FB" w14:paraId="12B2FF22" w14:textId="77777777" w:rsidTr="002B6313">
        <w:trPr>
          <w:trHeight w:val="600"/>
        </w:trPr>
        <w:tc>
          <w:tcPr>
            <w:tcW w:w="1260" w:type="dxa"/>
            <w:tcBorders>
              <w:top w:val="nil"/>
              <w:left w:val="nil"/>
              <w:bottom w:val="nil"/>
              <w:right w:val="nil"/>
            </w:tcBorders>
            <w:shd w:val="clear" w:color="auto" w:fill="auto"/>
            <w:noWrap/>
            <w:vAlign w:val="center"/>
            <w:hideMark/>
          </w:tcPr>
          <w:p w14:paraId="1AEB1837"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24%</w:t>
            </w:r>
          </w:p>
        </w:tc>
        <w:tc>
          <w:tcPr>
            <w:tcW w:w="1170" w:type="dxa"/>
            <w:tcBorders>
              <w:top w:val="nil"/>
              <w:left w:val="nil"/>
              <w:bottom w:val="nil"/>
              <w:right w:val="nil"/>
            </w:tcBorders>
            <w:shd w:val="clear" w:color="auto" w:fill="auto"/>
            <w:noWrap/>
            <w:vAlign w:val="center"/>
            <w:hideMark/>
          </w:tcPr>
          <w:p w14:paraId="480CAEA0"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350" w:type="dxa"/>
            <w:tcBorders>
              <w:top w:val="nil"/>
              <w:left w:val="nil"/>
              <w:bottom w:val="nil"/>
              <w:right w:val="nil"/>
            </w:tcBorders>
            <w:shd w:val="clear" w:color="auto" w:fill="auto"/>
            <w:noWrap/>
            <w:vAlign w:val="center"/>
            <w:hideMark/>
          </w:tcPr>
          <w:p w14:paraId="29941641"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830" w:type="dxa"/>
            <w:tcBorders>
              <w:top w:val="nil"/>
              <w:left w:val="single" w:sz="4" w:space="0" w:color="auto"/>
              <w:bottom w:val="nil"/>
              <w:right w:val="nil"/>
            </w:tcBorders>
            <w:shd w:val="clear" w:color="000000" w:fill="63BE7B"/>
            <w:noWrap/>
            <w:vAlign w:val="center"/>
            <w:hideMark/>
          </w:tcPr>
          <w:p w14:paraId="31268532"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63BE7B"/>
            <w:noWrap/>
            <w:vAlign w:val="center"/>
            <w:hideMark/>
          </w:tcPr>
          <w:p w14:paraId="2DD090E1"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830" w:type="dxa"/>
            <w:tcBorders>
              <w:top w:val="nil"/>
              <w:left w:val="nil"/>
              <w:bottom w:val="nil"/>
              <w:right w:val="nil"/>
            </w:tcBorders>
            <w:shd w:val="clear" w:color="000000" w:fill="FCF6F9"/>
            <w:noWrap/>
            <w:vAlign w:val="center"/>
            <w:hideMark/>
          </w:tcPr>
          <w:p w14:paraId="3552C6A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0.0006</w:t>
            </w:r>
          </w:p>
        </w:tc>
        <w:tc>
          <w:tcPr>
            <w:tcW w:w="830" w:type="dxa"/>
            <w:tcBorders>
              <w:top w:val="nil"/>
              <w:left w:val="nil"/>
              <w:bottom w:val="nil"/>
              <w:right w:val="single" w:sz="4" w:space="0" w:color="auto"/>
            </w:tcBorders>
            <w:shd w:val="clear" w:color="000000" w:fill="F98183"/>
            <w:noWrap/>
            <w:vAlign w:val="center"/>
            <w:hideMark/>
          </w:tcPr>
          <w:p w14:paraId="439CCAD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0.0093</w:t>
            </w:r>
          </w:p>
        </w:tc>
        <w:tc>
          <w:tcPr>
            <w:tcW w:w="1540" w:type="dxa"/>
            <w:tcBorders>
              <w:top w:val="nil"/>
              <w:left w:val="single" w:sz="4" w:space="0" w:color="auto"/>
              <w:bottom w:val="nil"/>
              <w:right w:val="single" w:sz="4" w:space="0" w:color="auto"/>
            </w:tcBorders>
            <w:shd w:val="clear" w:color="000000" w:fill="FBEEF1"/>
            <w:noWrap/>
            <w:vAlign w:val="center"/>
            <w:hideMark/>
          </w:tcPr>
          <w:p w14:paraId="711F6F5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0.807</w:t>
            </w:r>
          </w:p>
        </w:tc>
        <w:tc>
          <w:tcPr>
            <w:tcW w:w="1223" w:type="dxa"/>
            <w:tcBorders>
              <w:top w:val="nil"/>
              <w:left w:val="nil"/>
              <w:bottom w:val="nil"/>
              <w:right w:val="nil"/>
            </w:tcBorders>
            <w:shd w:val="clear" w:color="000000" w:fill="FCEFF2"/>
            <w:noWrap/>
            <w:vAlign w:val="center"/>
            <w:hideMark/>
          </w:tcPr>
          <w:p w14:paraId="5DFECAB2"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0.193</w:t>
            </w:r>
          </w:p>
        </w:tc>
      </w:tr>
      <w:tr w:rsidR="00397C61" w:rsidRPr="006352FB" w14:paraId="27F1C787" w14:textId="77777777" w:rsidTr="002B6313">
        <w:trPr>
          <w:trHeight w:val="600"/>
        </w:trPr>
        <w:tc>
          <w:tcPr>
            <w:tcW w:w="1260" w:type="dxa"/>
            <w:tcBorders>
              <w:top w:val="nil"/>
              <w:left w:val="nil"/>
              <w:bottom w:val="nil"/>
              <w:right w:val="nil"/>
            </w:tcBorders>
            <w:shd w:val="clear" w:color="auto" w:fill="auto"/>
            <w:noWrap/>
            <w:vAlign w:val="center"/>
            <w:hideMark/>
          </w:tcPr>
          <w:p w14:paraId="77F2877A"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w:t>
            </w:r>
          </w:p>
        </w:tc>
        <w:tc>
          <w:tcPr>
            <w:tcW w:w="1170" w:type="dxa"/>
            <w:tcBorders>
              <w:top w:val="nil"/>
              <w:left w:val="nil"/>
              <w:bottom w:val="nil"/>
              <w:right w:val="nil"/>
            </w:tcBorders>
            <w:shd w:val="clear" w:color="auto" w:fill="auto"/>
            <w:noWrap/>
            <w:vAlign w:val="center"/>
            <w:hideMark/>
          </w:tcPr>
          <w:p w14:paraId="2E44422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350" w:type="dxa"/>
            <w:tcBorders>
              <w:top w:val="nil"/>
              <w:left w:val="nil"/>
              <w:bottom w:val="nil"/>
              <w:right w:val="nil"/>
            </w:tcBorders>
            <w:shd w:val="clear" w:color="auto" w:fill="auto"/>
            <w:noWrap/>
            <w:vAlign w:val="center"/>
            <w:hideMark/>
          </w:tcPr>
          <w:p w14:paraId="0BAA2B6F"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830" w:type="dxa"/>
            <w:tcBorders>
              <w:top w:val="nil"/>
              <w:left w:val="single" w:sz="4" w:space="0" w:color="auto"/>
              <w:bottom w:val="nil"/>
              <w:right w:val="nil"/>
            </w:tcBorders>
            <w:shd w:val="clear" w:color="000000" w:fill="63BE7B"/>
            <w:noWrap/>
            <w:vAlign w:val="center"/>
            <w:hideMark/>
          </w:tcPr>
          <w:p w14:paraId="1A50F853"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C9E7D3"/>
            <w:noWrap/>
            <w:vAlign w:val="center"/>
            <w:hideMark/>
          </w:tcPr>
          <w:p w14:paraId="2F534811"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0.0001</w:t>
            </w:r>
          </w:p>
        </w:tc>
        <w:tc>
          <w:tcPr>
            <w:tcW w:w="830" w:type="dxa"/>
            <w:tcBorders>
              <w:top w:val="nil"/>
              <w:left w:val="nil"/>
              <w:bottom w:val="nil"/>
              <w:right w:val="nil"/>
            </w:tcBorders>
            <w:shd w:val="clear" w:color="000000" w:fill="C9E7D3"/>
            <w:noWrap/>
            <w:vAlign w:val="center"/>
            <w:hideMark/>
          </w:tcPr>
          <w:p w14:paraId="29008BB2"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0.0001</w:t>
            </w:r>
          </w:p>
        </w:tc>
        <w:tc>
          <w:tcPr>
            <w:tcW w:w="830" w:type="dxa"/>
            <w:tcBorders>
              <w:top w:val="nil"/>
              <w:left w:val="nil"/>
              <w:bottom w:val="nil"/>
              <w:right w:val="single" w:sz="4" w:space="0" w:color="auto"/>
            </w:tcBorders>
            <w:shd w:val="clear" w:color="000000" w:fill="FCDEE1"/>
            <w:noWrap/>
            <w:vAlign w:val="center"/>
            <w:hideMark/>
          </w:tcPr>
          <w:p w14:paraId="14FBE523"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0.0024</w:t>
            </w:r>
          </w:p>
        </w:tc>
        <w:tc>
          <w:tcPr>
            <w:tcW w:w="1540" w:type="dxa"/>
            <w:tcBorders>
              <w:top w:val="nil"/>
              <w:left w:val="single" w:sz="4" w:space="0" w:color="auto"/>
              <w:bottom w:val="nil"/>
              <w:right w:val="single" w:sz="4" w:space="0" w:color="auto"/>
            </w:tcBorders>
            <w:shd w:val="clear" w:color="000000" w:fill="98D4A8"/>
            <w:noWrap/>
            <w:vAlign w:val="center"/>
            <w:hideMark/>
          </w:tcPr>
          <w:p w14:paraId="1E922F6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0.830</w:t>
            </w:r>
          </w:p>
        </w:tc>
        <w:tc>
          <w:tcPr>
            <w:tcW w:w="1223" w:type="dxa"/>
            <w:tcBorders>
              <w:top w:val="nil"/>
              <w:left w:val="nil"/>
              <w:bottom w:val="nil"/>
              <w:right w:val="nil"/>
            </w:tcBorders>
            <w:shd w:val="clear" w:color="000000" w:fill="97D3A7"/>
            <w:noWrap/>
            <w:vAlign w:val="center"/>
            <w:hideMark/>
          </w:tcPr>
          <w:p w14:paraId="69316B6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0.170</w:t>
            </w:r>
          </w:p>
        </w:tc>
      </w:tr>
      <w:tr w:rsidR="00397C61" w:rsidRPr="006352FB" w14:paraId="718EF223" w14:textId="77777777" w:rsidTr="002B6313">
        <w:trPr>
          <w:trHeight w:val="600"/>
        </w:trPr>
        <w:tc>
          <w:tcPr>
            <w:tcW w:w="1260" w:type="dxa"/>
            <w:tcBorders>
              <w:top w:val="nil"/>
              <w:left w:val="nil"/>
              <w:bottom w:val="nil"/>
              <w:right w:val="nil"/>
            </w:tcBorders>
            <w:shd w:val="clear" w:color="auto" w:fill="auto"/>
            <w:noWrap/>
            <w:vAlign w:val="center"/>
            <w:hideMark/>
          </w:tcPr>
          <w:p w14:paraId="0180449D"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8%</w:t>
            </w:r>
          </w:p>
        </w:tc>
        <w:tc>
          <w:tcPr>
            <w:tcW w:w="1170" w:type="dxa"/>
            <w:tcBorders>
              <w:top w:val="nil"/>
              <w:left w:val="nil"/>
              <w:bottom w:val="nil"/>
              <w:right w:val="nil"/>
            </w:tcBorders>
            <w:shd w:val="clear" w:color="auto" w:fill="auto"/>
            <w:noWrap/>
            <w:vAlign w:val="center"/>
            <w:hideMark/>
          </w:tcPr>
          <w:p w14:paraId="30D4E1D9"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350" w:type="dxa"/>
            <w:tcBorders>
              <w:top w:val="nil"/>
              <w:left w:val="nil"/>
              <w:bottom w:val="nil"/>
              <w:right w:val="nil"/>
            </w:tcBorders>
            <w:shd w:val="clear" w:color="auto" w:fill="auto"/>
            <w:noWrap/>
            <w:vAlign w:val="center"/>
            <w:hideMark/>
          </w:tcPr>
          <w:p w14:paraId="71E91F1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830" w:type="dxa"/>
            <w:tcBorders>
              <w:top w:val="nil"/>
              <w:left w:val="single" w:sz="4" w:space="0" w:color="auto"/>
              <w:bottom w:val="nil"/>
              <w:right w:val="nil"/>
            </w:tcBorders>
            <w:shd w:val="clear" w:color="000000" w:fill="63BE7B"/>
            <w:noWrap/>
            <w:vAlign w:val="center"/>
            <w:hideMark/>
          </w:tcPr>
          <w:p w14:paraId="175BACB6"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63BE7B"/>
            <w:noWrap/>
            <w:vAlign w:val="center"/>
            <w:hideMark/>
          </w:tcPr>
          <w:p w14:paraId="32FD861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830" w:type="dxa"/>
            <w:tcBorders>
              <w:top w:val="nil"/>
              <w:left w:val="nil"/>
              <w:bottom w:val="nil"/>
              <w:right w:val="nil"/>
            </w:tcBorders>
            <w:shd w:val="clear" w:color="000000" w:fill="FCFCFF"/>
            <w:noWrap/>
            <w:vAlign w:val="center"/>
            <w:hideMark/>
          </w:tcPr>
          <w:p w14:paraId="430D7D70"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0.0002</w:t>
            </w:r>
          </w:p>
        </w:tc>
        <w:tc>
          <w:tcPr>
            <w:tcW w:w="830" w:type="dxa"/>
            <w:tcBorders>
              <w:top w:val="nil"/>
              <w:left w:val="nil"/>
              <w:bottom w:val="nil"/>
              <w:right w:val="single" w:sz="4" w:space="0" w:color="auto"/>
            </w:tcBorders>
            <w:shd w:val="clear" w:color="000000" w:fill="FBCACC"/>
            <w:noWrap/>
            <w:vAlign w:val="center"/>
            <w:hideMark/>
          </w:tcPr>
          <w:p w14:paraId="77921929"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0.0039</w:t>
            </w:r>
          </w:p>
        </w:tc>
        <w:tc>
          <w:tcPr>
            <w:tcW w:w="1540" w:type="dxa"/>
            <w:tcBorders>
              <w:top w:val="nil"/>
              <w:left w:val="single" w:sz="4" w:space="0" w:color="auto"/>
              <w:bottom w:val="nil"/>
              <w:right w:val="single" w:sz="4" w:space="0" w:color="auto"/>
            </w:tcBorders>
            <w:shd w:val="clear" w:color="000000" w:fill="FBF8FB"/>
            <w:noWrap/>
            <w:vAlign w:val="center"/>
            <w:hideMark/>
          </w:tcPr>
          <w:p w14:paraId="3ADC342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0.813</w:t>
            </w:r>
          </w:p>
        </w:tc>
        <w:tc>
          <w:tcPr>
            <w:tcW w:w="1223" w:type="dxa"/>
            <w:tcBorders>
              <w:top w:val="nil"/>
              <w:left w:val="nil"/>
              <w:bottom w:val="nil"/>
              <w:right w:val="nil"/>
            </w:tcBorders>
            <w:shd w:val="clear" w:color="000000" w:fill="FCF9FC"/>
            <w:noWrap/>
            <w:vAlign w:val="center"/>
            <w:hideMark/>
          </w:tcPr>
          <w:p w14:paraId="2CCA8CF9"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0.187</w:t>
            </w:r>
          </w:p>
        </w:tc>
      </w:tr>
      <w:tr w:rsidR="00397C61" w:rsidRPr="006352FB" w14:paraId="2BCF6328" w14:textId="77777777" w:rsidTr="002B6313">
        <w:trPr>
          <w:trHeight w:val="600"/>
        </w:trPr>
        <w:tc>
          <w:tcPr>
            <w:tcW w:w="1260" w:type="dxa"/>
            <w:tcBorders>
              <w:top w:val="nil"/>
              <w:left w:val="nil"/>
              <w:bottom w:val="nil"/>
              <w:right w:val="nil"/>
            </w:tcBorders>
            <w:shd w:val="clear" w:color="auto" w:fill="auto"/>
            <w:noWrap/>
            <w:vAlign w:val="center"/>
            <w:hideMark/>
          </w:tcPr>
          <w:p w14:paraId="13EC2613"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16%</w:t>
            </w:r>
          </w:p>
        </w:tc>
        <w:tc>
          <w:tcPr>
            <w:tcW w:w="1170" w:type="dxa"/>
            <w:tcBorders>
              <w:top w:val="nil"/>
              <w:left w:val="nil"/>
              <w:bottom w:val="nil"/>
              <w:right w:val="nil"/>
            </w:tcBorders>
            <w:shd w:val="clear" w:color="auto" w:fill="auto"/>
            <w:noWrap/>
            <w:vAlign w:val="center"/>
            <w:hideMark/>
          </w:tcPr>
          <w:p w14:paraId="657D560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350" w:type="dxa"/>
            <w:tcBorders>
              <w:top w:val="nil"/>
              <w:left w:val="nil"/>
              <w:bottom w:val="nil"/>
              <w:right w:val="nil"/>
            </w:tcBorders>
            <w:shd w:val="clear" w:color="auto" w:fill="auto"/>
            <w:noWrap/>
            <w:vAlign w:val="center"/>
            <w:hideMark/>
          </w:tcPr>
          <w:p w14:paraId="145A546A"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830" w:type="dxa"/>
            <w:tcBorders>
              <w:top w:val="nil"/>
              <w:left w:val="single" w:sz="4" w:space="0" w:color="auto"/>
              <w:bottom w:val="nil"/>
              <w:right w:val="nil"/>
            </w:tcBorders>
            <w:shd w:val="clear" w:color="000000" w:fill="63BE7B"/>
            <w:noWrap/>
            <w:vAlign w:val="center"/>
            <w:hideMark/>
          </w:tcPr>
          <w:p w14:paraId="68652260"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63BE7B"/>
            <w:noWrap/>
            <w:vAlign w:val="center"/>
            <w:hideMark/>
          </w:tcPr>
          <w:p w14:paraId="0AE49BBD"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830" w:type="dxa"/>
            <w:tcBorders>
              <w:top w:val="nil"/>
              <w:left w:val="nil"/>
              <w:bottom w:val="nil"/>
              <w:right w:val="nil"/>
            </w:tcBorders>
            <w:shd w:val="clear" w:color="000000" w:fill="C9E7D3"/>
            <w:noWrap/>
            <w:vAlign w:val="center"/>
            <w:hideMark/>
          </w:tcPr>
          <w:p w14:paraId="7F37537C"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0.0001</w:t>
            </w:r>
          </w:p>
        </w:tc>
        <w:tc>
          <w:tcPr>
            <w:tcW w:w="830" w:type="dxa"/>
            <w:tcBorders>
              <w:top w:val="nil"/>
              <w:left w:val="nil"/>
              <w:bottom w:val="nil"/>
              <w:right w:val="single" w:sz="4" w:space="0" w:color="auto"/>
            </w:tcBorders>
            <w:shd w:val="clear" w:color="000000" w:fill="FBC7CA"/>
            <w:noWrap/>
            <w:vAlign w:val="center"/>
            <w:hideMark/>
          </w:tcPr>
          <w:p w14:paraId="088AB43C"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0.0041</w:t>
            </w:r>
          </w:p>
        </w:tc>
        <w:tc>
          <w:tcPr>
            <w:tcW w:w="1540" w:type="dxa"/>
            <w:tcBorders>
              <w:top w:val="nil"/>
              <w:left w:val="single" w:sz="4" w:space="0" w:color="auto"/>
              <w:bottom w:val="nil"/>
              <w:right w:val="single" w:sz="4" w:space="0" w:color="auto"/>
            </w:tcBorders>
            <w:shd w:val="clear" w:color="000000" w:fill="FAB9BB"/>
            <w:noWrap/>
            <w:vAlign w:val="center"/>
            <w:hideMark/>
          </w:tcPr>
          <w:p w14:paraId="4C3122C2"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0.771</w:t>
            </w:r>
          </w:p>
        </w:tc>
        <w:tc>
          <w:tcPr>
            <w:tcW w:w="1223" w:type="dxa"/>
            <w:tcBorders>
              <w:top w:val="nil"/>
              <w:left w:val="nil"/>
              <w:bottom w:val="nil"/>
              <w:right w:val="nil"/>
            </w:tcBorders>
            <w:shd w:val="clear" w:color="000000" w:fill="FBBABC"/>
            <w:noWrap/>
            <w:vAlign w:val="center"/>
            <w:hideMark/>
          </w:tcPr>
          <w:p w14:paraId="140F58D3"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0.229</w:t>
            </w:r>
          </w:p>
        </w:tc>
      </w:tr>
      <w:tr w:rsidR="00397C61" w:rsidRPr="006352FB" w14:paraId="579C256C" w14:textId="77777777" w:rsidTr="002B6313">
        <w:trPr>
          <w:trHeight w:val="600"/>
        </w:trPr>
        <w:tc>
          <w:tcPr>
            <w:tcW w:w="1260" w:type="dxa"/>
            <w:tcBorders>
              <w:top w:val="nil"/>
              <w:left w:val="nil"/>
              <w:bottom w:val="nil"/>
              <w:right w:val="nil"/>
            </w:tcBorders>
            <w:shd w:val="clear" w:color="auto" w:fill="auto"/>
            <w:noWrap/>
            <w:vAlign w:val="center"/>
            <w:hideMark/>
          </w:tcPr>
          <w:p w14:paraId="4E1BBA77"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24%</w:t>
            </w:r>
          </w:p>
        </w:tc>
        <w:tc>
          <w:tcPr>
            <w:tcW w:w="1170" w:type="dxa"/>
            <w:tcBorders>
              <w:top w:val="nil"/>
              <w:left w:val="nil"/>
              <w:bottom w:val="nil"/>
              <w:right w:val="nil"/>
            </w:tcBorders>
            <w:shd w:val="clear" w:color="auto" w:fill="auto"/>
            <w:noWrap/>
            <w:vAlign w:val="center"/>
            <w:hideMark/>
          </w:tcPr>
          <w:p w14:paraId="18CD4545"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350" w:type="dxa"/>
            <w:tcBorders>
              <w:top w:val="nil"/>
              <w:left w:val="nil"/>
              <w:bottom w:val="nil"/>
              <w:right w:val="nil"/>
            </w:tcBorders>
            <w:shd w:val="clear" w:color="auto" w:fill="auto"/>
            <w:noWrap/>
            <w:vAlign w:val="center"/>
            <w:hideMark/>
          </w:tcPr>
          <w:p w14:paraId="15E719F9"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830" w:type="dxa"/>
            <w:tcBorders>
              <w:top w:val="nil"/>
              <w:left w:val="single" w:sz="4" w:space="0" w:color="auto"/>
              <w:bottom w:val="nil"/>
              <w:right w:val="nil"/>
            </w:tcBorders>
            <w:shd w:val="clear" w:color="000000" w:fill="63BE7B"/>
            <w:noWrap/>
            <w:vAlign w:val="center"/>
            <w:hideMark/>
          </w:tcPr>
          <w:p w14:paraId="5DDC17E2"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63BE7B"/>
            <w:noWrap/>
            <w:vAlign w:val="center"/>
            <w:hideMark/>
          </w:tcPr>
          <w:p w14:paraId="5F8D1C4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830" w:type="dxa"/>
            <w:tcBorders>
              <w:top w:val="nil"/>
              <w:left w:val="nil"/>
              <w:bottom w:val="nil"/>
              <w:right w:val="nil"/>
            </w:tcBorders>
            <w:shd w:val="clear" w:color="000000" w:fill="FCF9FC"/>
            <w:noWrap/>
            <w:vAlign w:val="center"/>
            <w:hideMark/>
          </w:tcPr>
          <w:p w14:paraId="4383C90F"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0.0004</w:t>
            </w:r>
          </w:p>
        </w:tc>
        <w:tc>
          <w:tcPr>
            <w:tcW w:w="830" w:type="dxa"/>
            <w:tcBorders>
              <w:top w:val="nil"/>
              <w:left w:val="nil"/>
              <w:bottom w:val="nil"/>
              <w:right w:val="single" w:sz="4" w:space="0" w:color="auto"/>
            </w:tcBorders>
            <w:shd w:val="clear" w:color="000000" w:fill="FAAFB1"/>
            <w:noWrap/>
            <w:vAlign w:val="center"/>
            <w:hideMark/>
          </w:tcPr>
          <w:p w14:paraId="31C50D6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0.0059</w:t>
            </w:r>
          </w:p>
        </w:tc>
        <w:tc>
          <w:tcPr>
            <w:tcW w:w="1540" w:type="dxa"/>
            <w:tcBorders>
              <w:top w:val="nil"/>
              <w:left w:val="single" w:sz="4" w:space="0" w:color="auto"/>
              <w:bottom w:val="nil"/>
              <w:right w:val="single" w:sz="4" w:space="0" w:color="auto"/>
            </w:tcBorders>
            <w:shd w:val="clear" w:color="000000" w:fill="F8696B"/>
            <w:noWrap/>
            <w:vAlign w:val="center"/>
            <w:hideMark/>
          </w:tcPr>
          <w:p w14:paraId="6FA10BA6"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0.718</w:t>
            </w:r>
          </w:p>
        </w:tc>
        <w:tc>
          <w:tcPr>
            <w:tcW w:w="1223" w:type="dxa"/>
            <w:tcBorders>
              <w:top w:val="nil"/>
              <w:left w:val="nil"/>
              <w:bottom w:val="nil"/>
              <w:right w:val="nil"/>
            </w:tcBorders>
            <w:shd w:val="clear" w:color="000000" w:fill="F8696B"/>
            <w:noWrap/>
            <w:vAlign w:val="center"/>
            <w:hideMark/>
          </w:tcPr>
          <w:p w14:paraId="1048E59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0.282</w:t>
            </w:r>
          </w:p>
        </w:tc>
      </w:tr>
      <w:tr w:rsidR="00397C61" w:rsidRPr="006352FB" w14:paraId="4B20A1FD" w14:textId="77777777" w:rsidTr="002B6313">
        <w:trPr>
          <w:trHeight w:val="600"/>
        </w:trPr>
        <w:tc>
          <w:tcPr>
            <w:tcW w:w="1260" w:type="dxa"/>
            <w:tcBorders>
              <w:top w:val="nil"/>
              <w:left w:val="nil"/>
              <w:bottom w:val="nil"/>
              <w:right w:val="nil"/>
            </w:tcBorders>
            <w:shd w:val="clear" w:color="auto" w:fill="auto"/>
            <w:noWrap/>
            <w:vAlign w:val="center"/>
            <w:hideMark/>
          </w:tcPr>
          <w:p w14:paraId="1C548517"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w:t>
            </w:r>
          </w:p>
        </w:tc>
        <w:tc>
          <w:tcPr>
            <w:tcW w:w="1170" w:type="dxa"/>
            <w:tcBorders>
              <w:top w:val="nil"/>
              <w:left w:val="nil"/>
              <w:bottom w:val="nil"/>
              <w:right w:val="nil"/>
            </w:tcBorders>
            <w:shd w:val="clear" w:color="auto" w:fill="auto"/>
            <w:noWrap/>
            <w:vAlign w:val="center"/>
            <w:hideMark/>
          </w:tcPr>
          <w:p w14:paraId="71828990"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350" w:type="dxa"/>
            <w:tcBorders>
              <w:top w:val="nil"/>
              <w:left w:val="nil"/>
              <w:bottom w:val="nil"/>
              <w:right w:val="nil"/>
            </w:tcBorders>
            <w:shd w:val="clear" w:color="auto" w:fill="auto"/>
            <w:noWrap/>
            <w:vAlign w:val="center"/>
            <w:hideMark/>
          </w:tcPr>
          <w:p w14:paraId="37E43AB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830" w:type="dxa"/>
            <w:tcBorders>
              <w:top w:val="nil"/>
              <w:left w:val="single" w:sz="4" w:space="0" w:color="auto"/>
              <w:bottom w:val="nil"/>
              <w:right w:val="nil"/>
            </w:tcBorders>
            <w:shd w:val="clear" w:color="000000" w:fill="63BE7B"/>
            <w:noWrap/>
            <w:vAlign w:val="center"/>
            <w:hideMark/>
          </w:tcPr>
          <w:p w14:paraId="49AD83C7"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C9E7D3"/>
            <w:noWrap/>
            <w:vAlign w:val="center"/>
            <w:hideMark/>
          </w:tcPr>
          <w:p w14:paraId="20A5487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0.0001</w:t>
            </w:r>
          </w:p>
        </w:tc>
        <w:tc>
          <w:tcPr>
            <w:tcW w:w="830" w:type="dxa"/>
            <w:tcBorders>
              <w:top w:val="nil"/>
              <w:left w:val="nil"/>
              <w:bottom w:val="nil"/>
              <w:right w:val="nil"/>
            </w:tcBorders>
            <w:shd w:val="clear" w:color="000000" w:fill="FCFCFF"/>
            <w:noWrap/>
            <w:vAlign w:val="center"/>
            <w:hideMark/>
          </w:tcPr>
          <w:p w14:paraId="7FD957D6"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0.0002</w:t>
            </w:r>
          </w:p>
        </w:tc>
        <w:tc>
          <w:tcPr>
            <w:tcW w:w="830" w:type="dxa"/>
            <w:tcBorders>
              <w:top w:val="nil"/>
              <w:left w:val="nil"/>
              <w:bottom w:val="nil"/>
              <w:right w:val="single" w:sz="4" w:space="0" w:color="auto"/>
            </w:tcBorders>
            <w:shd w:val="clear" w:color="000000" w:fill="FBCCCF"/>
            <w:noWrap/>
            <w:vAlign w:val="center"/>
            <w:hideMark/>
          </w:tcPr>
          <w:p w14:paraId="500BBAC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0.0037</w:t>
            </w:r>
          </w:p>
        </w:tc>
        <w:tc>
          <w:tcPr>
            <w:tcW w:w="1540" w:type="dxa"/>
            <w:tcBorders>
              <w:top w:val="nil"/>
              <w:left w:val="single" w:sz="4" w:space="0" w:color="auto"/>
              <w:bottom w:val="nil"/>
              <w:right w:val="single" w:sz="4" w:space="0" w:color="auto"/>
            </w:tcBorders>
            <w:shd w:val="clear" w:color="000000" w:fill="7EC992"/>
            <w:noWrap/>
            <w:vAlign w:val="center"/>
            <w:hideMark/>
          </w:tcPr>
          <w:p w14:paraId="6D0A59A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0.833</w:t>
            </w:r>
          </w:p>
        </w:tc>
        <w:tc>
          <w:tcPr>
            <w:tcW w:w="1223" w:type="dxa"/>
            <w:tcBorders>
              <w:top w:val="nil"/>
              <w:left w:val="nil"/>
              <w:bottom w:val="nil"/>
              <w:right w:val="nil"/>
            </w:tcBorders>
            <w:shd w:val="clear" w:color="000000" w:fill="7DC891"/>
            <w:noWrap/>
            <w:vAlign w:val="center"/>
            <w:hideMark/>
          </w:tcPr>
          <w:p w14:paraId="411E86A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0.167</w:t>
            </w:r>
          </w:p>
        </w:tc>
      </w:tr>
      <w:tr w:rsidR="00397C61" w:rsidRPr="006352FB" w14:paraId="6F9989C0" w14:textId="77777777" w:rsidTr="002B6313">
        <w:trPr>
          <w:trHeight w:val="600"/>
        </w:trPr>
        <w:tc>
          <w:tcPr>
            <w:tcW w:w="1260" w:type="dxa"/>
            <w:tcBorders>
              <w:top w:val="nil"/>
              <w:left w:val="nil"/>
              <w:bottom w:val="nil"/>
              <w:right w:val="nil"/>
            </w:tcBorders>
            <w:shd w:val="clear" w:color="auto" w:fill="auto"/>
            <w:noWrap/>
            <w:vAlign w:val="center"/>
            <w:hideMark/>
          </w:tcPr>
          <w:p w14:paraId="3DF34146"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8%</w:t>
            </w:r>
          </w:p>
        </w:tc>
        <w:tc>
          <w:tcPr>
            <w:tcW w:w="1170" w:type="dxa"/>
            <w:tcBorders>
              <w:top w:val="nil"/>
              <w:left w:val="nil"/>
              <w:bottom w:val="nil"/>
              <w:right w:val="nil"/>
            </w:tcBorders>
            <w:shd w:val="clear" w:color="auto" w:fill="auto"/>
            <w:noWrap/>
            <w:vAlign w:val="center"/>
            <w:hideMark/>
          </w:tcPr>
          <w:p w14:paraId="381BF68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350" w:type="dxa"/>
            <w:tcBorders>
              <w:top w:val="nil"/>
              <w:left w:val="nil"/>
              <w:bottom w:val="nil"/>
              <w:right w:val="nil"/>
            </w:tcBorders>
            <w:shd w:val="clear" w:color="auto" w:fill="auto"/>
            <w:noWrap/>
            <w:vAlign w:val="center"/>
            <w:hideMark/>
          </w:tcPr>
          <w:p w14:paraId="23CD08DC"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830" w:type="dxa"/>
            <w:tcBorders>
              <w:top w:val="nil"/>
              <w:left w:val="single" w:sz="4" w:space="0" w:color="auto"/>
              <w:bottom w:val="nil"/>
              <w:right w:val="nil"/>
            </w:tcBorders>
            <w:shd w:val="clear" w:color="000000" w:fill="63BE7B"/>
            <w:noWrap/>
            <w:vAlign w:val="center"/>
            <w:hideMark/>
          </w:tcPr>
          <w:p w14:paraId="0BD9B0C6"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63BE7B"/>
            <w:noWrap/>
            <w:vAlign w:val="center"/>
            <w:hideMark/>
          </w:tcPr>
          <w:p w14:paraId="395F4F0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830" w:type="dxa"/>
            <w:tcBorders>
              <w:top w:val="nil"/>
              <w:left w:val="nil"/>
              <w:bottom w:val="nil"/>
              <w:right w:val="nil"/>
            </w:tcBorders>
            <w:shd w:val="clear" w:color="000000" w:fill="FCFCFF"/>
            <w:noWrap/>
            <w:vAlign w:val="center"/>
            <w:hideMark/>
          </w:tcPr>
          <w:p w14:paraId="1867BB1A"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0.0002</w:t>
            </w:r>
          </w:p>
        </w:tc>
        <w:tc>
          <w:tcPr>
            <w:tcW w:w="830" w:type="dxa"/>
            <w:tcBorders>
              <w:top w:val="nil"/>
              <w:left w:val="nil"/>
              <w:bottom w:val="nil"/>
              <w:right w:val="single" w:sz="4" w:space="0" w:color="auto"/>
            </w:tcBorders>
            <w:shd w:val="clear" w:color="000000" w:fill="FBC7CA"/>
            <w:noWrap/>
            <w:vAlign w:val="center"/>
            <w:hideMark/>
          </w:tcPr>
          <w:p w14:paraId="5E819C13"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0.0041</w:t>
            </w:r>
          </w:p>
        </w:tc>
        <w:tc>
          <w:tcPr>
            <w:tcW w:w="1540" w:type="dxa"/>
            <w:tcBorders>
              <w:top w:val="nil"/>
              <w:left w:val="single" w:sz="4" w:space="0" w:color="auto"/>
              <w:bottom w:val="nil"/>
              <w:right w:val="single" w:sz="4" w:space="0" w:color="auto"/>
            </w:tcBorders>
            <w:shd w:val="clear" w:color="000000" w:fill="FBFBFE"/>
            <w:noWrap/>
            <w:vAlign w:val="center"/>
            <w:hideMark/>
          </w:tcPr>
          <w:p w14:paraId="2D4D779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0.815</w:t>
            </w:r>
          </w:p>
        </w:tc>
        <w:tc>
          <w:tcPr>
            <w:tcW w:w="1223" w:type="dxa"/>
            <w:tcBorders>
              <w:top w:val="nil"/>
              <w:left w:val="nil"/>
              <w:bottom w:val="nil"/>
              <w:right w:val="nil"/>
            </w:tcBorders>
            <w:shd w:val="clear" w:color="000000" w:fill="FCFCFF"/>
            <w:noWrap/>
            <w:vAlign w:val="center"/>
            <w:hideMark/>
          </w:tcPr>
          <w:p w14:paraId="0FF2C5C3"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0.185</w:t>
            </w:r>
          </w:p>
        </w:tc>
      </w:tr>
      <w:tr w:rsidR="00397C61" w:rsidRPr="006352FB" w14:paraId="59FEF800" w14:textId="77777777" w:rsidTr="002B6313">
        <w:trPr>
          <w:trHeight w:val="600"/>
        </w:trPr>
        <w:tc>
          <w:tcPr>
            <w:tcW w:w="1260" w:type="dxa"/>
            <w:tcBorders>
              <w:top w:val="nil"/>
              <w:left w:val="nil"/>
              <w:bottom w:val="nil"/>
              <w:right w:val="nil"/>
            </w:tcBorders>
            <w:shd w:val="clear" w:color="auto" w:fill="auto"/>
            <w:noWrap/>
            <w:vAlign w:val="center"/>
            <w:hideMark/>
          </w:tcPr>
          <w:p w14:paraId="704688A0"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16%</w:t>
            </w:r>
          </w:p>
        </w:tc>
        <w:tc>
          <w:tcPr>
            <w:tcW w:w="1170" w:type="dxa"/>
            <w:tcBorders>
              <w:top w:val="nil"/>
              <w:left w:val="nil"/>
              <w:bottom w:val="nil"/>
              <w:right w:val="nil"/>
            </w:tcBorders>
            <w:shd w:val="clear" w:color="auto" w:fill="auto"/>
            <w:noWrap/>
            <w:vAlign w:val="center"/>
            <w:hideMark/>
          </w:tcPr>
          <w:p w14:paraId="5CF46852"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350" w:type="dxa"/>
            <w:tcBorders>
              <w:top w:val="nil"/>
              <w:left w:val="nil"/>
              <w:bottom w:val="nil"/>
              <w:right w:val="nil"/>
            </w:tcBorders>
            <w:shd w:val="clear" w:color="auto" w:fill="auto"/>
            <w:noWrap/>
            <w:vAlign w:val="center"/>
            <w:hideMark/>
          </w:tcPr>
          <w:p w14:paraId="2752F7EB"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830" w:type="dxa"/>
            <w:tcBorders>
              <w:top w:val="nil"/>
              <w:left w:val="single" w:sz="4" w:space="0" w:color="auto"/>
              <w:bottom w:val="nil"/>
              <w:right w:val="nil"/>
            </w:tcBorders>
            <w:shd w:val="clear" w:color="000000" w:fill="63BE7B"/>
            <w:noWrap/>
            <w:vAlign w:val="center"/>
            <w:hideMark/>
          </w:tcPr>
          <w:p w14:paraId="34FDBBF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nil"/>
              <w:right w:val="nil"/>
            </w:tcBorders>
            <w:shd w:val="clear" w:color="000000" w:fill="C9E7D3"/>
            <w:noWrap/>
            <w:vAlign w:val="center"/>
            <w:hideMark/>
          </w:tcPr>
          <w:p w14:paraId="0520415B"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0.0001</w:t>
            </w:r>
          </w:p>
        </w:tc>
        <w:tc>
          <w:tcPr>
            <w:tcW w:w="830" w:type="dxa"/>
            <w:tcBorders>
              <w:top w:val="nil"/>
              <w:left w:val="nil"/>
              <w:bottom w:val="nil"/>
              <w:right w:val="nil"/>
            </w:tcBorders>
            <w:shd w:val="clear" w:color="000000" w:fill="FCF9FC"/>
            <w:noWrap/>
            <w:vAlign w:val="center"/>
            <w:hideMark/>
          </w:tcPr>
          <w:p w14:paraId="4177FF00"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0.0004</w:t>
            </w:r>
          </w:p>
        </w:tc>
        <w:tc>
          <w:tcPr>
            <w:tcW w:w="830" w:type="dxa"/>
            <w:tcBorders>
              <w:top w:val="nil"/>
              <w:left w:val="nil"/>
              <w:bottom w:val="nil"/>
              <w:right w:val="single" w:sz="4" w:space="0" w:color="auto"/>
            </w:tcBorders>
            <w:shd w:val="clear" w:color="000000" w:fill="FAAFB1"/>
            <w:noWrap/>
            <w:vAlign w:val="center"/>
            <w:hideMark/>
          </w:tcPr>
          <w:p w14:paraId="337E6CA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0.0059</w:t>
            </w:r>
          </w:p>
        </w:tc>
        <w:tc>
          <w:tcPr>
            <w:tcW w:w="1540" w:type="dxa"/>
            <w:tcBorders>
              <w:top w:val="nil"/>
              <w:left w:val="single" w:sz="4" w:space="0" w:color="auto"/>
              <w:bottom w:val="nil"/>
              <w:right w:val="single" w:sz="4" w:space="0" w:color="auto"/>
            </w:tcBorders>
            <w:shd w:val="clear" w:color="000000" w:fill="FBE3E6"/>
            <w:noWrap/>
            <w:vAlign w:val="center"/>
            <w:hideMark/>
          </w:tcPr>
          <w:p w14:paraId="141B31B7"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0.799</w:t>
            </w:r>
          </w:p>
        </w:tc>
        <w:tc>
          <w:tcPr>
            <w:tcW w:w="1223" w:type="dxa"/>
            <w:tcBorders>
              <w:top w:val="nil"/>
              <w:left w:val="nil"/>
              <w:bottom w:val="nil"/>
              <w:right w:val="nil"/>
            </w:tcBorders>
            <w:shd w:val="clear" w:color="000000" w:fill="FCE4E7"/>
            <w:noWrap/>
            <w:vAlign w:val="center"/>
            <w:hideMark/>
          </w:tcPr>
          <w:p w14:paraId="724EF44C"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0.201</w:t>
            </w:r>
          </w:p>
        </w:tc>
      </w:tr>
      <w:tr w:rsidR="00397C61" w:rsidRPr="006352FB" w14:paraId="656E3342" w14:textId="77777777" w:rsidTr="008A6C4E">
        <w:trPr>
          <w:trHeight w:val="600"/>
        </w:trPr>
        <w:tc>
          <w:tcPr>
            <w:tcW w:w="1260" w:type="dxa"/>
            <w:tcBorders>
              <w:top w:val="nil"/>
              <w:left w:val="nil"/>
              <w:bottom w:val="single" w:sz="4" w:space="0" w:color="auto"/>
              <w:right w:val="nil"/>
            </w:tcBorders>
            <w:shd w:val="clear" w:color="auto" w:fill="auto"/>
            <w:noWrap/>
            <w:vAlign w:val="center"/>
            <w:hideMark/>
          </w:tcPr>
          <w:p w14:paraId="257D0386"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24%</w:t>
            </w:r>
          </w:p>
        </w:tc>
        <w:tc>
          <w:tcPr>
            <w:tcW w:w="1170" w:type="dxa"/>
            <w:tcBorders>
              <w:top w:val="nil"/>
              <w:left w:val="nil"/>
              <w:bottom w:val="single" w:sz="4" w:space="0" w:color="auto"/>
              <w:right w:val="nil"/>
            </w:tcBorders>
            <w:shd w:val="clear" w:color="auto" w:fill="auto"/>
            <w:noWrap/>
            <w:vAlign w:val="center"/>
            <w:hideMark/>
          </w:tcPr>
          <w:p w14:paraId="47FCF842"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350" w:type="dxa"/>
            <w:tcBorders>
              <w:top w:val="nil"/>
              <w:left w:val="nil"/>
              <w:bottom w:val="single" w:sz="4" w:space="0" w:color="auto"/>
              <w:right w:val="nil"/>
            </w:tcBorders>
            <w:shd w:val="clear" w:color="auto" w:fill="auto"/>
            <w:noWrap/>
            <w:vAlign w:val="center"/>
            <w:hideMark/>
          </w:tcPr>
          <w:p w14:paraId="4ECCC7E1"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830" w:type="dxa"/>
            <w:tcBorders>
              <w:top w:val="nil"/>
              <w:left w:val="single" w:sz="4" w:space="0" w:color="auto"/>
              <w:bottom w:val="single" w:sz="4" w:space="0" w:color="auto"/>
              <w:right w:val="nil"/>
            </w:tcBorders>
            <w:shd w:val="clear" w:color="000000" w:fill="63BE7B"/>
            <w:noWrap/>
            <w:vAlign w:val="center"/>
            <w:hideMark/>
          </w:tcPr>
          <w:p w14:paraId="211CDCA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0.0000</w:t>
            </w:r>
          </w:p>
        </w:tc>
        <w:tc>
          <w:tcPr>
            <w:tcW w:w="1152" w:type="dxa"/>
            <w:tcBorders>
              <w:top w:val="nil"/>
              <w:left w:val="nil"/>
              <w:bottom w:val="single" w:sz="4" w:space="0" w:color="auto"/>
              <w:right w:val="nil"/>
            </w:tcBorders>
            <w:shd w:val="clear" w:color="000000" w:fill="C9E7D3"/>
            <w:noWrap/>
            <w:vAlign w:val="center"/>
            <w:hideMark/>
          </w:tcPr>
          <w:p w14:paraId="6B49CB4E"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0.0001</w:t>
            </w:r>
          </w:p>
        </w:tc>
        <w:tc>
          <w:tcPr>
            <w:tcW w:w="830" w:type="dxa"/>
            <w:tcBorders>
              <w:top w:val="nil"/>
              <w:left w:val="nil"/>
              <w:bottom w:val="single" w:sz="4" w:space="0" w:color="auto"/>
              <w:right w:val="nil"/>
            </w:tcBorders>
            <w:shd w:val="clear" w:color="000000" w:fill="FCFCFF"/>
            <w:noWrap/>
            <w:vAlign w:val="center"/>
            <w:hideMark/>
          </w:tcPr>
          <w:p w14:paraId="09096AF9"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0.0002</w:t>
            </w:r>
          </w:p>
        </w:tc>
        <w:tc>
          <w:tcPr>
            <w:tcW w:w="830" w:type="dxa"/>
            <w:tcBorders>
              <w:top w:val="nil"/>
              <w:left w:val="nil"/>
              <w:bottom w:val="single" w:sz="4" w:space="0" w:color="auto"/>
              <w:right w:val="single" w:sz="4" w:space="0" w:color="auto"/>
            </w:tcBorders>
            <w:shd w:val="clear" w:color="000000" w:fill="FAACAE"/>
            <w:noWrap/>
            <w:vAlign w:val="center"/>
            <w:hideMark/>
          </w:tcPr>
          <w:p w14:paraId="49597AD8"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0.0061</w:t>
            </w:r>
          </w:p>
        </w:tc>
        <w:tc>
          <w:tcPr>
            <w:tcW w:w="1540" w:type="dxa"/>
            <w:tcBorders>
              <w:top w:val="nil"/>
              <w:left w:val="single" w:sz="4" w:space="0" w:color="auto"/>
              <w:bottom w:val="single" w:sz="4" w:space="0" w:color="auto"/>
              <w:right w:val="single" w:sz="4" w:space="0" w:color="auto"/>
            </w:tcBorders>
            <w:shd w:val="clear" w:color="000000" w:fill="FAC3C6"/>
            <w:noWrap/>
            <w:vAlign w:val="center"/>
            <w:hideMark/>
          </w:tcPr>
          <w:p w14:paraId="08CA86A4"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0.778</w:t>
            </w:r>
          </w:p>
        </w:tc>
        <w:tc>
          <w:tcPr>
            <w:tcW w:w="1223" w:type="dxa"/>
            <w:tcBorders>
              <w:top w:val="nil"/>
              <w:left w:val="nil"/>
              <w:bottom w:val="single" w:sz="4" w:space="0" w:color="auto"/>
              <w:right w:val="nil"/>
            </w:tcBorders>
            <w:shd w:val="clear" w:color="000000" w:fill="FBC4C7"/>
            <w:noWrap/>
            <w:vAlign w:val="center"/>
            <w:hideMark/>
          </w:tcPr>
          <w:p w14:paraId="5C9BF0B5" w14:textId="77777777" w:rsidR="00397C61" w:rsidRPr="006352FB" w:rsidRDefault="00397C61" w:rsidP="002B6313">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0.222</w:t>
            </w:r>
          </w:p>
        </w:tc>
      </w:tr>
    </w:tbl>
    <w:p w14:paraId="4FB14D35" w14:textId="77777777" w:rsidR="00397C61" w:rsidRDefault="00397C61" w:rsidP="00397C61"/>
    <w:sectPr w:rsidR="00397C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54F84" w14:textId="77777777" w:rsidR="00D87840" w:rsidRDefault="00D87840" w:rsidP="001102B8">
      <w:pPr>
        <w:spacing w:after="0" w:line="240" w:lineRule="auto"/>
      </w:pPr>
      <w:r>
        <w:separator/>
      </w:r>
    </w:p>
  </w:endnote>
  <w:endnote w:type="continuationSeparator" w:id="0">
    <w:p w14:paraId="52318DA1" w14:textId="77777777" w:rsidR="00D87840" w:rsidRDefault="00D87840"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11FE2DF8" w:rsidR="00667C9A" w:rsidRDefault="00667C9A">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5C721D43" w14:textId="77777777" w:rsidR="00667C9A" w:rsidRDefault="00667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788AA" w14:textId="77777777" w:rsidR="00D87840" w:rsidRDefault="00D87840" w:rsidP="001102B8">
      <w:pPr>
        <w:spacing w:after="0" w:line="240" w:lineRule="auto"/>
      </w:pPr>
      <w:r>
        <w:separator/>
      </w:r>
    </w:p>
  </w:footnote>
  <w:footnote w:type="continuationSeparator" w:id="0">
    <w:p w14:paraId="11F961C5" w14:textId="77777777" w:rsidR="00D87840" w:rsidRDefault="00D87840"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8F7"/>
    <w:rsid w:val="00015663"/>
    <w:rsid w:val="00034E9F"/>
    <w:rsid w:val="00042DFF"/>
    <w:rsid w:val="00073544"/>
    <w:rsid w:val="00081D83"/>
    <w:rsid w:val="00082ED8"/>
    <w:rsid w:val="00095B13"/>
    <w:rsid w:val="00095C92"/>
    <w:rsid w:val="000B166C"/>
    <w:rsid w:val="000B1788"/>
    <w:rsid w:val="000B5CAA"/>
    <w:rsid w:val="000C28B0"/>
    <w:rsid w:val="000C2EBA"/>
    <w:rsid w:val="000C5842"/>
    <w:rsid w:val="000D0A79"/>
    <w:rsid w:val="000D384B"/>
    <w:rsid w:val="000D4071"/>
    <w:rsid w:val="000D463C"/>
    <w:rsid w:val="000E73D4"/>
    <w:rsid w:val="001043AC"/>
    <w:rsid w:val="001102B8"/>
    <w:rsid w:val="001108BB"/>
    <w:rsid w:val="00121CE4"/>
    <w:rsid w:val="001226FA"/>
    <w:rsid w:val="00122890"/>
    <w:rsid w:val="00144BC9"/>
    <w:rsid w:val="00153A5C"/>
    <w:rsid w:val="00162446"/>
    <w:rsid w:val="00167218"/>
    <w:rsid w:val="001832A5"/>
    <w:rsid w:val="00184A85"/>
    <w:rsid w:val="001A7715"/>
    <w:rsid w:val="001B63D3"/>
    <w:rsid w:val="001C1AC5"/>
    <w:rsid w:val="001C6A31"/>
    <w:rsid w:val="001E1311"/>
    <w:rsid w:val="001F025F"/>
    <w:rsid w:val="002134FC"/>
    <w:rsid w:val="00214D7F"/>
    <w:rsid w:val="00216008"/>
    <w:rsid w:val="00217027"/>
    <w:rsid w:val="0021777C"/>
    <w:rsid w:val="002327E6"/>
    <w:rsid w:val="00233A5F"/>
    <w:rsid w:val="00254EF6"/>
    <w:rsid w:val="00264D4C"/>
    <w:rsid w:val="0028015D"/>
    <w:rsid w:val="002812F6"/>
    <w:rsid w:val="002836A7"/>
    <w:rsid w:val="00286121"/>
    <w:rsid w:val="002933CB"/>
    <w:rsid w:val="00297767"/>
    <w:rsid w:val="002A06B5"/>
    <w:rsid w:val="002A6EAC"/>
    <w:rsid w:val="002B0335"/>
    <w:rsid w:val="002B6313"/>
    <w:rsid w:val="002D13EC"/>
    <w:rsid w:val="002E1134"/>
    <w:rsid w:val="002E34DB"/>
    <w:rsid w:val="002F1498"/>
    <w:rsid w:val="0031746E"/>
    <w:rsid w:val="003313A3"/>
    <w:rsid w:val="00340AEE"/>
    <w:rsid w:val="0034207A"/>
    <w:rsid w:val="003444C5"/>
    <w:rsid w:val="003649E4"/>
    <w:rsid w:val="003650AA"/>
    <w:rsid w:val="00384D34"/>
    <w:rsid w:val="0038639C"/>
    <w:rsid w:val="00394B9E"/>
    <w:rsid w:val="00397C61"/>
    <w:rsid w:val="003B37C6"/>
    <w:rsid w:val="003C28AD"/>
    <w:rsid w:val="003C45C7"/>
    <w:rsid w:val="003F4E81"/>
    <w:rsid w:val="003F7FFA"/>
    <w:rsid w:val="00402205"/>
    <w:rsid w:val="00404992"/>
    <w:rsid w:val="00404D9C"/>
    <w:rsid w:val="00407529"/>
    <w:rsid w:val="0040786F"/>
    <w:rsid w:val="00412319"/>
    <w:rsid w:val="00424CBD"/>
    <w:rsid w:val="004342E5"/>
    <w:rsid w:val="00436159"/>
    <w:rsid w:val="00437784"/>
    <w:rsid w:val="00445AC8"/>
    <w:rsid w:val="00461D1B"/>
    <w:rsid w:val="004636E5"/>
    <w:rsid w:val="004641A5"/>
    <w:rsid w:val="004801F2"/>
    <w:rsid w:val="0049085E"/>
    <w:rsid w:val="00495509"/>
    <w:rsid w:val="00495BDF"/>
    <w:rsid w:val="004B5936"/>
    <w:rsid w:val="004C0429"/>
    <w:rsid w:val="004C5493"/>
    <w:rsid w:val="004D240F"/>
    <w:rsid w:val="004D3169"/>
    <w:rsid w:val="005056DD"/>
    <w:rsid w:val="005108A1"/>
    <w:rsid w:val="00510D9F"/>
    <w:rsid w:val="00521A79"/>
    <w:rsid w:val="0052605F"/>
    <w:rsid w:val="00526C80"/>
    <w:rsid w:val="00527C28"/>
    <w:rsid w:val="00537FE8"/>
    <w:rsid w:val="005764E8"/>
    <w:rsid w:val="005861B6"/>
    <w:rsid w:val="005869C9"/>
    <w:rsid w:val="005A1F42"/>
    <w:rsid w:val="005A5955"/>
    <w:rsid w:val="005A64D5"/>
    <w:rsid w:val="005B705E"/>
    <w:rsid w:val="005C00B2"/>
    <w:rsid w:val="005D60E8"/>
    <w:rsid w:val="005E1952"/>
    <w:rsid w:val="005F08A1"/>
    <w:rsid w:val="005F5714"/>
    <w:rsid w:val="005F6E68"/>
    <w:rsid w:val="006024C8"/>
    <w:rsid w:val="00603A70"/>
    <w:rsid w:val="00605D4F"/>
    <w:rsid w:val="006508E6"/>
    <w:rsid w:val="0065515F"/>
    <w:rsid w:val="00667C9A"/>
    <w:rsid w:val="00667EB9"/>
    <w:rsid w:val="006711CC"/>
    <w:rsid w:val="00671B5F"/>
    <w:rsid w:val="006758D5"/>
    <w:rsid w:val="0067684E"/>
    <w:rsid w:val="00697785"/>
    <w:rsid w:val="006979C5"/>
    <w:rsid w:val="006A7B80"/>
    <w:rsid w:val="006C4B83"/>
    <w:rsid w:val="006C6308"/>
    <w:rsid w:val="006D166F"/>
    <w:rsid w:val="006D239F"/>
    <w:rsid w:val="006D2DBD"/>
    <w:rsid w:val="006D5A9F"/>
    <w:rsid w:val="006D7852"/>
    <w:rsid w:val="006E70D2"/>
    <w:rsid w:val="006F12B1"/>
    <w:rsid w:val="007126E0"/>
    <w:rsid w:val="00736B68"/>
    <w:rsid w:val="007543A0"/>
    <w:rsid w:val="0077066C"/>
    <w:rsid w:val="00774E9A"/>
    <w:rsid w:val="00780C40"/>
    <w:rsid w:val="00794EF1"/>
    <w:rsid w:val="007A1583"/>
    <w:rsid w:val="007A7C27"/>
    <w:rsid w:val="007B4DC8"/>
    <w:rsid w:val="007C79B9"/>
    <w:rsid w:val="007D7153"/>
    <w:rsid w:val="007E2BBA"/>
    <w:rsid w:val="007F60DB"/>
    <w:rsid w:val="00801552"/>
    <w:rsid w:val="00802B52"/>
    <w:rsid w:val="008142EB"/>
    <w:rsid w:val="00815EB1"/>
    <w:rsid w:val="00837719"/>
    <w:rsid w:val="008427D7"/>
    <w:rsid w:val="008639D1"/>
    <w:rsid w:val="00874F8B"/>
    <w:rsid w:val="008927BB"/>
    <w:rsid w:val="008A0E1B"/>
    <w:rsid w:val="008A2C07"/>
    <w:rsid w:val="008A6C4E"/>
    <w:rsid w:val="008A72F9"/>
    <w:rsid w:val="008D11DC"/>
    <w:rsid w:val="008D299E"/>
    <w:rsid w:val="008E54F7"/>
    <w:rsid w:val="008E57F9"/>
    <w:rsid w:val="008F370D"/>
    <w:rsid w:val="009002A2"/>
    <w:rsid w:val="00900997"/>
    <w:rsid w:val="009013A4"/>
    <w:rsid w:val="00903C5C"/>
    <w:rsid w:val="00914B28"/>
    <w:rsid w:val="00923AC6"/>
    <w:rsid w:val="009251A6"/>
    <w:rsid w:val="00937D55"/>
    <w:rsid w:val="00943C72"/>
    <w:rsid w:val="00972F5D"/>
    <w:rsid w:val="00983542"/>
    <w:rsid w:val="00984554"/>
    <w:rsid w:val="00987D1B"/>
    <w:rsid w:val="009A3897"/>
    <w:rsid w:val="009A6B23"/>
    <w:rsid w:val="009A7442"/>
    <w:rsid w:val="009D7718"/>
    <w:rsid w:val="009E095A"/>
    <w:rsid w:val="009E2208"/>
    <w:rsid w:val="009F54BD"/>
    <w:rsid w:val="00A0511C"/>
    <w:rsid w:val="00A154BC"/>
    <w:rsid w:val="00A24863"/>
    <w:rsid w:val="00A45198"/>
    <w:rsid w:val="00A461AC"/>
    <w:rsid w:val="00A51C99"/>
    <w:rsid w:val="00A54224"/>
    <w:rsid w:val="00A84F94"/>
    <w:rsid w:val="00A94E62"/>
    <w:rsid w:val="00A956EB"/>
    <w:rsid w:val="00AA518B"/>
    <w:rsid w:val="00AB31CA"/>
    <w:rsid w:val="00AB5DC1"/>
    <w:rsid w:val="00AB6CC9"/>
    <w:rsid w:val="00AC17E0"/>
    <w:rsid w:val="00AD7F6B"/>
    <w:rsid w:val="00B102C1"/>
    <w:rsid w:val="00B10BA4"/>
    <w:rsid w:val="00B12730"/>
    <w:rsid w:val="00B208B3"/>
    <w:rsid w:val="00B2108E"/>
    <w:rsid w:val="00B221C8"/>
    <w:rsid w:val="00B26631"/>
    <w:rsid w:val="00B4293C"/>
    <w:rsid w:val="00B43F11"/>
    <w:rsid w:val="00B446DE"/>
    <w:rsid w:val="00B46480"/>
    <w:rsid w:val="00B633BC"/>
    <w:rsid w:val="00B64DDF"/>
    <w:rsid w:val="00B87280"/>
    <w:rsid w:val="00B93EBF"/>
    <w:rsid w:val="00B956C3"/>
    <w:rsid w:val="00BA10A9"/>
    <w:rsid w:val="00BC4DB1"/>
    <w:rsid w:val="00BC7712"/>
    <w:rsid w:val="00BC793C"/>
    <w:rsid w:val="00BE2A03"/>
    <w:rsid w:val="00BF1E29"/>
    <w:rsid w:val="00C161C1"/>
    <w:rsid w:val="00C21507"/>
    <w:rsid w:val="00C353EB"/>
    <w:rsid w:val="00C37F60"/>
    <w:rsid w:val="00C450A2"/>
    <w:rsid w:val="00C45561"/>
    <w:rsid w:val="00C6385A"/>
    <w:rsid w:val="00C63C32"/>
    <w:rsid w:val="00C806A3"/>
    <w:rsid w:val="00C874BE"/>
    <w:rsid w:val="00CB2972"/>
    <w:rsid w:val="00CC6F5D"/>
    <w:rsid w:val="00CD2789"/>
    <w:rsid w:val="00CE41BF"/>
    <w:rsid w:val="00D06828"/>
    <w:rsid w:val="00D52E2F"/>
    <w:rsid w:val="00D619A4"/>
    <w:rsid w:val="00D729F0"/>
    <w:rsid w:val="00D81519"/>
    <w:rsid w:val="00D87840"/>
    <w:rsid w:val="00D9320B"/>
    <w:rsid w:val="00D97AC3"/>
    <w:rsid w:val="00D97E17"/>
    <w:rsid w:val="00DA171B"/>
    <w:rsid w:val="00DB137B"/>
    <w:rsid w:val="00DB1797"/>
    <w:rsid w:val="00DB357E"/>
    <w:rsid w:val="00DB3FAC"/>
    <w:rsid w:val="00DC4411"/>
    <w:rsid w:val="00DD6D97"/>
    <w:rsid w:val="00DE2C8E"/>
    <w:rsid w:val="00E03EE6"/>
    <w:rsid w:val="00E12521"/>
    <w:rsid w:val="00E16764"/>
    <w:rsid w:val="00E27F39"/>
    <w:rsid w:val="00E47218"/>
    <w:rsid w:val="00E5515A"/>
    <w:rsid w:val="00E56E3C"/>
    <w:rsid w:val="00E570C0"/>
    <w:rsid w:val="00E60A80"/>
    <w:rsid w:val="00E65515"/>
    <w:rsid w:val="00E6605B"/>
    <w:rsid w:val="00EC2593"/>
    <w:rsid w:val="00EC6916"/>
    <w:rsid w:val="00ED5D47"/>
    <w:rsid w:val="00EF4526"/>
    <w:rsid w:val="00EF70A5"/>
    <w:rsid w:val="00F05B7B"/>
    <w:rsid w:val="00F05F8C"/>
    <w:rsid w:val="00F21B1E"/>
    <w:rsid w:val="00F42CD8"/>
    <w:rsid w:val="00F56E66"/>
    <w:rsid w:val="00F57C2F"/>
    <w:rsid w:val="00F74829"/>
    <w:rsid w:val="00F93FDE"/>
    <w:rsid w:val="00FB0B96"/>
    <w:rsid w:val="00FF09FA"/>
    <w:rsid w:val="00FF4148"/>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3A1E9370-3CD0-4526-B9F1-00D62761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AF1DE-0D79-40E3-8CBD-994E1B83D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9062</TotalTime>
  <Pages>19</Pages>
  <Words>8275</Words>
  <Characters>47174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Anna Tucker</cp:lastModifiedBy>
  <cp:revision>87</cp:revision>
  <dcterms:created xsi:type="dcterms:W3CDTF">2019-06-13T16:33:00Z</dcterms:created>
  <dcterms:modified xsi:type="dcterms:W3CDTF">2019-09-06T18:56:00Z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ies>
</file>