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8446B" w14:textId="77777777" w:rsidR="006374D5" w:rsidRPr="00AC11C7" w:rsidRDefault="006374D5" w:rsidP="006374D5">
      <w:pPr>
        <w:spacing w:after="0" w:line="240" w:lineRule="auto"/>
        <w:rPr>
          <w:b/>
          <w:bCs/>
        </w:rPr>
      </w:pPr>
      <w:r w:rsidRPr="00AC11C7">
        <w:rPr>
          <w:b/>
          <w:bCs/>
        </w:rPr>
        <w:t>Appendix A: Simulation model diagram</w:t>
      </w:r>
    </w:p>
    <w:p w14:paraId="77F593A3" w14:textId="77777777" w:rsidR="006374D5" w:rsidRDefault="006374D5" w:rsidP="006374D5">
      <w:pPr>
        <w:spacing w:after="0" w:line="240" w:lineRule="auto"/>
      </w:pPr>
    </w:p>
    <w:p w14:paraId="232DBB18" w14:textId="77777777" w:rsidR="006374D5" w:rsidRDefault="006374D5" w:rsidP="006374D5">
      <w:pPr>
        <w:spacing w:after="0" w:line="240" w:lineRule="auto"/>
        <w:jc w:val="center"/>
        <w:rPr>
          <w:u w:val="single"/>
        </w:rPr>
      </w:pPr>
      <w:r>
        <w:rPr>
          <w:noProof/>
          <w:u w:val="single"/>
        </w:rPr>
        <w:drawing>
          <wp:inline distT="0" distB="0" distL="0" distR="0" wp14:anchorId="3417CB98" wp14:editId="0FEA520D">
            <wp:extent cx="8229600" cy="4600575"/>
            <wp:effectExtent l="0" t="0" r="0"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mo-rates-example.png"/>
                    <pic:cNvPicPr/>
                  </pic:nvPicPr>
                  <pic:blipFill>
                    <a:blip r:embed="rId4">
                      <a:extLst>
                        <a:ext uri="{28A0092B-C50C-407E-A947-70E740481C1C}">
                          <a14:useLocalDpi xmlns:a14="http://schemas.microsoft.com/office/drawing/2010/main" val="0"/>
                        </a:ext>
                      </a:extLst>
                    </a:blip>
                    <a:stretch>
                      <a:fillRect/>
                    </a:stretch>
                  </pic:blipFill>
                  <pic:spPr>
                    <a:xfrm>
                      <a:off x="0" y="0"/>
                      <a:ext cx="8229600" cy="4600575"/>
                    </a:xfrm>
                    <a:prstGeom prst="rect">
                      <a:avLst/>
                    </a:prstGeom>
                    <a:ln>
                      <a:noFill/>
                    </a:ln>
                  </pic:spPr>
                </pic:pic>
              </a:graphicData>
            </a:graphic>
          </wp:inline>
        </w:drawing>
      </w:r>
    </w:p>
    <w:p w14:paraId="2C6F4A55" w14:textId="77777777" w:rsidR="006374D5" w:rsidRDefault="006374D5" w:rsidP="006374D5">
      <w:pPr>
        <w:spacing w:after="0" w:line="240" w:lineRule="auto"/>
        <w:rPr>
          <w:u w:val="single"/>
        </w:rPr>
      </w:pPr>
    </w:p>
    <w:p w14:paraId="448364B6" w14:textId="77777777" w:rsidR="006374D5" w:rsidRPr="00E6605B" w:rsidRDefault="006374D5" w:rsidP="006374D5">
      <w:pPr>
        <w:spacing w:after="0" w:line="240" w:lineRule="auto"/>
        <w:sectPr w:rsidR="006374D5" w:rsidRPr="00E6605B" w:rsidSect="00E6605B">
          <w:pgSz w:w="15840" w:h="12240" w:orient="landscape"/>
          <w:pgMar w:top="1440" w:right="1440" w:bottom="1440" w:left="1440" w:header="720" w:footer="720" w:gutter="0"/>
          <w:cols w:space="720"/>
          <w:docGrid w:linePitch="360"/>
        </w:sectPr>
      </w:pPr>
      <w:r>
        <w:t>Figure A1. Diagram depicting how annual demographic rates were simulated incorporating both parametric uncertainty in the true overall values and annual variation, using survival of the smallest age class (</w:t>
      </w:r>
      <m:oMath>
        <m:sSup>
          <m:sSupPr>
            <m:ctrlPr>
              <w:rPr>
                <w:rFonts w:ascii="Cambria Math" w:hAnsi="Cambria Math"/>
                <w:i/>
              </w:rPr>
            </m:ctrlPr>
          </m:sSupPr>
          <m:e>
            <m:r>
              <w:rPr>
                <w:rFonts w:ascii="Cambria Math" w:hAnsi="Cambria Math"/>
              </w:rPr>
              <m:t>S</m:t>
            </m:r>
          </m:e>
          <m:sup>
            <m:r>
              <w:rPr>
                <w:rFonts w:ascii="Cambria Math" w:hAnsi="Cambria Math"/>
              </w:rPr>
              <m:t>Y</m:t>
            </m:r>
          </m:sup>
        </m:sSup>
      </m:oMath>
      <w:r>
        <w:t>) as an example. This process was used to simulate all de</w:t>
      </w:r>
      <w:proofErr w:type="spellStart"/>
      <w:r>
        <w:t>mographic</w:t>
      </w:r>
      <w:proofErr w:type="spellEnd"/>
      <w:r>
        <w:t xml:space="preserve"> rates.</w:t>
      </w:r>
    </w:p>
    <w:p w14:paraId="7FBB7F0B" w14:textId="77777777" w:rsidR="006374D5" w:rsidRPr="00F12394" w:rsidRDefault="006374D5" w:rsidP="006374D5">
      <w:pPr>
        <w:spacing w:line="240" w:lineRule="auto"/>
        <w:rPr>
          <w:b/>
          <w:bCs/>
        </w:rPr>
      </w:pPr>
      <w:r>
        <w:rPr>
          <w:b/>
          <w:bCs/>
        </w:rPr>
        <w:lastRenderedPageBreak/>
        <w:t>Appendix B: Sensitivity Analysis</w:t>
      </w:r>
    </w:p>
    <w:p w14:paraId="5705BC89" w14:textId="77777777" w:rsidR="006374D5" w:rsidRDefault="006374D5" w:rsidP="006374D5">
      <w:pPr>
        <w:spacing w:line="240" w:lineRule="auto"/>
        <w:rPr>
          <w:b/>
          <w:bCs/>
        </w:rPr>
      </w:pPr>
    </w:p>
    <w:p w14:paraId="121EB135" w14:textId="77777777" w:rsidR="006374D5" w:rsidRDefault="006374D5" w:rsidP="006374D5">
      <w:pPr>
        <w:spacing w:line="240" w:lineRule="auto"/>
      </w:pPr>
      <w:r>
        <w:rPr>
          <w:b/>
          <w:bCs/>
        </w:rPr>
        <w:t xml:space="preserve">Table B1. </w:t>
      </w:r>
      <w:r>
        <w:t>Scenarios used to evaluate the effect of assuming a lower maximum density on model outputs.</w:t>
      </w:r>
    </w:p>
    <w:tbl>
      <w:tblPr>
        <w:tblW w:w="9450" w:type="dxa"/>
        <w:tblLook w:val="04A0" w:firstRow="1" w:lastRow="0" w:firstColumn="1" w:lastColumn="0" w:noHBand="0" w:noVBand="1"/>
      </w:tblPr>
      <w:tblGrid>
        <w:gridCol w:w="1170"/>
        <w:gridCol w:w="1170"/>
        <w:gridCol w:w="1010"/>
        <w:gridCol w:w="1152"/>
        <w:gridCol w:w="830"/>
        <w:gridCol w:w="1148"/>
        <w:gridCol w:w="1458"/>
        <w:gridCol w:w="1512"/>
      </w:tblGrid>
      <w:tr w:rsidR="006374D5" w:rsidRPr="006352FB" w14:paraId="73D0C3E4" w14:textId="77777777" w:rsidTr="00B345E8">
        <w:trPr>
          <w:trHeight w:val="300"/>
        </w:trPr>
        <w:tc>
          <w:tcPr>
            <w:tcW w:w="1170" w:type="dxa"/>
            <w:vMerge w:val="restart"/>
            <w:tcBorders>
              <w:top w:val="single" w:sz="4" w:space="0" w:color="auto"/>
              <w:left w:val="nil"/>
              <w:bottom w:val="single" w:sz="4" w:space="0" w:color="000000"/>
              <w:right w:val="nil"/>
            </w:tcBorders>
            <w:shd w:val="clear" w:color="auto" w:fill="auto"/>
            <w:vAlign w:val="center"/>
            <w:hideMark/>
          </w:tcPr>
          <w:p w14:paraId="3E810523" w14:textId="77777777" w:rsidR="006374D5" w:rsidRPr="00CF497F" w:rsidRDefault="006374D5" w:rsidP="00B345E8">
            <w:pPr>
              <w:spacing w:after="0" w:line="240" w:lineRule="auto"/>
              <w:jc w:val="center"/>
              <w:rPr>
                <w:rFonts w:ascii="Calibri" w:eastAsia="Times New Roman" w:hAnsi="Calibri" w:cs="Calibri"/>
                <w:color w:val="000000"/>
              </w:rPr>
            </w:pPr>
            <w:r w:rsidRPr="00CF497F">
              <w:rPr>
                <w:rFonts w:ascii="Calibri" w:eastAsia="Times New Roman" w:hAnsi="Calibri" w:cs="Calibri"/>
                <w:color w:val="000000"/>
              </w:rPr>
              <w:t>Maximum current density</w:t>
            </w:r>
            <w:r w:rsidRPr="00CF497F">
              <w:rPr>
                <w:rFonts w:ascii="Calibri" w:eastAsia="Times New Roman" w:hAnsi="Calibri" w:cs="Calibri"/>
                <w:color w:val="000000"/>
              </w:rPr>
              <w:br/>
              <w:t>(boas/ha)</w:t>
            </w:r>
          </w:p>
        </w:tc>
        <w:tc>
          <w:tcPr>
            <w:tcW w:w="1170" w:type="dxa"/>
            <w:vMerge w:val="restart"/>
            <w:tcBorders>
              <w:top w:val="single" w:sz="4" w:space="0" w:color="auto"/>
              <w:left w:val="nil"/>
              <w:bottom w:val="single" w:sz="4" w:space="0" w:color="000000"/>
              <w:right w:val="nil"/>
            </w:tcBorders>
            <w:shd w:val="clear" w:color="auto" w:fill="auto"/>
            <w:vAlign w:val="center"/>
            <w:hideMark/>
          </w:tcPr>
          <w:p w14:paraId="76AEE31B" w14:textId="77777777" w:rsidR="006374D5" w:rsidRPr="00CF497F" w:rsidRDefault="006374D5" w:rsidP="00B345E8">
            <w:pPr>
              <w:spacing w:after="0" w:line="240" w:lineRule="auto"/>
              <w:jc w:val="center"/>
              <w:rPr>
                <w:rFonts w:ascii="Calibri" w:eastAsia="Times New Roman" w:hAnsi="Calibri" w:cs="Calibri"/>
                <w:color w:val="000000"/>
              </w:rPr>
            </w:pPr>
            <w:r w:rsidRPr="00CF497F">
              <w:rPr>
                <w:rFonts w:ascii="Calibri" w:eastAsia="Times New Roman" w:hAnsi="Calibri" w:cs="Calibri"/>
                <w:color w:val="000000"/>
              </w:rPr>
              <w:t>Maximum carrying capacity density</w:t>
            </w:r>
            <w:r w:rsidRPr="00CF497F">
              <w:rPr>
                <w:rFonts w:ascii="Calibri" w:eastAsia="Times New Roman" w:hAnsi="Calibri" w:cs="Calibri"/>
                <w:color w:val="000000"/>
              </w:rPr>
              <w:br/>
              <w:t>(boas/ha)</w:t>
            </w:r>
          </w:p>
        </w:tc>
        <w:tc>
          <w:tcPr>
            <w:tcW w:w="414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E4B8962" w14:textId="77777777" w:rsidR="006374D5" w:rsidRPr="00CF497F" w:rsidRDefault="006374D5" w:rsidP="00B345E8">
            <w:pPr>
              <w:spacing w:after="0" w:line="240" w:lineRule="auto"/>
              <w:jc w:val="center"/>
              <w:rPr>
                <w:rFonts w:ascii="Calibri" w:eastAsia="Times New Roman" w:hAnsi="Calibri" w:cs="Calibri"/>
                <w:color w:val="000000"/>
              </w:rPr>
            </w:pPr>
            <w:r w:rsidRPr="00CF497F">
              <w:rPr>
                <w:rFonts w:ascii="Calibri" w:eastAsia="Times New Roman" w:hAnsi="Calibri" w:cs="Calibri"/>
                <w:color w:val="000000"/>
              </w:rPr>
              <w:t>Quasi-extinction probability</w:t>
            </w:r>
          </w:p>
        </w:tc>
        <w:tc>
          <w:tcPr>
            <w:tcW w:w="1458" w:type="dxa"/>
            <w:vMerge w:val="restart"/>
            <w:tcBorders>
              <w:top w:val="single" w:sz="4" w:space="0" w:color="auto"/>
              <w:left w:val="single" w:sz="4" w:space="0" w:color="auto"/>
              <w:right w:val="single" w:sz="4" w:space="0" w:color="auto"/>
            </w:tcBorders>
            <w:shd w:val="clear" w:color="auto" w:fill="auto"/>
            <w:vAlign w:val="center"/>
            <w:hideMark/>
          </w:tcPr>
          <w:p w14:paraId="22E230C5" w14:textId="77777777" w:rsidR="006374D5" w:rsidRPr="00CF497F" w:rsidRDefault="006374D5" w:rsidP="00B345E8">
            <w:pPr>
              <w:spacing w:after="0" w:line="240" w:lineRule="auto"/>
              <w:jc w:val="center"/>
              <w:rPr>
                <w:rFonts w:ascii="Calibri" w:eastAsia="Times New Roman" w:hAnsi="Calibri" w:cs="Calibri"/>
                <w:color w:val="000000"/>
              </w:rPr>
            </w:pPr>
            <w:r w:rsidRPr="00CF497F">
              <w:rPr>
                <w:rFonts w:ascii="Calibri" w:eastAsia="Times New Roman" w:hAnsi="Calibri" w:cs="Calibri"/>
                <w:color w:val="000000"/>
              </w:rPr>
              <w:t>Probability of population growth</w:t>
            </w:r>
          </w:p>
        </w:tc>
        <w:tc>
          <w:tcPr>
            <w:tcW w:w="1512" w:type="dxa"/>
            <w:vMerge w:val="restart"/>
            <w:tcBorders>
              <w:top w:val="single" w:sz="4" w:space="0" w:color="auto"/>
              <w:left w:val="nil"/>
              <w:right w:val="nil"/>
            </w:tcBorders>
            <w:shd w:val="clear" w:color="auto" w:fill="auto"/>
            <w:vAlign w:val="center"/>
            <w:hideMark/>
          </w:tcPr>
          <w:p w14:paraId="5A75C9EF" w14:textId="77777777" w:rsidR="006374D5" w:rsidRPr="00CF497F" w:rsidRDefault="006374D5" w:rsidP="00B345E8">
            <w:pPr>
              <w:spacing w:after="0" w:line="240" w:lineRule="auto"/>
              <w:jc w:val="center"/>
              <w:rPr>
                <w:rFonts w:ascii="Calibri" w:eastAsia="Times New Roman" w:hAnsi="Calibri" w:cs="Calibri"/>
                <w:color w:val="000000"/>
              </w:rPr>
            </w:pPr>
            <w:r w:rsidRPr="00CF497F">
              <w:rPr>
                <w:rFonts w:ascii="Calibri" w:eastAsia="Times New Roman" w:hAnsi="Calibri" w:cs="Calibri"/>
                <w:color w:val="000000"/>
              </w:rPr>
              <w:t>Probability of population decline</w:t>
            </w:r>
          </w:p>
        </w:tc>
      </w:tr>
      <w:tr w:rsidR="006374D5" w:rsidRPr="006352FB" w14:paraId="1AF0B31F" w14:textId="77777777" w:rsidTr="00B345E8">
        <w:trPr>
          <w:trHeight w:val="630"/>
        </w:trPr>
        <w:tc>
          <w:tcPr>
            <w:tcW w:w="1170" w:type="dxa"/>
            <w:vMerge/>
            <w:tcBorders>
              <w:top w:val="nil"/>
              <w:left w:val="nil"/>
              <w:bottom w:val="single" w:sz="4" w:space="0" w:color="000000"/>
              <w:right w:val="nil"/>
            </w:tcBorders>
            <w:shd w:val="clear" w:color="auto" w:fill="auto"/>
            <w:vAlign w:val="center"/>
            <w:hideMark/>
          </w:tcPr>
          <w:p w14:paraId="2AF7FB83" w14:textId="77777777" w:rsidR="006374D5" w:rsidRPr="006352FB" w:rsidRDefault="006374D5" w:rsidP="00B345E8">
            <w:pPr>
              <w:spacing w:after="0" w:line="240" w:lineRule="auto"/>
              <w:rPr>
                <w:rFonts w:ascii="Calibri" w:eastAsia="Times New Roman" w:hAnsi="Calibri" w:cs="Calibri"/>
                <w:b/>
                <w:bCs/>
                <w:color w:val="000000"/>
              </w:rPr>
            </w:pPr>
          </w:p>
        </w:tc>
        <w:tc>
          <w:tcPr>
            <w:tcW w:w="1170" w:type="dxa"/>
            <w:vMerge/>
            <w:tcBorders>
              <w:top w:val="nil"/>
              <w:left w:val="nil"/>
              <w:bottom w:val="single" w:sz="4" w:space="0" w:color="000000"/>
              <w:right w:val="nil"/>
            </w:tcBorders>
            <w:shd w:val="clear" w:color="auto" w:fill="auto"/>
            <w:vAlign w:val="center"/>
            <w:hideMark/>
          </w:tcPr>
          <w:p w14:paraId="0678A9D5" w14:textId="77777777" w:rsidR="006374D5" w:rsidRPr="006352FB" w:rsidRDefault="006374D5" w:rsidP="00B345E8">
            <w:pPr>
              <w:spacing w:after="0" w:line="240" w:lineRule="auto"/>
              <w:rPr>
                <w:rFonts w:ascii="Calibri" w:eastAsia="Times New Roman" w:hAnsi="Calibri" w:cs="Calibri"/>
                <w:b/>
                <w:bCs/>
                <w:color w:val="000000"/>
              </w:rPr>
            </w:pPr>
          </w:p>
        </w:tc>
        <w:tc>
          <w:tcPr>
            <w:tcW w:w="1010" w:type="dxa"/>
            <w:tcBorders>
              <w:top w:val="nil"/>
              <w:left w:val="single" w:sz="4" w:space="0" w:color="auto"/>
              <w:bottom w:val="single" w:sz="4" w:space="0" w:color="auto"/>
              <w:right w:val="nil"/>
            </w:tcBorders>
            <w:shd w:val="clear" w:color="auto" w:fill="auto"/>
            <w:vAlign w:val="center"/>
            <w:hideMark/>
          </w:tcPr>
          <w:p w14:paraId="5E1810AA" w14:textId="77777777" w:rsidR="006374D5" w:rsidRPr="00CF497F" w:rsidRDefault="006374D5" w:rsidP="00B345E8">
            <w:pPr>
              <w:spacing w:after="0" w:line="240" w:lineRule="auto"/>
              <w:jc w:val="center"/>
              <w:rPr>
                <w:rFonts w:ascii="Calibri" w:eastAsia="Times New Roman" w:hAnsi="Calibri" w:cs="Calibri"/>
                <w:color w:val="000000"/>
              </w:rPr>
            </w:pPr>
            <w:r w:rsidRPr="00CF497F">
              <w:rPr>
                <w:rFonts w:ascii="Calibri" w:eastAsia="Times New Roman" w:hAnsi="Calibri" w:cs="Calibri"/>
                <w:color w:val="000000"/>
              </w:rPr>
              <w:t>50</w:t>
            </w:r>
          </w:p>
        </w:tc>
        <w:tc>
          <w:tcPr>
            <w:tcW w:w="1152" w:type="dxa"/>
            <w:tcBorders>
              <w:top w:val="nil"/>
              <w:left w:val="nil"/>
              <w:bottom w:val="single" w:sz="4" w:space="0" w:color="auto"/>
              <w:right w:val="nil"/>
            </w:tcBorders>
            <w:shd w:val="clear" w:color="auto" w:fill="auto"/>
            <w:vAlign w:val="center"/>
            <w:hideMark/>
          </w:tcPr>
          <w:p w14:paraId="5C44441D" w14:textId="77777777" w:rsidR="006374D5" w:rsidRPr="00CF497F" w:rsidRDefault="006374D5" w:rsidP="00B345E8">
            <w:pPr>
              <w:spacing w:after="0" w:line="240" w:lineRule="auto"/>
              <w:jc w:val="center"/>
              <w:rPr>
                <w:rFonts w:ascii="Calibri" w:eastAsia="Times New Roman" w:hAnsi="Calibri" w:cs="Calibri"/>
                <w:color w:val="000000"/>
              </w:rPr>
            </w:pPr>
            <w:r w:rsidRPr="00CF497F">
              <w:rPr>
                <w:rFonts w:ascii="Calibri" w:eastAsia="Times New Roman" w:hAnsi="Calibri" w:cs="Calibri"/>
                <w:color w:val="000000"/>
              </w:rPr>
              <w:t>500</w:t>
            </w:r>
          </w:p>
        </w:tc>
        <w:tc>
          <w:tcPr>
            <w:tcW w:w="830" w:type="dxa"/>
            <w:tcBorders>
              <w:top w:val="nil"/>
              <w:left w:val="nil"/>
              <w:bottom w:val="single" w:sz="4" w:space="0" w:color="auto"/>
              <w:right w:val="nil"/>
            </w:tcBorders>
            <w:shd w:val="clear" w:color="auto" w:fill="auto"/>
            <w:vAlign w:val="center"/>
            <w:hideMark/>
          </w:tcPr>
          <w:p w14:paraId="41F5FE20" w14:textId="77777777" w:rsidR="006374D5" w:rsidRPr="00CF497F" w:rsidRDefault="006374D5" w:rsidP="00B345E8">
            <w:pPr>
              <w:spacing w:after="0" w:line="240" w:lineRule="auto"/>
              <w:jc w:val="center"/>
              <w:rPr>
                <w:rFonts w:ascii="Calibri" w:eastAsia="Times New Roman" w:hAnsi="Calibri" w:cs="Calibri"/>
                <w:color w:val="000000"/>
              </w:rPr>
            </w:pPr>
            <w:r w:rsidRPr="00CF497F">
              <w:rPr>
                <w:rFonts w:ascii="Calibri" w:eastAsia="Times New Roman" w:hAnsi="Calibri" w:cs="Calibri"/>
                <w:color w:val="000000"/>
              </w:rPr>
              <w:t>1000</w:t>
            </w:r>
          </w:p>
        </w:tc>
        <w:tc>
          <w:tcPr>
            <w:tcW w:w="1148" w:type="dxa"/>
            <w:tcBorders>
              <w:top w:val="nil"/>
              <w:left w:val="nil"/>
              <w:bottom w:val="single" w:sz="4" w:space="0" w:color="auto"/>
              <w:right w:val="single" w:sz="4" w:space="0" w:color="auto"/>
            </w:tcBorders>
            <w:shd w:val="clear" w:color="auto" w:fill="auto"/>
            <w:vAlign w:val="center"/>
            <w:hideMark/>
          </w:tcPr>
          <w:p w14:paraId="1522F98E" w14:textId="77777777" w:rsidR="006374D5" w:rsidRPr="00CF497F" w:rsidRDefault="006374D5" w:rsidP="00B345E8">
            <w:pPr>
              <w:spacing w:after="0" w:line="240" w:lineRule="auto"/>
              <w:jc w:val="center"/>
              <w:rPr>
                <w:rFonts w:ascii="Calibri" w:eastAsia="Times New Roman" w:hAnsi="Calibri" w:cs="Calibri"/>
                <w:color w:val="000000"/>
              </w:rPr>
            </w:pPr>
            <w:r w:rsidRPr="00CF497F">
              <w:rPr>
                <w:rFonts w:ascii="Calibri" w:eastAsia="Times New Roman" w:hAnsi="Calibri" w:cs="Calibri"/>
                <w:color w:val="000000"/>
              </w:rPr>
              <w:t>5000</w:t>
            </w:r>
          </w:p>
        </w:tc>
        <w:tc>
          <w:tcPr>
            <w:tcW w:w="1458" w:type="dxa"/>
            <w:vMerge/>
            <w:tcBorders>
              <w:left w:val="single" w:sz="4" w:space="0" w:color="auto"/>
              <w:bottom w:val="single" w:sz="4" w:space="0" w:color="000000"/>
              <w:right w:val="single" w:sz="4" w:space="0" w:color="auto"/>
            </w:tcBorders>
            <w:shd w:val="clear" w:color="auto" w:fill="auto"/>
            <w:vAlign w:val="center"/>
            <w:hideMark/>
          </w:tcPr>
          <w:p w14:paraId="79CC6D96" w14:textId="77777777" w:rsidR="006374D5" w:rsidRPr="006352FB" w:rsidRDefault="006374D5" w:rsidP="00B345E8">
            <w:pPr>
              <w:spacing w:after="0" w:line="240" w:lineRule="auto"/>
              <w:rPr>
                <w:rFonts w:ascii="Calibri" w:eastAsia="Times New Roman" w:hAnsi="Calibri" w:cs="Calibri"/>
                <w:b/>
                <w:bCs/>
                <w:color w:val="000000"/>
              </w:rPr>
            </w:pPr>
          </w:p>
        </w:tc>
        <w:tc>
          <w:tcPr>
            <w:tcW w:w="1512" w:type="dxa"/>
            <w:vMerge/>
            <w:tcBorders>
              <w:left w:val="nil"/>
              <w:bottom w:val="single" w:sz="4" w:space="0" w:color="000000"/>
              <w:right w:val="nil"/>
            </w:tcBorders>
            <w:shd w:val="clear" w:color="auto" w:fill="auto"/>
            <w:vAlign w:val="center"/>
            <w:hideMark/>
          </w:tcPr>
          <w:p w14:paraId="32950BC1" w14:textId="77777777" w:rsidR="006374D5" w:rsidRPr="006352FB" w:rsidRDefault="006374D5" w:rsidP="00B345E8">
            <w:pPr>
              <w:spacing w:after="0" w:line="240" w:lineRule="auto"/>
              <w:rPr>
                <w:rFonts w:ascii="Calibri" w:eastAsia="Times New Roman" w:hAnsi="Calibri" w:cs="Calibri"/>
                <w:b/>
                <w:bCs/>
                <w:color w:val="000000"/>
              </w:rPr>
            </w:pPr>
          </w:p>
        </w:tc>
      </w:tr>
      <w:tr w:rsidR="006374D5" w:rsidRPr="006352FB" w14:paraId="068FCC7C" w14:textId="77777777" w:rsidTr="00B345E8">
        <w:trPr>
          <w:trHeight w:val="600"/>
        </w:trPr>
        <w:tc>
          <w:tcPr>
            <w:tcW w:w="1170" w:type="dxa"/>
            <w:tcBorders>
              <w:top w:val="nil"/>
              <w:left w:val="nil"/>
              <w:bottom w:val="nil"/>
              <w:right w:val="nil"/>
            </w:tcBorders>
            <w:shd w:val="clear" w:color="auto" w:fill="auto"/>
            <w:noWrap/>
            <w:vAlign w:val="center"/>
            <w:hideMark/>
          </w:tcPr>
          <w:p w14:paraId="1F147518" w14:textId="77777777" w:rsidR="006374D5" w:rsidRPr="006352FB" w:rsidRDefault="006374D5" w:rsidP="00B345E8">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0.5</w:t>
            </w:r>
          </w:p>
        </w:tc>
        <w:tc>
          <w:tcPr>
            <w:tcW w:w="1170" w:type="dxa"/>
            <w:tcBorders>
              <w:top w:val="nil"/>
              <w:left w:val="nil"/>
              <w:bottom w:val="nil"/>
              <w:right w:val="nil"/>
            </w:tcBorders>
            <w:shd w:val="clear" w:color="auto" w:fill="auto"/>
            <w:noWrap/>
            <w:vAlign w:val="center"/>
            <w:hideMark/>
          </w:tcPr>
          <w:p w14:paraId="6EDCE279" w14:textId="77777777" w:rsidR="006374D5" w:rsidRPr="006352FB" w:rsidRDefault="006374D5" w:rsidP="00B345E8">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3</w:t>
            </w:r>
          </w:p>
        </w:tc>
        <w:tc>
          <w:tcPr>
            <w:tcW w:w="1010" w:type="dxa"/>
            <w:tcBorders>
              <w:top w:val="nil"/>
              <w:left w:val="single" w:sz="4" w:space="0" w:color="auto"/>
              <w:bottom w:val="nil"/>
              <w:right w:val="nil"/>
            </w:tcBorders>
            <w:shd w:val="clear" w:color="auto" w:fill="auto"/>
            <w:noWrap/>
            <w:vAlign w:val="bottom"/>
            <w:hideMark/>
          </w:tcPr>
          <w:p w14:paraId="2AE9241C"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0.000</w:t>
            </w:r>
          </w:p>
        </w:tc>
        <w:tc>
          <w:tcPr>
            <w:tcW w:w="1152" w:type="dxa"/>
            <w:tcBorders>
              <w:top w:val="nil"/>
              <w:left w:val="nil"/>
              <w:bottom w:val="nil"/>
              <w:right w:val="nil"/>
            </w:tcBorders>
            <w:shd w:val="clear" w:color="auto" w:fill="auto"/>
            <w:noWrap/>
            <w:vAlign w:val="bottom"/>
            <w:hideMark/>
          </w:tcPr>
          <w:p w14:paraId="4D1B0C3B"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0.001</w:t>
            </w:r>
          </w:p>
        </w:tc>
        <w:tc>
          <w:tcPr>
            <w:tcW w:w="830" w:type="dxa"/>
            <w:tcBorders>
              <w:top w:val="nil"/>
              <w:left w:val="nil"/>
              <w:bottom w:val="nil"/>
              <w:right w:val="nil"/>
            </w:tcBorders>
            <w:shd w:val="clear" w:color="auto" w:fill="auto"/>
            <w:noWrap/>
            <w:vAlign w:val="bottom"/>
            <w:hideMark/>
          </w:tcPr>
          <w:p w14:paraId="21B106E8"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0.001</w:t>
            </w:r>
          </w:p>
        </w:tc>
        <w:tc>
          <w:tcPr>
            <w:tcW w:w="1148" w:type="dxa"/>
            <w:tcBorders>
              <w:top w:val="nil"/>
              <w:left w:val="nil"/>
              <w:bottom w:val="nil"/>
              <w:right w:val="single" w:sz="4" w:space="0" w:color="auto"/>
            </w:tcBorders>
            <w:shd w:val="clear" w:color="auto" w:fill="auto"/>
            <w:noWrap/>
            <w:vAlign w:val="bottom"/>
            <w:hideMark/>
          </w:tcPr>
          <w:p w14:paraId="1F62B319"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0.009</w:t>
            </w:r>
          </w:p>
        </w:tc>
        <w:tc>
          <w:tcPr>
            <w:tcW w:w="1458" w:type="dxa"/>
            <w:tcBorders>
              <w:top w:val="nil"/>
              <w:left w:val="single" w:sz="4" w:space="0" w:color="auto"/>
              <w:bottom w:val="nil"/>
              <w:right w:val="single" w:sz="4" w:space="0" w:color="auto"/>
            </w:tcBorders>
            <w:shd w:val="clear" w:color="auto" w:fill="auto"/>
            <w:noWrap/>
            <w:vAlign w:val="bottom"/>
            <w:hideMark/>
          </w:tcPr>
          <w:p w14:paraId="287D7E21"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0.48</w:t>
            </w:r>
          </w:p>
        </w:tc>
        <w:tc>
          <w:tcPr>
            <w:tcW w:w="1512" w:type="dxa"/>
            <w:tcBorders>
              <w:top w:val="nil"/>
              <w:left w:val="nil"/>
              <w:bottom w:val="nil"/>
              <w:right w:val="nil"/>
            </w:tcBorders>
            <w:shd w:val="clear" w:color="auto" w:fill="auto"/>
            <w:noWrap/>
            <w:vAlign w:val="bottom"/>
            <w:hideMark/>
          </w:tcPr>
          <w:p w14:paraId="715C8CBB"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0.52</w:t>
            </w:r>
          </w:p>
        </w:tc>
      </w:tr>
      <w:tr w:rsidR="006374D5" w:rsidRPr="006352FB" w14:paraId="266FF644" w14:textId="77777777" w:rsidTr="00B345E8">
        <w:trPr>
          <w:trHeight w:val="600"/>
        </w:trPr>
        <w:tc>
          <w:tcPr>
            <w:tcW w:w="1170" w:type="dxa"/>
            <w:tcBorders>
              <w:top w:val="nil"/>
              <w:left w:val="nil"/>
              <w:bottom w:val="nil"/>
              <w:right w:val="nil"/>
            </w:tcBorders>
            <w:shd w:val="clear" w:color="auto" w:fill="auto"/>
            <w:noWrap/>
            <w:vAlign w:val="center"/>
            <w:hideMark/>
          </w:tcPr>
          <w:p w14:paraId="55A46FE9" w14:textId="77777777" w:rsidR="006374D5" w:rsidRPr="006352FB" w:rsidRDefault="006374D5" w:rsidP="00B345E8">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0.5</w:t>
            </w:r>
          </w:p>
        </w:tc>
        <w:tc>
          <w:tcPr>
            <w:tcW w:w="1170" w:type="dxa"/>
            <w:tcBorders>
              <w:top w:val="nil"/>
              <w:left w:val="nil"/>
              <w:bottom w:val="nil"/>
              <w:right w:val="nil"/>
            </w:tcBorders>
            <w:shd w:val="clear" w:color="auto" w:fill="auto"/>
            <w:noWrap/>
            <w:vAlign w:val="center"/>
            <w:hideMark/>
          </w:tcPr>
          <w:p w14:paraId="206626B2" w14:textId="77777777" w:rsidR="006374D5" w:rsidRPr="006352FB" w:rsidRDefault="006374D5" w:rsidP="00B345E8">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6</w:t>
            </w:r>
          </w:p>
        </w:tc>
        <w:tc>
          <w:tcPr>
            <w:tcW w:w="1010" w:type="dxa"/>
            <w:tcBorders>
              <w:top w:val="nil"/>
              <w:left w:val="single" w:sz="4" w:space="0" w:color="auto"/>
              <w:bottom w:val="nil"/>
              <w:right w:val="nil"/>
            </w:tcBorders>
            <w:shd w:val="clear" w:color="auto" w:fill="auto"/>
            <w:noWrap/>
            <w:vAlign w:val="bottom"/>
            <w:hideMark/>
          </w:tcPr>
          <w:p w14:paraId="09E74778"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0.000</w:t>
            </w:r>
          </w:p>
        </w:tc>
        <w:tc>
          <w:tcPr>
            <w:tcW w:w="1152" w:type="dxa"/>
            <w:tcBorders>
              <w:top w:val="nil"/>
              <w:left w:val="nil"/>
              <w:bottom w:val="nil"/>
              <w:right w:val="nil"/>
            </w:tcBorders>
            <w:shd w:val="clear" w:color="auto" w:fill="auto"/>
            <w:noWrap/>
            <w:vAlign w:val="bottom"/>
            <w:hideMark/>
          </w:tcPr>
          <w:p w14:paraId="08AD810B"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0.001</w:t>
            </w:r>
          </w:p>
        </w:tc>
        <w:tc>
          <w:tcPr>
            <w:tcW w:w="830" w:type="dxa"/>
            <w:tcBorders>
              <w:top w:val="nil"/>
              <w:left w:val="nil"/>
              <w:bottom w:val="nil"/>
              <w:right w:val="nil"/>
            </w:tcBorders>
            <w:shd w:val="clear" w:color="auto" w:fill="auto"/>
            <w:noWrap/>
            <w:vAlign w:val="bottom"/>
            <w:hideMark/>
          </w:tcPr>
          <w:p w14:paraId="033C2A30"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0.003</w:t>
            </w:r>
          </w:p>
        </w:tc>
        <w:tc>
          <w:tcPr>
            <w:tcW w:w="1148" w:type="dxa"/>
            <w:tcBorders>
              <w:top w:val="nil"/>
              <w:left w:val="nil"/>
              <w:bottom w:val="nil"/>
              <w:right w:val="single" w:sz="4" w:space="0" w:color="auto"/>
            </w:tcBorders>
            <w:shd w:val="clear" w:color="auto" w:fill="auto"/>
            <w:noWrap/>
            <w:vAlign w:val="bottom"/>
            <w:hideMark/>
          </w:tcPr>
          <w:p w14:paraId="362B26D7"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0.021</w:t>
            </w:r>
          </w:p>
        </w:tc>
        <w:tc>
          <w:tcPr>
            <w:tcW w:w="1458" w:type="dxa"/>
            <w:tcBorders>
              <w:top w:val="nil"/>
              <w:left w:val="single" w:sz="4" w:space="0" w:color="auto"/>
              <w:bottom w:val="nil"/>
              <w:right w:val="single" w:sz="4" w:space="0" w:color="auto"/>
            </w:tcBorders>
            <w:shd w:val="clear" w:color="auto" w:fill="auto"/>
            <w:noWrap/>
            <w:vAlign w:val="bottom"/>
            <w:hideMark/>
          </w:tcPr>
          <w:p w14:paraId="307DD0D0"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0.49</w:t>
            </w:r>
          </w:p>
        </w:tc>
        <w:tc>
          <w:tcPr>
            <w:tcW w:w="1512" w:type="dxa"/>
            <w:tcBorders>
              <w:top w:val="nil"/>
              <w:left w:val="nil"/>
              <w:bottom w:val="nil"/>
              <w:right w:val="nil"/>
            </w:tcBorders>
            <w:shd w:val="clear" w:color="auto" w:fill="auto"/>
            <w:noWrap/>
            <w:vAlign w:val="bottom"/>
            <w:hideMark/>
          </w:tcPr>
          <w:p w14:paraId="65C089B6"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0.51</w:t>
            </w:r>
          </w:p>
        </w:tc>
      </w:tr>
      <w:tr w:rsidR="006374D5" w:rsidRPr="006352FB" w14:paraId="594F1A46" w14:textId="77777777" w:rsidTr="00B345E8">
        <w:trPr>
          <w:trHeight w:val="600"/>
        </w:trPr>
        <w:tc>
          <w:tcPr>
            <w:tcW w:w="1170" w:type="dxa"/>
            <w:tcBorders>
              <w:top w:val="nil"/>
              <w:left w:val="nil"/>
              <w:bottom w:val="nil"/>
              <w:right w:val="nil"/>
            </w:tcBorders>
            <w:shd w:val="clear" w:color="auto" w:fill="auto"/>
            <w:noWrap/>
            <w:vAlign w:val="center"/>
            <w:hideMark/>
          </w:tcPr>
          <w:p w14:paraId="30475ECE" w14:textId="77777777" w:rsidR="006374D5" w:rsidRPr="006352FB" w:rsidRDefault="006374D5" w:rsidP="00B345E8">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w:t>
            </w:r>
          </w:p>
        </w:tc>
        <w:tc>
          <w:tcPr>
            <w:tcW w:w="1170" w:type="dxa"/>
            <w:tcBorders>
              <w:top w:val="nil"/>
              <w:left w:val="nil"/>
              <w:bottom w:val="nil"/>
              <w:right w:val="nil"/>
            </w:tcBorders>
            <w:shd w:val="clear" w:color="auto" w:fill="auto"/>
            <w:noWrap/>
            <w:vAlign w:val="center"/>
            <w:hideMark/>
          </w:tcPr>
          <w:p w14:paraId="3D0CBEFB" w14:textId="77777777" w:rsidR="006374D5" w:rsidRPr="006352FB" w:rsidRDefault="006374D5" w:rsidP="00B345E8">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3</w:t>
            </w:r>
          </w:p>
        </w:tc>
        <w:tc>
          <w:tcPr>
            <w:tcW w:w="1010" w:type="dxa"/>
            <w:tcBorders>
              <w:top w:val="nil"/>
              <w:left w:val="single" w:sz="4" w:space="0" w:color="auto"/>
              <w:bottom w:val="nil"/>
              <w:right w:val="nil"/>
            </w:tcBorders>
            <w:shd w:val="clear" w:color="auto" w:fill="auto"/>
            <w:noWrap/>
            <w:vAlign w:val="bottom"/>
            <w:hideMark/>
          </w:tcPr>
          <w:p w14:paraId="2D077B3A"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0.000</w:t>
            </w:r>
          </w:p>
        </w:tc>
        <w:tc>
          <w:tcPr>
            <w:tcW w:w="1152" w:type="dxa"/>
            <w:tcBorders>
              <w:top w:val="nil"/>
              <w:left w:val="nil"/>
              <w:bottom w:val="nil"/>
              <w:right w:val="nil"/>
            </w:tcBorders>
            <w:shd w:val="clear" w:color="auto" w:fill="auto"/>
            <w:noWrap/>
            <w:vAlign w:val="bottom"/>
            <w:hideMark/>
          </w:tcPr>
          <w:p w14:paraId="130F23F5"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0.001</w:t>
            </w:r>
          </w:p>
        </w:tc>
        <w:tc>
          <w:tcPr>
            <w:tcW w:w="830" w:type="dxa"/>
            <w:tcBorders>
              <w:top w:val="nil"/>
              <w:left w:val="nil"/>
              <w:bottom w:val="nil"/>
              <w:right w:val="nil"/>
            </w:tcBorders>
            <w:shd w:val="clear" w:color="auto" w:fill="auto"/>
            <w:noWrap/>
            <w:vAlign w:val="bottom"/>
            <w:hideMark/>
          </w:tcPr>
          <w:p w14:paraId="46E33735"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0.001</w:t>
            </w:r>
          </w:p>
        </w:tc>
        <w:tc>
          <w:tcPr>
            <w:tcW w:w="1148" w:type="dxa"/>
            <w:tcBorders>
              <w:top w:val="nil"/>
              <w:left w:val="nil"/>
              <w:bottom w:val="nil"/>
              <w:right w:val="single" w:sz="4" w:space="0" w:color="auto"/>
            </w:tcBorders>
            <w:shd w:val="clear" w:color="auto" w:fill="auto"/>
            <w:noWrap/>
            <w:vAlign w:val="bottom"/>
            <w:hideMark/>
          </w:tcPr>
          <w:p w14:paraId="15C9D7DB"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0.009</w:t>
            </w:r>
          </w:p>
        </w:tc>
        <w:tc>
          <w:tcPr>
            <w:tcW w:w="1458" w:type="dxa"/>
            <w:tcBorders>
              <w:top w:val="nil"/>
              <w:left w:val="single" w:sz="4" w:space="0" w:color="auto"/>
              <w:bottom w:val="nil"/>
              <w:right w:val="single" w:sz="4" w:space="0" w:color="auto"/>
            </w:tcBorders>
            <w:shd w:val="clear" w:color="auto" w:fill="auto"/>
            <w:noWrap/>
            <w:vAlign w:val="bottom"/>
            <w:hideMark/>
          </w:tcPr>
          <w:p w14:paraId="7B6A99BD"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0.48</w:t>
            </w:r>
          </w:p>
        </w:tc>
        <w:tc>
          <w:tcPr>
            <w:tcW w:w="1512" w:type="dxa"/>
            <w:tcBorders>
              <w:top w:val="nil"/>
              <w:left w:val="nil"/>
              <w:bottom w:val="nil"/>
              <w:right w:val="nil"/>
            </w:tcBorders>
            <w:shd w:val="clear" w:color="auto" w:fill="auto"/>
            <w:noWrap/>
            <w:vAlign w:val="bottom"/>
            <w:hideMark/>
          </w:tcPr>
          <w:p w14:paraId="4398D5CE"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0.52</w:t>
            </w:r>
          </w:p>
        </w:tc>
      </w:tr>
      <w:tr w:rsidR="006374D5" w:rsidRPr="006352FB" w14:paraId="4109FA07" w14:textId="77777777" w:rsidTr="00B345E8">
        <w:trPr>
          <w:trHeight w:val="600"/>
        </w:trPr>
        <w:tc>
          <w:tcPr>
            <w:tcW w:w="1170" w:type="dxa"/>
            <w:tcBorders>
              <w:top w:val="nil"/>
              <w:left w:val="nil"/>
              <w:bottom w:val="single" w:sz="4" w:space="0" w:color="auto"/>
              <w:right w:val="nil"/>
            </w:tcBorders>
            <w:shd w:val="clear" w:color="auto" w:fill="auto"/>
            <w:noWrap/>
            <w:vAlign w:val="center"/>
            <w:hideMark/>
          </w:tcPr>
          <w:p w14:paraId="4AAFD27C" w14:textId="77777777" w:rsidR="006374D5" w:rsidRPr="006352FB" w:rsidRDefault="006374D5" w:rsidP="00B345E8">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1</w:t>
            </w:r>
          </w:p>
        </w:tc>
        <w:tc>
          <w:tcPr>
            <w:tcW w:w="1170" w:type="dxa"/>
            <w:tcBorders>
              <w:top w:val="nil"/>
              <w:left w:val="nil"/>
              <w:bottom w:val="single" w:sz="4" w:space="0" w:color="auto"/>
              <w:right w:val="nil"/>
            </w:tcBorders>
            <w:shd w:val="clear" w:color="auto" w:fill="auto"/>
            <w:noWrap/>
            <w:vAlign w:val="center"/>
            <w:hideMark/>
          </w:tcPr>
          <w:p w14:paraId="562ABDD5" w14:textId="77777777" w:rsidR="006374D5" w:rsidRPr="006352FB" w:rsidRDefault="006374D5" w:rsidP="00B345E8">
            <w:pPr>
              <w:spacing w:after="0" w:line="240" w:lineRule="auto"/>
              <w:jc w:val="center"/>
              <w:rPr>
                <w:rFonts w:ascii="Calibri" w:eastAsia="Times New Roman" w:hAnsi="Calibri" w:cs="Calibri"/>
                <w:color w:val="000000"/>
              </w:rPr>
            </w:pPr>
            <w:r w:rsidRPr="006352FB">
              <w:rPr>
                <w:rFonts w:ascii="Calibri" w:eastAsia="Times New Roman" w:hAnsi="Calibri" w:cs="Calibri"/>
                <w:color w:val="000000"/>
              </w:rPr>
              <w:t>6</w:t>
            </w:r>
          </w:p>
        </w:tc>
        <w:tc>
          <w:tcPr>
            <w:tcW w:w="1010" w:type="dxa"/>
            <w:tcBorders>
              <w:top w:val="nil"/>
              <w:left w:val="single" w:sz="4" w:space="0" w:color="auto"/>
              <w:bottom w:val="single" w:sz="4" w:space="0" w:color="auto"/>
              <w:right w:val="nil"/>
            </w:tcBorders>
            <w:shd w:val="clear" w:color="auto" w:fill="auto"/>
            <w:noWrap/>
            <w:vAlign w:val="bottom"/>
            <w:hideMark/>
          </w:tcPr>
          <w:p w14:paraId="40C1659A"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0.000</w:t>
            </w:r>
          </w:p>
        </w:tc>
        <w:tc>
          <w:tcPr>
            <w:tcW w:w="1152" w:type="dxa"/>
            <w:tcBorders>
              <w:top w:val="nil"/>
              <w:left w:val="nil"/>
              <w:bottom w:val="single" w:sz="4" w:space="0" w:color="auto"/>
              <w:right w:val="nil"/>
            </w:tcBorders>
            <w:shd w:val="clear" w:color="auto" w:fill="auto"/>
            <w:noWrap/>
            <w:vAlign w:val="bottom"/>
            <w:hideMark/>
          </w:tcPr>
          <w:p w14:paraId="56639AE3"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0.001</w:t>
            </w:r>
          </w:p>
        </w:tc>
        <w:tc>
          <w:tcPr>
            <w:tcW w:w="830" w:type="dxa"/>
            <w:tcBorders>
              <w:top w:val="nil"/>
              <w:left w:val="nil"/>
              <w:bottom w:val="single" w:sz="4" w:space="0" w:color="auto"/>
              <w:right w:val="nil"/>
            </w:tcBorders>
            <w:shd w:val="clear" w:color="auto" w:fill="auto"/>
            <w:noWrap/>
            <w:vAlign w:val="bottom"/>
            <w:hideMark/>
          </w:tcPr>
          <w:p w14:paraId="4639DD6B"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0.003</w:t>
            </w:r>
          </w:p>
        </w:tc>
        <w:tc>
          <w:tcPr>
            <w:tcW w:w="1148" w:type="dxa"/>
            <w:tcBorders>
              <w:top w:val="nil"/>
              <w:left w:val="nil"/>
              <w:bottom w:val="single" w:sz="4" w:space="0" w:color="auto"/>
              <w:right w:val="single" w:sz="4" w:space="0" w:color="auto"/>
            </w:tcBorders>
            <w:shd w:val="clear" w:color="auto" w:fill="auto"/>
            <w:noWrap/>
            <w:vAlign w:val="bottom"/>
            <w:hideMark/>
          </w:tcPr>
          <w:p w14:paraId="34F01B60"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0.021</w:t>
            </w:r>
          </w:p>
        </w:tc>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7A5712FB"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0.49</w:t>
            </w:r>
          </w:p>
        </w:tc>
        <w:tc>
          <w:tcPr>
            <w:tcW w:w="1512" w:type="dxa"/>
            <w:tcBorders>
              <w:top w:val="nil"/>
              <w:left w:val="nil"/>
              <w:bottom w:val="single" w:sz="4" w:space="0" w:color="auto"/>
              <w:right w:val="nil"/>
            </w:tcBorders>
            <w:shd w:val="clear" w:color="auto" w:fill="auto"/>
            <w:noWrap/>
            <w:vAlign w:val="bottom"/>
            <w:hideMark/>
          </w:tcPr>
          <w:p w14:paraId="7980109B" w14:textId="77777777" w:rsidR="006374D5" w:rsidRPr="006352FB" w:rsidRDefault="006374D5" w:rsidP="00B345E8">
            <w:pPr>
              <w:spacing w:after="0" w:line="240" w:lineRule="auto"/>
              <w:jc w:val="center"/>
              <w:rPr>
                <w:rFonts w:ascii="Calibri" w:eastAsia="Times New Roman" w:hAnsi="Calibri" w:cs="Calibri"/>
                <w:color w:val="000000"/>
              </w:rPr>
            </w:pPr>
            <w:r>
              <w:rPr>
                <w:rFonts w:ascii="Calibri" w:hAnsi="Calibri" w:cs="Calibri"/>
                <w:color w:val="000000"/>
              </w:rPr>
              <w:t>0.51</w:t>
            </w:r>
          </w:p>
        </w:tc>
      </w:tr>
    </w:tbl>
    <w:p w14:paraId="36C9B1CA" w14:textId="77777777" w:rsidR="006374D5" w:rsidRDefault="006374D5" w:rsidP="006374D5">
      <w:pPr>
        <w:spacing w:line="240" w:lineRule="auto"/>
        <w:rPr>
          <w:b/>
          <w:bCs/>
        </w:rPr>
      </w:pPr>
    </w:p>
    <w:p w14:paraId="72B664A7" w14:textId="77777777" w:rsidR="006374D5" w:rsidRDefault="006374D5" w:rsidP="006374D5">
      <w:pPr>
        <w:spacing w:line="240" w:lineRule="auto"/>
        <w:rPr>
          <w:b/>
          <w:bCs/>
        </w:rPr>
      </w:pPr>
    </w:p>
    <w:p w14:paraId="5A404571" w14:textId="77777777" w:rsidR="006374D5" w:rsidRDefault="006374D5" w:rsidP="006374D5">
      <w:pPr>
        <w:spacing w:line="240" w:lineRule="auto"/>
      </w:pPr>
      <w:r>
        <w:rPr>
          <w:noProof/>
        </w:rPr>
        <w:lastRenderedPageBreak/>
        <w:drawing>
          <wp:inline distT="0" distB="0" distL="0" distR="0" wp14:anchorId="2B5A694E" wp14:editId="4686B219">
            <wp:extent cx="5943600" cy="4457700"/>
            <wp:effectExtent l="0" t="0" r="0" b="0"/>
            <wp:docPr id="10" name="Picture 1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duce_max_K_Nini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EB4D3BE" w14:textId="77777777" w:rsidR="006374D5" w:rsidRDefault="006374D5" w:rsidP="006374D5">
      <w:r w:rsidRPr="00F12394">
        <w:rPr>
          <w:b/>
          <w:bCs/>
        </w:rPr>
        <w:t>Figure B</w:t>
      </w:r>
      <w:r>
        <w:rPr>
          <w:b/>
          <w:bCs/>
        </w:rPr>
        <w:t>1</w:t>
      </w:r>
      <w:r>
        <w:t>. Projected change in population size under four different inputs for maximum current and carrying capacity density. Solid lines are the median and shaded regions represent the range in which 95% of the replications fell. The dashed horizontal line at 0 indicates no change in population size.</w:t>
      </w:r>
    </w:p>
    <w:p w14:paraId="2A2C1C1B" w14:textId="77777777" w:rsidR="006374D5" w:rsidRDefault="006374D5" w:rsidP="006374D5"/>
    <w:p w14:paraId="793F09DA" w14:textId="77777777" w:rsidR="006374D5" w:rsidRDefault="006374D5" w:rsidP="006374D5"/>
    <w:p w14:paraId="0269EC6E" w14:textId="77777777" w:rsidR="006374D5" w:rsidRDefault="006374D5" w:rsidP="006374D5"/>
    <w:p w14:paraId="349FF1BB" w14:textId="77777777" w:rsidR="006374D5" w:rsidRDefault="006374D5" w:rsidP="006374D5"/>
    <w:p w14:paraId="77096E7F" w14:textId="77777777" w:rsidR="006374D5" w:rsidRDefault="006374D5" w:rsidP="006374D5"/>
    <w:p w14:paraId="3FE0EDA1" w14:textId="77777777" w:rsidR="006374D5" w:rsidRDefault="006374D5" w:rsidP="006374D5"/>
    <w:p w14:paraId="33091E1E" w14:textId="77777777" w:rsidR="006374D5" w:rsidRDefault="006374D5" w:rsidP="006374D5"/>
    <w:p w14:paraId="7FD53C90" w14:textId="77777777" w:rsidR="006374D5" w:rsidRDefault="006374D5" w:rsidP="006374D5"/>
    <w:p w14:paraId="32814E15" w14:textId="77777777" w:rsidR="006374D5" w:rsidRDefault="006374D5" w:rsidP="006374D5"/>
    <w:p w14:paraId="259D5984" w14:textId="77777777" w:rsidR="006374D5" w:rsidRDefault="006374D5" w:rsidP="006374D5"/>
    <w:p w14:paraId="207FE749" w14:textId="77777777" w:rsidR="006374D5" w:rsidRDefault="006374D5" w:rsidP="006374D5">
      <w:r>
        <w:rPr>
          <w:noProof/>
        </w:rPr>
        <w:lastRenderedPageBreak/>
        <w:drawing>
          <wp:inline distT="0" distB="0" distL="0" distR="0" wp14:anchorId="386B3DFA" wp14:editId="053571F2">
            <wp:extent cx="5943600" cy="3714750"/>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e_probs-Nini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5D89630" w14:textId="77777777" w:rsidR="006374D5" w:rsidRDefault="006374D5" w:rsidP="006374D5">
      <w:r w:rsidRPr="005C30B8">
        <w:rPr>
          <w:b/>
          <w:bCs/>
        </w:rPr>
        <w:t>Figure B</w:t>
      </w:r>
      <w:r>
        <w:rPr>
          <w:b/>
          <w:bCs/>
        </w:rPr>
        <w:t>2</w:t>
      </w:r>
      <w:r w:rsidRPr="005C30B8">
        <w:rPr>
          <w:b/>
          <w:bCs/>
        </w:rPr>
        <w:t>.</w:t>
      </w:r>
      <w:r>
        <w:t xml:space="preserve"> Association between current population size and quasi-extinction probability. Each color line represents a different quasi-extinction threshold. Quasi-extinction probability was calculated by replicating the population projection 1,000 times for each initial population size and determining the proportion of replicates in which the population size fell below the quasi-extinction threshold.</w:t>
      </w:r>
    </w:p>
    <w:p w14:paraId="410691E5" w14:textId="77777777" w:rsidR="006374D5" w:rsidRDefault="006374D5" w:rsidP="006374D5"/>
    <w:p w14:paraId="5D848B2B" w14:textId="77777777" w:rsidR="00CE5338" w:rsidRDefault="006374D5">
      <w:bookmarkStart w:id="0" w:name="_GoBack"/>
      <w:bookmarkEnd w:id="0"/>
    </w:p>
    <w:sectPr w:rsidR="00CE5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D5"/>
    <w:rsid w:val="000B5CAA"/>
    <w:rsid w:val="006374D5"/>
    <w:rsid w:val="008A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04CB"/>
  <w15:chartTrackingRefBased/>
  <w15:docId w15:val="{0630838B-B849-462D-B5E0-939ECE33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Tucker</dc:creator>
  <cp:keywords/>
  <dc:description/>
  <cp:lastModifiedBy>Anna Tucker</cp:lastModifiedBy>
  <cp:revision>1</cp:revision>
  <dcterms:created xsi:type="dcterms:W3CDTF">2020-03-04T18:46:00Z</dcterms:created>
  <dcterms:modified xsi:type="dcterms:W3CDTF">2020-03-04T18:46:00Z</dcterms:modified>
</cp:coreProperties>
</file>