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49A" w:rsidRDefault="00C7349A" w:rsidP="00C7349A">
      <w:pPr>
        <w:keepNext/>
        <w:jc w:val="center"/>
      </w:pPr>
      <w:bookmarkStart w:id="0" w:name="_GoBack"/>
      <w:r>
        <w:rPr>
          <w:noProof/>
        </w:rPr>
        <w:drawing>
          <wp:inline distT="0" distB="0" distL="0" distR="0" wp14:anchorId="499E3BB5" wp14:editId="56656D2A">
            <wp:extent cx="8139181" cy="525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0953" cy="5258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C7349A" w:rsidRDefault="00C7349A" w:rsidP="00C7349A">
      <w:pPr>
        <w:pStyle w:val="Caption"/>
        <w:tabs>
          <w:tab w:val="left" w:pos="990"/>
        </w:tabs>
        <w:ind w:left="990" w:right="360" w:firstLine="0"/>
        <w:jc w:val="both"/>
      </w:pPr>
      <w:proofErr w:type="gramStart"/>
      <w:r w:rsidRPr="003028E9">
        <w:t xml:space="preserve">Figure </w:t>
      </w:r>
      <w:r>
        <w:t>4</w:t>
      </w:r>
      <w:r w:rsidRPr="003028E9">
        <w:t>.</w:t>
      </w:r>
      <w:proofErr w:type="gramEnd"/>
      <w:r w:rsidRPr="003028E9">
        <w:t xml:space="preserve"> Resiliency is measured at the population level, representation is measured at the species and, possibly, population level, and redundancy is measured at the species </w:t>
      </w:r>
      <w:r>
        <w:t>level</w:t>
      </w:r>
      <w:r w:rsidRPr="003028E9">
        <w:t>.</w:t>
      </w:r>
      <w:r>
        <w:t xml:space="preserve">  In practice the 3Rs are interrelated – resiliency supports redundancy, representation supports resiliency, etc.</w:t>
      </w:r>
    </w:p>
    <w:p w:rsidR="002333D0" w:rsidRDefault="00C7349A"/>
    <w:sectPr w:rsidR="002333D0" w:rsidSect="00C734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49A"/>
    <w:rsid w:val="00457992"/>
    <w:rsid w:val="00C7349A"/>
    <w:rsid w:val="00E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49A"/>
    <w:pPr>
      <w:spacing w:after="120" w:line="240" w:lineRule="auto"/>
      <w:ind w:firstLine="360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349A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9A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7349A"/>
    <w:pPr>
      <w:spacing w:after="120" w:line="240" w:lineRule="auto"/>
      <w:ind w:firstLine="360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7349A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49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49A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405156-585C-4802-B6CE-A35C743343BA}"/>
</file>

<file path=customXml/itemProps2.xml><?xml version="1.0" encoding="utf-8"?>
<ds:datastoreItem xmlns:ds="http://schemas.openxmlformats.org/officeDocument/2006/customXml" ds:itemID="{7085309C-A58C-48CF-9999-86D3FEACA7FF}"/>
</file>

<file path=customXml/itemProps3.xml><?xml version="1.0" encoding="utf-8"?>
<ds:datastoreItem xmlns:ds="http://schemas.openxmlformats.org/officeDocument/2006/customXml" ds:itemID="{EA49D05B-371B-46B8-A6B1-87D11AA576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Fish &amp; Wildlife Service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Muth, Frank</dc:creator>
  <cp:lastModifiedBy>Muth, Frank</cp:lastModifiedBy>
  <cp:revision>1</cp:revision>
  <dcterms:created xsi:type="dcterms:W3CDTF">2016-02-04T15:14:00Z</dcterms:created>
  <dcterms:modified xsi:type="dcterms:W3CDTF">2016-02-04T15:15:00Z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