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4AED" w14:textId="77777777" w:rsidR="00D062A4" w:rsidRDefault="00D062A4"/>
    <w:p w14:paraId="31C61FF2" w14:textId="77777777" w:rsidR="00D062A4" w:rsidRDefault="00D062A4"/>
    <w:p w14:paraId="18C44316" w14:textId="77777777" w:rsidR="00D062A4" w:rsidRDefault="00000000">
      <w:pPr>
        <w:spacing w:after="80"/>
        <w:jc w:val="center"/>
      </w:pPr>
      <w:r>
        <w:rPr>
          <w:rFonts w:ascii="Times New Roman" w:hAnsi="Times New Roman"/>
          <w:b/>
          <w:color w:val="115599"/>
          <w:sz w:val="36"/>
        </w:rPr>
        <w:t>ECONOMIC RECESSION PREDICTION USING MACHINE LEARNING</w:t>
      </w:r>
    </w:p>
    <w:p w14:paraId="3C4E5100" w14:textId="77777777" w:rsidR="00D062A4" w:rsidRDefault="00D062A4">
      <w:pPr>
        <w:pBdr>
          <w:bottom w:val="single" w:sz="6" w:space="1" w:color="1F497D"/>
        </w:pBdr>
        <w:spacing w:before="40" w:after="40"/>
      </w:pPr>
    </w:p>
    <w:p w14:paraId="238634B5" w14:textId="77777777" w:rsidR="00D062A4" w:rsidRDefault="00D062A4"/>
    <w:p w14:paraId="6EA0D712" w14:textId="2C97583E" w:rsidR="00D062A4" w:rsidRDefault="00F671C9" w:rsidP="00F671C9">
      <w:pPr>
        <w:jc w:val="center"/>
      </w:pPr>
      <w:r>
        <w:rPr>
          <w:i/>
          <w:noProof/>
        </w:rPr>
        <w:drawing>
          <wp:inline distT="0" distB="0" distL="0" distR="0" wp14:anchorId="45210D4D" wp14:editId="20082774">
            <wp:extent cx="3152775" cy="1447800"/>
            <wp:effectExtent l="0" t="0" r="9525" b="0"/>
            <wp:docPr id="110288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89861" name="Picture 1102889861"/>
                    <pic:cNvPicPr/>
                  </pic:nvPicPr>
                  <pic:blipFill>
                    <a:blip r:embed="rId6"/>
                    <a:stretch>
                      <a:fillRect/>
                    </a:stretch>
                  </pic:blipFill>
                  <pic:spPr>
                    <a:xfrm>
                      <a:off x="0" y="0"/>
                      <a:ext cx="3152775" cy="1447800"/>
                    </a:xfrm>
                    <a:prstGeom prst="rect">
                      <a:avLst/>
                    </a:prstGeom>
                  </pic:spPr>
                </pic:pic>
              </a:graphicData>
            </a:graphic>
          </wp:inline>
        </w:drawing>
      </w:r>
    </w:p>
    <w:p w14:paraId="2B67CD25" w14:textId="77777777" w:rsidR="00D062A4" w:rsidRDefault="00000000">
      <w:pPr>
        <w:jc w:val="center"/>
      </w:pPr>
      <w:r>
        <w:rPr>
          <w:rFonts w:ascii="Times New Roman" w:hAnsi="Times New Roman"/>
          <w:b/>
          <w:color w:val="1F497D"/>
          <w:sz w:val="26"/>
        </w:rPr>
        <w:t>Golden Gate University, San Francisco</w:t>
      </w:r>
    </w:p>
    <w:p w14:paraId="4835C4CE" w14:textId="77777777" w:rsidR="00D062A4" w:rsidRDefault="00D062A4"/>
    <w:p w14:paraId="51CBEDCC" w14:textId="77777777" w:rsidR="00D062A4" w:rsidRDefault="00000000">
      <w:pPr>
        <w:spacing w:after="60"/>
        <w:jc w:val="center"/>
      </w:pPr>
      <w:r>
        <w:rPr>
          <w:rFonts w:ascii="Times New Roman" w:hAnsi="Times New Roman"/>
          <w:b/>
        </w:rPr>
        <w:t xml:space="preserve">Submitted by:  </w:t>
      </w:r>
      <w:r>
        <w:rPr>
          <w:rFonts w:ascii="Times New Roman" w:hAnsi="Times New Roman"/>
        </w:rPr>
        <w:t>Hariom Anand</w:t>
      </w:r>
    </w:p>
    <w:p w14:paraId="176E9895" w14:textId="77777777" w:rsidR="00D062A4" w:rsidRDefault="00000000">
      <w:pPr>
        <w:spacing w:after="60"/>
        <w:jc w:val="center"/>
      </w:pPr>
      <w:r>
        <w:rPr>
          <w:rFonts w:ascii="Times New Roman" w:hAnsi="Times New Roman"/>
          <w:b/>
        </w:rPr>
        <w:t xml:space="preserve">GGU ID:  </w:t>
      </w:r>
      <w:r>
        <w:rPr>
          <w:rFonts w:ascii="Times New Roman" w:hAnsi="Times New Roman"/>
        </w:rPr>
        <w:t>0625342</w:t>
      </w:r>
    </w:p>
    <w:p w14:paraId="08E04E12" w14:textId="77777777" w:rsidR="00D062A4" w:rsidRDefault="00000000">
      <w:pPr>
        <w:spacing w:after="60"/>
        <w:jc w:val="center"/>
        <w:rPr>
          <w:rFonts w:ascii="Times New Roman" w:hAnsi="Times New Roman"/>
        </w:rPr>
      </w:pPr>
      <w:r>
        <w:rPr>
          <w:rFonts w:ascii="Times New Roman" w:hAnsi="Times New Roman"/>
          <w:b/>
        </w:rPr>
        <w:t>Course</w:t>
      </w:r>
      <w:proofErr w:type="gramStart"/>
      <w:r>
        <w:rPr>
          <w:rFonts w:ascii="Times New Roman" w:hAnsi="Times New Roman"/>
          <w:b/>
        </w:rPr>
        <w:t xml:space="preserve">:  </w:t>
      </w:r>
      <w:r>
        <w:rPr>
          <w:rFonts w:ascii="Times New Roman" w:hAnsi="Times New Roman"/>
        </w:rPr>
        <w:t>DATA110 —</w:t>
      </w:r>
      <w:proofErr w:type="gramEnd"/>
      <w:r>
        <w:rPr>
          <w:rFonts w:ascii="Times New Roman" w:hAnsi="Times New Roman"/>
        </w:rPr>
        <w:t xml:space="preserve"> Introduction to Python Programming for Machine Learning</w:t>
      </w:r>
    </w:p>
    <w:p w14:paraId="5EB7E66B" w14:textId="3B3DF11A" w:rsidR="00F671C9" w:rsidRDefault="00F671C9" w:rsidP="00F671C9">
      <w:pPr>
        <w:spacing w:after="60"/>
        <w:jc w:val="center"/>
      </w:pPr>
      <w:r>
        <w:rPr>
          <w:rFonts w:ascii="Times New Roman" w:hAnsi="Times New Roman"/>
          <w:b/>
        </w:rPr>
        <w:t>Cohort</w:t>
      </w:r>
      <w:proofErr w:type="gramStart"/>
      <w:r>
        <w:rPr>
          <w:rFonts w:ascii="Times New Roman" w:hAnsi="Times New Roman"/>
          <w:b/>
        </w:rPr>
        <w:t xml:space="preserve">:  </w:t>
      </w:r>
      <w:r>
        <w:rPr>
          <w:rFonts w:ascii="Times New Roman" w:hAnsi="Times New Roman"/>
        </w:rPr>
        <w:t>Summer</w:t>
      </w:r>
      <w:proofErr w:type="gramEnd"/>
      <w:r>
        <w:rPr>
          <w:rFonts w:ascii="Times New Roman" w:hAnsi="Times New Roman"/>
        </w:rPr>
        <w:t xml:space="preserve"> C, 2025</w:t>
      </w:r>
    </w:p>
    <w:p w14:paraId="201FB606" w14:textId="79ED458F" w:rsidR="00D062A4" w:rsidRDefault="00F671C9">
      <w:pPr>
        <w:spacing w:after="60"/>
        <w:jc w:val="center"/>
      </w:pPr>
      <w:r>
        <w:rPr>
          <w:rFonts w:ascii="Times New Roman" w:hAnsi="Times New Roman"/>
          <w:b/>
        </w:rPr>
        <w:t>Under the Guidance of</w:t>
      </w:r>
      <w:proofErr w:type="gramStart"/>
      <w:r>
        <w:rPr>
          <w:rFonts w:ascii="Times New Roman" w:hAnsi="Times New Roman"/>
          <w:b/>
        </w:rPr>
        <w:t xml:space="preserve">:  </w:t>
      </w:r>
      <w:r>
        <w:rPr>
          <w:rFonts w:ascii="Times New Roman" w:hAnsi="Times New Roman"/>
        </w:rPr>
        <w:t>Dr</w:t>
      </w:r>
      <w:proofErr w:type="gramEnd"/>
      <w:r>
        <w:rPr>
          <w:rFonts w:ascii="Times New Roman" w:hAnsi="Times New Roman"/>
        </w:rPr>
        <w:t>. Durga Sharma</w:t>
      </w:r>
    </w:p>
    <w:p w14:paraId="7B96C178" w14:textId="11560921" w:rsidR="00D062A4" w:rsidRDefault="00000000">
      <w:pPr>
        <w:spacing w:after="60"/>
        <w:jc w:val="center"/>
      </w:pPr>
      <w:r>
        <w:rPr>
          <w:rFonts w:ascii="Times New Roman" w:hAnsi="Times New Roman"/>
          <w:b/>
        </w:rPr>
        <w:t>Submission Date</w:t>
      </w:r>
      <w:proofErr w:type="gramStart"/>
      <w:r>
        <w:rPr>
          <w:rFonts w:ascii="Times New Roman" w:hAnsi="Times New Roman"/>
          <w:b/>
        </w:rPr>
        <w:t xml:space="preserve">:  </w:t>
      </w:r>
      <w:r>
        <w:rPr>
          <w:rFonts w:ascii="Times New Roman" w:hAnsi="Times New Roman"/>
        </w:rPr>
        <w:t>April</w:t>
      </w:r>
      <w:proofErr w:type="gramEnd"/>
      <w:r>
        <w:rPr>
          <w:rFonts w:ascii="Times New Roman" w:hAnsi="Times New Roman"/>
        </w:rPr>
        <w:t xml:space="preserve"> 1</w:t>
      </w:r>
      <w:r w:rsidR="00D6043C">
        <w:rPr>
          <w:rFonts w:ascii="Times New Roman" w:hAnsi="Times New Roman"/>
        </w:rPr>
        <w:t>3</w:t>
      </w:r>
      <w:r>
        <w:rPr>
          <w:rFonts w:ascii="Times New Roman" w:hAnsi="Times New Roman"/>
        </w:rPr>
        <w:t>, 2026</w:t>
      </w:r>
    </w:p>
    <w:p w14:paraId="618908C2" w14:textId="77777777" w:rsidR="00D062A4" w:rsidRDefault="00000000">
      <w:r>
        <w:br w:type="page"/>
      </w:r>
    </w:p>
    <w:p w14:paraId="6121F788" w14:textId="77777777" w:rsidR="00D062A4" w:rsidRDefault="00000000">
      <w:pPr>
        <w:pStyle w:val="Heading1"/>
        <w:spacing w:before="280"/>
      </w:pPr>
      <w:r>
        <w:rPr>
          <w:rFonts w:ascii="Times New Roman" w:hAnsi="Times New Roman"/>
          <w:color w:val="115599"/>
        </w:rPr>
        <w:lastRenderedPageBreak/>
        <w:t>Abstract</w:t>
      </w:r>
    </w:p>
    <w:p w14:paraId="6F21FC50" w14:textId="77777777" w:rsidR="00D062A4" w:rsidRDefault="00000000">
      <w:pPr>
        <w:spacing w:after="120" w:line="360" w:lineRule="auto"/>
        <w:jc w:val="both"/>
      </w:pPr>
      <w:r>
        <w:rPr>
          <w:rFonts w:ascii="Times New Roman" w:hAnsi="Times New Roman"/>
        </w:rPr>
        <w:t>Economic recessions are among the most damaging phenomena in modern economies, causing widespread unemployment, loss of household wealth, and fiscal stress for governments. This study investigates the use of machine learning techniques to predict U.S. economic recessions three months ahead using the Federal Reserve Bank of St. Louis FRED-MD macroeconomic database — a comprehensive monthly dataset of 143 economic series spanning January 1959 to November 2024. The NBER-based recession indicator (USREC) serves as the binary target variable. After applying systematic stationarity transformations per McCracken and Ng (2016), removing outliers, and engineering 27 additional lag and rolling-window features, four machine learning models were trained and evaluated: Logistic Regression, Decision Tree (Random Forest), Gradient Boosting, and an ANN-equivalent Support Vector Machine with RBF kernel. To address the severe class imbalance (approximately 12% recession months), class-weighted training and optimal probability threshold selection were applied. Logistic Regression achieved the best performance with an AUC-ROC of 0.9739 and perfect recall (1.0) at an optimal threshold of 0.23. Feature importance analysis identified rolling unemployment rate averages and lagged yield spread indicators as the most predictive variables — findings consistent with established macroeconomic theory. These results demonstrate that the FRED-MD macroeconomic feature set, combined with rigorous imbalance handling, produces robust early-warning signals for U.S. recession risk.</w:t>
      </w:r>
    </w:p>
    <w:p w14:paraId="05D97616" w14:textId="77777777" w:rsidR="00D062A4" w:rsidRDefault="00D062A4"/>
    <w:p w14:paraId="0293E890" w14:textId="77777777" w:rsidR="00D062A4" w:rsidRDefault="00000000">
      <w:r>
        <w:rPr>
          <w:rFonts w:ascii="Times New Roman" w:hAnsi="Times New Roman"/>
          <w:b/>
        </w:rPr>
        <w:t xml:space="preserve">Keywords: </w:t>
      </w:r>
      <w:r>
        <w:rPr>
          <w:rFonts w:ascii="Times New Roman" w:hAnsi="Times New Roman"/>
          <w:i/>
        </w:rPr>
        <w:t>Recession Prediction, Machine Learning, FRED-MD, Binary Classification, Logistic Regression, Random Forest, AUC-ROC, Class Imbalance, Yield Curve, Unemployment Rate</w:t>
      </w:r>
    </w:p>
    <w:p w14:paraId="7F4D831F" w14:textId="77777777" w:rsidR="00D062A4" w:rsidRDefault="00000000">
      <w:r>
        <w:br w:type="page"/>
      </w:r>
    </w:p>
    <w:p w14:paraId="5BAC3FE9" w14:textId="77777777" w:rsidR="00D062A4" w:rsidRDefault="00000000">
      <w:pPr>
        <w:pStyle w:val="Heading1"/>
        <w:spacing w:before="280"/>
      </w:pPr>
      <w:r>
        <w:rPr>
          <w:rFonts w:ascii="Times New Roman" w:hAnsi="Times New Roman"/>
          <w:color w:val="115599"/>
        </w:rPr>
        <w:lastRenderedPageBreak/>
        <w:t>1. Introduction</w:t>
      </w:r>
    </w:p>
    <w:p w14:paraId="7A1CC3F4" w14:textId="77777777" w:rsidR="00D062A4" w:rsidRDefault="00000000">
      <w:pPr>
        <w:spacing w:after="120" w:line="360" w:lineRule="auto"/>
        <w:jc w:val="both"/>
      </w:pPr>
      <w:r>
        <w:rPr>
          <w:rFonts w:ascii="Times New Roman" w:hAnsi="Times New Roman"/>
        </w:rPr>
        <w:t>Economic recessions are expensive — not just in the abstract, economic sense, but in ways that affect real people. The 2007–2009 Great Recession wiped out approximately $13 trillion in U.S. household wealth, pushed unemployment above 10 percent, and triggered a cascade of business failures, foreclosures, and government deficits that took nearly a decade to fully repair. The COVID-19 recession of 2020, though unusually short, sent unemployment to 14.7 percent in a single month — the sharpest labor market contraction in recorded U.S. history. Since World War II, the United States has experienced twelve officially recognized recessions, each carrying significant human costs alongside macroeconomic damage (National Bureau of Economic Research, 2024).</w:t>
      </w:r>
    </w:p>
    <w:p w14:paraId="3C966093" w14:textId="77777777" w:rsidR="00D062A4" w:rsidRDefault="00000000">
      <w:pPr>
        <w:spacing w:after="120" w:line="360" w:lineRule="auto"/>
        <w:jc w:val="both"/>
      </w:pPr>
      <w:r>
        <w:rPr>
          <w:rFonts w:ascii="Times New Roman" w:hAnsi="Times New Roman"/>
        </w:rPr>
        <w:t>The importance of getting recession prediction right extends across virtually every sector of economic life. For central banks and governments, reliable early warning of a downturn makes it possible to deploy monetary and fiscal responses before conditions deteriorate — cutting rates, launching stimulus programs, or adjusting automatic stabilizers. For corporations, a credible 3-to-6 month recession forecast changes hiring plans, capital expenditure timelines, and inventory strategies. For individual investors and households, the ability to anticipate contractions influences portfolio allocation, debt management, and retirement planning. The aggregate economic value of improving recession prediction accuracy — even modestly — runs into hundreds of billions of dollars annually (Stock and Watson, 2020).</w:t>
      </w:r>
    </w:p>
    <w:p w14:paraId="7003C7D5" w14:textId="77777777" w:rsidR="00D062A4" w:rsidRDefault="00000000">
      <w:pPr>
        <w:spacing w:after="120" w:line="360" w:lineRule="auto"/>
        <w:jc w:val="both"/>
      </w:pPr>
      <w:r>
        <w:rPr>
          <w:rFonts w:ascii="Times New Roman" w:hAnsi="Times New Roman"/>
        </w:rPr>
        <w:t xml:space="preserve">Despite decades of serious research effort, recession forecasting remains stubbornly difficult. Traditional econometric tools — probit models, vector autoregressions (VAR), and ARIMA frameworks — have delivered mixed results in practice. They depend on a small set of hand-chosen predictors, assume linear relationships between variables, and often break down precisely when they are needed most: at economic turning points, where the dynamics shift in ways that historical averages do not capture well. The yield curve spread — the difference between long-term and short-term Treasury yields — has been the single most celebrated predictor of U.S. recessions for decades. Estrella and Mishkin (1998) demonstrated that this spread provides significant out-of-sample forecasting power at horizons of four to eight quarters. Yet even this indicator generated a prolonged false </w:t>
      </w:r>
      <w:r>
        <w:rPr>
          <w:rFonts w:ascii="Times New Roman" w:hAnsi="Times New Roman"/>
        </w:rPr>
        <w:lastRenderedPageBreak/>
        <w:t>signal during the 2022–2023 monetary tightening cycle, which produced no NBER-declared recession despite a sustained inversion.</w:t>
      </w:r>
    </w:p>
    <w:p w14:paraId="5C162DD0" w14:textId="77777777" w:rsidR="00D062A4" w:rsidRDefault="00000000">
      <w:pPr>
        <w:spacing w:after="120" w:line="360" w:lineRule="auto"/>
        <w:jc w:val="both"/>
      </w:pPr>
      <w:r>
        <w:rPr>
          <w:rFonts w:ascii="Times New Roman" w:hAnsi="Times New Roman"/>
        </w:rPr>
        <w:t>Machine learning offers several concrete advantages over traditional econometric approaches for recession prediction. First, ML algorithms can incorporate large numbers of predictors without requiring the researcher to decide in advance which variables matter — the model learns this from the data itself. The Federal Reserve Bank of St. Louis FRED-MD database provides exactly this kind of rich input: 143 monthly macroeconomic series covering labor markets, interest rates, prices, output, housing, credit, and equity markets, dating back to January 1959 (McCracken and Ng, 2016). Second, ensemble methods like Random Forests and Gradient Boosted Trees naturally capture nonlinear relationships and variable interactions, which are critical for modelling the threshold effects and regime shifts that characterize recession onset. Third, regularized regression methods like LASSO and Ridge effectively manage high-dimensional feature spaces by shrinking unimportant predictors toward zero, reducing overfitting risk.</w:t>
      </w:r>
    </w:p>
    <w:p w14:paraId="59E87315" w14:textId="77777777" w:rsidR="00D062A4" w:rsidRDefault="00000000">
      <w:pPr>
        <w:spacing w:after="120" w:line="360" w:lineRule="auto"/>
        <w:jc w:val="both"/>
      </w:pPr>
      <w:r>
        <w:rPr>
          <w:rFonts w:ascii="Times New Roman" w:hAnsi="Times New Roman"/>
        </w:rPr>
        <w:t>Recent empirical work confirms these advantages. Papadopoulos et al. (2020) showed that penalized logistic regression and k-nearest neighbors consistently outperform standard probit models for U.S. recession prediction across multiple forecast horizons. Davig and Hall (2019) achieved AUC-ROC above 0.95 at 3-month and 6-month horizons using gradient boosting on the FRED dataset. Coulombe et al. (2020) found that machine learning's main advantage over traditional factor models comes from better variable selection and its ability to capture nonlinear interactions between macroeconomic variables. These studies collectively establish that the machine learning approach to recession prediction is scientifically well-founded and practically valuable.</w:t>
      </w:r>
    </w:p>
    <w:p w14:paraId="4593C365" w14:textId="77777777" w:rsidR="00D062A4" w:rsidRDefault="00000000">
      <w:pPr>
        <w:spacing w:after="120" w:line="360" w:lineRule="auto"/>
        <w:jc w:val="both"/>
      </w:pPr>
      <w:r>
        <w:rPr>
          <w:rFonts w:ascii="Times New Roman" w:hAnsi="Times New Roman"/>
        </w:rPr>
        <w:t xml:space="preserve">A critical methodological challenge in recession prediction is class imbalance. Because expansions are the default state of any modern economy — accounting for roughly 85 to 90 percent of observations in the FRED-MD dataset — standard classifiers trained on accuracy will almost always predict expansion regardless of actual economic conditions. A naive model that never predicts recession achieves 88 percent accuracy while being completely useless for its intended purpose. This requires deliberate handling through class-weighted training, threshold optimization, and evaluation metrics specifically </w:t>
      </w:r>
      <w:r>
        <w:rPr>
          <w:rFonts w:ascii="Times New Roman" w:hAnsi="Times New Roman"/>
        </w:rPr>
        <w:lastRenderedPageBreak/>
        <w:t>sensitive to minority-class performance: F1-score, recall, precision, and AUC-ROC. This project addresses all of these challenges explicitly.</w:t>
      </w:r>
    </w:p>
    <w:p w14:paraId="50BBE091" w14:textId="77777777" w:rsidR="00D062A4" w:rsidRDefault="00000000">
      <w:pPr>
        <w:spacing w:after="120" w:line="360" w:lineRule="auto"/>
        <w:jc w:val="both"/>
      </w:pPr>
      <w:r>
        <w:rPr>
          <w:rFonts w:ascii="Times New Roman" w:hAnsi="Times New Roman"/>
        </w:rPr>
        <w:t>A third challenge is the issue of real-time applicability. Most academic recession prediction studies use revised (ex-post) data, which is cleaner and more complete than what is actually available to decision-makers in real time. Giusto and Piger (2017) documented that recession prediction accuracy drops substantially when models are evaluated on real-time vintage data rather than revised data — a finding that has received insufficient attention in the applied machine learning literature. While this project uses revised FRED-MD data, future work should address this limitation by evaluating on the ALFRED real-time vintage database.</w:t>
      </w:r>
    </w:p>
    <w:p w14:paraId="52A30393" w14:textId="77777777" w:rsidR="00D062A4" w:rsidRDefault="00000000">
      <w:pPr>
        <w:spacing w:after="120" w:line="360" w:lineRule="auto"/>
        <w:jc w:val="both"/>
      </w:pPr>
      <w:r>
        <w:rPr>
          <w:rFonts w:ascii="Times New Roman" w:hAnsi="Times New Roman"/>
        </w:rPr>
        <w:t>This study builds a complete end-to-end machine learning pipeline for 3-month-ahead U.S. recession prediction in Python. Starting from 143 FRED-MD macroeconomic series, the pipeline applies systematic stationarity transformations following the McCracken and Ng (2016) transformation codes, removes outliers using the 10×IQR rule, engineers 27 additional lag and rolling-window features, and trains four machine learning classifiers: Logistic Regression, Random Forest (Decision Tree ensemble), Gradient Boosting, and Support Vector Machine (as the neural network-equivalent nonlinear classifier). Class-weighted training and threshold optimization are applied throughout. The project demonstrates that the FRED-MD macroeconomic feature set, handled with rigorous preprocessing and imbalance-aware evaluation, produces robust and interpretable early-warning signals for U.S. recession risk. The complete Python code and Jupyter Notebook are submitted alongside this report.</w:t>
      </w:r>
    </w:p>
    <w:p w14:paraId="52CD03A1" w14:textId="77777777" w:rsidR="00D062A4" w:rsidRDefault="00000000">
      <w:pPr>
        <w:spacing w:line="360" w:lineRule="auto"/>
        <w:jc w:val="both"/>
      </w:pPr>
      <w:r>
        <w:rPr>
          <w:rFonts w:ascii="Times New Roman" w:hAnsi="Times New Roman"/>
        </w:rPr>
        <w:t>The remainder of this report is organized as follows: Section 2 describes the dataset; Section 3 details the methodology; Section 4 presents results and discussion; Section 5 concludes. All references are listed in APA format, and the Python code is included in the Appendix.</w:t>
      </w:r>
    </w:p>
    <w:p w14:paraId="1E11208A" w14:textId="77777777" w:rsidR="00D062A4" w:rsidRDefault="00000000">
      <w:r>
        <w:br w:type="page"/>
      </w:r>
    </w:p>
    <w:p w14:paraId="121A1AF0" w14:textId="77777777" w:rsidR="00D062A4" w:rsidRDefault="00000000">
      <w:pPr>
        <w:pStyle w:val="Heading1"/>
        <w:spacing w:before="280"/>
      </w:pPr>
      <w:r>
        <w:rPr>
          <w:rFonts w:ascii="Times New Roman" w:hAnsi="Times New Roman"/>
          <w:color w:val="115599"/>
        </w:rPr>
        <w:lastRenderedPageBreak/>
        <w:t>2. Data Description</w:t>
      </w:r>
    </w:p>
    <w:p w14:paraId="0E8823A3" w14:textId="77777777" w:rsidR="00D062A4" w:rsidRDefault="00000000">
      <w:pPr>
        <w:spacing w:after="120" w:line="360" w:lineRule="auto"/>
        <w:jc w:val="both"/>
      </w:pPr>
      <w:r>
        <w:rPr>
          <w:rFonts w:ascii="Times New Roman" w:hAnsi="Times New Roman"/>
        </w:rPr>
        <w:t>This project uses two datasets: the FRED-MD Monthly Macroeconomic Database and the NBER-Based U.S. Recession Indicator (USREC), both provided by the Federal Reserve Bank of St. Louis.</w:t>
      </w:r>
    </w:p>
    <w:p w14:paraId="17CBCB68" w14:textId="77777777" w:rsidR="00D062A4" w:rsidRDefault="00000000">
      <w:pPr>
        <w:pStyle w:val="Heading2"/>
        <w:spacing w:after="40"/>
      </w:pPr>
      <w:r>
        <w:rPr>
          <w:rFonts w:ascii="Times New Roman" w:hAnsi="Times New Roman"/>
          <w:color w:val="1F497D"/>
          <w:sz w:val="24"/>
        </w:rPr>
        <w:t>2.1 FRED-MD Dataset</w:t>
      </w:r>
    </w:p>
    <w:p w14:paraId="00470830" w14:textId="77777777" w:rsidR="00D062A4" w:rsidRDefault="00000000">
      <w:pPr>
        <w:spacing w:after="120" w:line="360" w:lineRule="auto"/>
        <w:jc w:val="both"/>
      </w:pPr>
      <w:r>
        <w:rPr>
          <w:rFonts w:ascii="Times New Roman" w:hAnsi="Times New Roman"/>
        </w:rPr>
        <w:t>FRED-MD (McCracken and Ng, 2016) is a large monthly macroeconomic database comprising 143 economic time series covering January 1959 to November 2024 — a span of 791 monthly observations. It is publicly available for research and regularly updated. The database is organized into eight economic groups, each covering a distinct dimension of macroeconomic activity:</w:t>
      </w:r>
    </w:p>
    <w:p w14:paraId="4011BDC7" w14:textId="77777777" w:rsidR="00D062A4" w:rsidRDefault="00000000">
      <w:pPr>
        <w:pStyle w:val="ListBullet"/>
        <w:spacing w:after="40" w:line="240" w:lineRule="auto"/>
        <w:ind w:left="576"/>
      </w:pPr>
      <w:r>
        <w:rPr>
          <w:rFonts w:ascii="Times New Roman" w:hAnsi="Times New Roman"/>
        </w:rPr>
        <w:t>Group 1 — Output and Income: Industrial Production Index, Real Personal Income, Capacity Utilization (17 series)</w:t>
      </w:r>
    </w:p>
    <w:p w14:paraId="03AA58CF" w14:textId="77777777" w:rsidR="00D062A4" w:rsidRDefault="00000000">
      <w:pPr>
        <w:pStyle w:val="ListBullet"/>
        <w:spacing w:after="40" w:line="240" w:lineRule="auto"/>
        <w:ind w:left="576"/>
      </w:pPr>
      <w:r>
        <w:rPr>
          <w:rFonts w:ascii="Times New Roman" w:hAnsi="Times New Roman"/>
        </w:rPr>
        <w:t>Group 2 — Labor Market: Unemployment Rate, Non-Farm Payrolls, Initial Jobless Claims, Average Weekly Hours (32 series)</w:t>
      </w:r>
    </w:p>
    <w:p w14:paraId="391DB313" w14:textId="77777777" w:rsidR="00D062A4" w:rsidRDefault="00000000">
      <w:pPr>
        <w:pStyle w:val="ListBullet"/>
        <w:spacing w:after="40" w:line="240" w:lineRule="auto"/>
        <w:ind w:left="576"/>
      </w:pPr>
      <w:r>
        <w:rPr>
          <w:rFonts w:ascii="Times New Roman" w:hAnsi="Times New Roman"/>
        </w:rPr>
        <w:t>Group 3 — Housing: Housing Starts, Building Permits — total and by region (10 series)</w:t>
      </w:r>
    </w:p>
    <w:p w14:paraId="436BAA62" w14:textId="77777777" w:rsidR="00D062A4" w:rsidRDefault="00000000">
      <w:pPr>
        <w:pStyle w:val="ListBullet"/>
        <w:spacing w:after="40" w:line="240" w:lineRule="auto"/>
        <w:ind w:left="576"/>
      </w:pPr>
      <w:r>
        <w:rPr>
          <w:rFonts w:ascii="Times New Roman" w:hAnsi="Times New Roman"/>
        </w:rPr>
        <w:t>Group 4 — Consumption, Orders &amp; Inventories: Retail Sales, ISM PMI, New Orders for Durable Goods, Business Inventories (14 series)</w:t>
      </w:r>
    </w:p>
    <w:p w14:paraId="14743A36" w14:textId="77777777" w:rsidR="00D062A4" w:rsidRDefault="00000000">
      <w:pPr>
        <w:pStyle w:val="ListBullet"/>
        <w:spacing w:after="40" w:line="240" w:lineRule="auto"/>
        <w:ind w:left="576"/>
      </w:pPr>
      <w:r>
        <w:rPr>
          <w:rFonts w:ascii="Times New Roman" w:hAnsi="Times New Roman"/>
        </w:rPr>
        <w:t>Group 5 — Money and Credit: M1, M2, Monetary Base, Commercial Bank Loans, Consumer Credit (14 series)</w:t>
      </w:r>
    </w:p>
    <w:p w14:paraId="49E9DD78" w14:textId="77777777" w:rsidR="00D062A4" w:rsidRDefault="00000000">
      <w:pPr>
        <w:pStyle w:val="ListBullet"/>
        <w:spacing w:after="40" w:line="240" w:lineRule="auto"/>
        <w:ind w:left="576"/>
      </w:pPr>
      <w:r>
        <w:rPr>
          <w:rFonts w:ascii="Times New Roman" w:hAnsi="Times New Roman"/>
        </w:rPr>
        <w:t>Group 6 — Interest Rates and Exchange Rates: Fed Funds Rate, Treasury Yields, Yield Spreads, USD Exchange Rates (22 series)</w:t>
      </w:r>
    </w:p>
    <w:p w14:paraId="2BE212BF" w14:textId="77777777" w:rsidR="00D062A4" w:rsidRDefault="00000000">
      <w:pPr>
        <w:pStyle w:val="ListBullet"/>
        <w:spacing w:after="40" w:line="240" w:lineRule="auto"/>
        <w:ind w:left="576"/>
      </w:pPr>
      <w:r>
        <w:rPr>
          <w:rFonts w:ascii="Times New Roman" w:hAnsi="Times New Roman"/>
        </w:rPr>
        <w:t>Group 7 — Prices: CPI, PPI, PCE Deflator, Oil Prices — 21 series covering all major inflation measures</w:t>
      </w:r>
    </w:p>
    <w:p w14:paraId="1AF5EE2C" w14:textId="77777777" w:rsidR="00D062A4" w:rsidRDefault="00000000">
      <w:pPr>
        <w:pStyle w:val="ListBullet"/>
        <w:spacing w:after="40" w:line="240" w:lineRule="auto"/>
        <w:ind w:left="576"/>
      </w:pPr>
      <w:r>
        <w:rPr>
          <w:rFonts w:ascii="Times New Roman" w:hAnsi="Times New Roman"/>
        </w:rPr>
        <w:t>Group 8 — Stock Market: S&amp;P 500, Dividend Yield, PE Ratio, VIX (5 series)</w:t>
      </w:r>
    </w:p>
    <w:p w14:paraId="67BEDE15" w14:textId="77777777" w:rsidR="00D062A4" w:rsidRDefault="00000000">
      <w:pPr>
        <w:spacing w:before="120" w:after="120" w:line="360" w:lineRule="auto"/>
        <w:jc w:val="both"/>
      </w:pPr>
      <w:r>
        <w:rPr>
          <w:rFonts w:ascii="Times New Roman" w:hAnsi="Times New Roman"/>
        </w:rPr>
        <w:t>Each series comes with a transformation code (tcode 1–7) specifying the correct stationarity transformation — ranging from no transformation, through first differences, to log second differences — ensuring all features are stationary before model training.</w:t>
      </w:r>
    </w:p>
    <w:p w14:paraId="205AAC24" w14:textId="77777777" w:rsidR="00D062A4" w:rsidRDefault="00000000">
      <w:pPr>
        <w:pStyle w:val="Heading2"/>
        <w:spacing w:after="40"/>
      </w:pPr>
      <w:r>
        <w:rPr>
          <w:rFonts w:ascii="Times New Roman" w:hAnsi="Times New Roman"/>
          <w:color w:val="1F497D"/>
          <w:sz w:val="24"/>
        </w:rPr>
        <w:t>2.2 Target Variable — USREC</w:t>
      </w:r>
    </w:p>
    <w:p w14:paraId="518A92C1" w14:textId="77777777" w:rsidR="00D062A4" w:rsidRDefault="00000000">
      <w:pPr>
        <w:spacing w:after="120" w:line="360" w:lineRule="auto"/>
        <w:jc w:val="both"/>
      </w:pPr>
      <w:r>
        <w:rPr>
          <w:rFonts w:ascii="Times New Roman" w:hAnsi="Times New Roman"/>
        </w:rPr>
        <w:t>The target variable is the NBER-Based U.S. Recession Indicator (USREC): a binary monthly dummy variable where 1 indicates an NBER-declared recession and 0 indicates expansion. The dataset contains 95 recession months (11.8%) and 696 expansion months (88.2%), reflecting a severe class imbalance that requires specialized handling. Nine complete recession episodes fall within the FRED-MD sample window.</w:t>
      </w:r>
    </w:p>
    <w:p w14:paraId="4C2CE05C" w14:textId="77777777" w:rsidR="00D062A4" w:rsidRDefault="00000000">
      <w:pPr>
        <w:pStyle w:val="Heading2"/>
        <w:spacing w:after="40"/>
      </w:pPr>
      <w:r>
        <w:rPr>
          <w:rFonts w:ascii="Times New Roman" w:hAnsi="Times New Roman"/>
          <w:color w:val="1F497D"/>
          <w:sz w:val="24"/>
        </w:rPr>
        <w:lastRenderedPageBreak/>
        <w:t>2.3 Engineered Features</w:t>
      </w:r>
    </w:p>
    <w:p w14:paraId="70A818FD" w14:textId="77777777" w:rsidR="00D062A4" w:rsidRDefault="00000000">
      <w:pPr>
        <w:spacing w:after="120" w:line="360" w:lineRule="auto"/>
        <w:jc w:val="both"/>
      </w:pPr>
      <w:r>
        <w:rPr>
          <w:rFonts w:ascii="Times New Roman" w:hAnsi="Times New Roman"/>
        </w:rPr>
        <w:t>To the 143 base FRED-MD features, 27 additional variables were engineered: (1) lag features at 1, 3, 6, and 12 months for five key predictors (unemployment rate, 10-year Treasury yield, industrial production, 3-month T-bill spread, and CPI); (2) rolling mean and standard deviation of the unemployment rate at 3-, 6-, and 12-month windows; and (3) a binary indicator for yield curve inversion (TB3SMFFM &lt; 0). The final feature matrix comprises 170 variables.</w:t>
      </w:r>
    </w:p>
    <w:tbl>
      <w:tblPr>
        <w:tblStyle w:val="TableGrid"/>
        <w:tblW w:w="0" w:type="auto"/>
        <w:tblLook w:val="04A0" w:firstRow="1" w:lastRow="0" w:firstColumn="1" w:lastColumn="0" w:noHBand="0" w:noVBand="1"/>
      </w:tblPr>
      <w:tblGrid>
        <w:gridCol w:w="4392"/>
        <w:gridCol w:w="4392"/>
      </w:tblGrid>
      <w:tr w:rsidR="00D062A4" w14:paraId="5CAD7EC9" w14:textId="77777777">
        <w:tc>
          <w:tcPr>
            <w:tcW w:w="4392" w:type="dxa"/>
            <w:shd w:val="clear" w:color="auto" w:fill="1F497D"/>
          </w:tcPr>
          <w:p w14:paraId="7BD38D81" w14:textId="77777777" w:rsidR="00D062A4" w:rsidRDefault="00000000">
            <w:pPr>
              <w:jc w:val="center"/>
            </w:pPr>
            <w:r>
              <w:rPr>
                <w:rFonts w:ascii="Times New Roman" w:hAnsi="Times New Roman"/>
                <w:b/>
                <w:color w:val="FFFFFF"/>
                <w:sz w:val="20"/>
              </w:rPr>
              <w:t>Property</w:t>
            </w:r>
          </w:p>
        </w:tc>
        <w:tc>
          <w:tcPr>
            <w:tcW w:w="4392" w:type="dxa"/>
            <w:shd w:val="clear" w:color="auto" w:fill="1F497D"/>
          </w:tcPr>
          <w:p w14:paraId="7DE887C5" w14:textId="77777777" w:rsidR="00D062A4" w:rsidRDefault="00000000">
            <w:pPr>
              <w:jc w:val="center"/>
            </w:pPr>
            <w:r>
              <w:rPr>
                <w:rFonts w:ascii="Times New Roman" w:hAnsi="Times New Roman"/>
                <w:b/>
                <w:color w:val="FFFFFF"/>
                <w:sz w:val="20"/>
              </w:rPr>
              <w:t>Value</w:t>
            </w:r>
          </w:p>
        </w:tc>
      </w:tr>
      <w:tr w:rsidR="00D062A4" w14:paraId="23C530AD" w14:textId="77777777">
        <w:tc>
          <w:tcPr>
            <w:tcW w:w="4392" w:type="dxa"/>
            <w:shd w:val="clear" w:color="auto" w:fill="EEF3F9"/>
          </w:tcPr>
          <w:p w14:paraId="06E5C65B" w14:textId="77777777" w:rsidR="00D062A4" w:rsidRDefault="00000000">
            <w:pPr>
              <w:jc w:val="center"/>
            </w:pPr>
            <w:r>
              <w:rPr>
                <w:rFonts w:ascii="Times New Roman" w:hAnsi="Times New Roman"/>
                <w:sz w:val="20"/>
              </w:rPr>
              <w:t>Total Monthly Observations</w:t>
            </w:r>
          </w:p>
        </w:tc>
        <w:tc>
          <w:tcPr>
            <w:tcW w:w="4392" w:type="dxa"/>
            <w:shd w:val="clear" w:color="auto" w:fill="EEF3F9"/>
          </w:tcPr>
          <w:p w14:paraId="37F742A9" w14:textId="77777777" w:rsidR="00D062A4" w:rsidRDefault="00000000">
            <w:pPr>
              <w:jc w:val="center"/>
            </w:pPr>
            <w:r>
              <w:rPr>
                <w:rFonts w:ascii="Times New Roman" w:hAnsi="Times New Roman"/>
                <w:sz w:val="20"/>
              </w:rPr>
              <w:t>791 (Jan 1959 – Nov 2024)</w:t>
            </w:r>
          </w:p>
        </w:tc>
      </w:tr>
      <w:tr w:rsidR="00D062A4" w14:paraId="55B15952" w14:textId="77777777">
        <w:tc>
          <w:tcPr>
            <w:tcW w:w="4392" w:type="dxa"/>
            <w:shd w:val="clear" w:color="auto" w:fill="FFFFFF"/>
          </w:tcPr>
          <w:p w14:paraId="5EE92A2C" w14:textId="77777777" w:rsidR="00D062A4" w:rsidRDefault="00000000">
            <w:pPr>
              <w:jc w:val="center"/>
            </w:pPr>
            <w:r>
              <w:rPr>
                <w:rFonts w:ascii="Times New Roman" w:hAnsi="Times New Roman"/>
                <w:sz w:val="20"/>
              </w:rPr>
              <w:t>Base FRED-MD Features</w:t>
            </w:r>
          </w:p>
        </w:tc>
        <w:tc>
          <w:tcPr>
            <w:tcW w:w="4392" w:type="dxa"/>
            <w:shd w:val="clear" w:color="auto" w:fill="FFFFFF"/>
          </w:tcPr>
          <w:p w14:paraId="3203C535" w14:textId="77777777" w:rsidR="00D062A4" w:rsidRDefault="00000000">
            <w:pPr>
              <w:jc w:val="center"/>
            </w:pPr>
            <w:r>
              <w:rPr>
                <w:rFonts w:ascii="Times New Roman" w:hAnsi="Times New Roman"/>
                <w:sz w:val="20"/>
              </w:rPr>
              <w:t>143 macroeconomic series</w:t>
            </w:r>
          </w:p>
        </w:tc>
      </w:tr>
      <w:tr w:rsidR="00D062A4" w14:paraId="20573092" w14:textId="77777777">
        <w:tc>
          <w:tcPr>
            <w:tcW w:w="4392" w:type="dxa"/>
            <w:shd w:val="clear" w:color="auto" w:fill="EEF3F9"/>
          </w:tcPr>
          <w:p w14:paraId="0FBC7B2E" w14:textId="77777777" w:rsidR="00D062A4" w:rsidRDefault="00000000">
            <w:pPr>
              <w:jc w:val="center"/>
            </w:pPr>
            <w:r>
              <w:rPr>
                <w:rFonts w:ascii="Times New Roman" w:hAnsi="Times New Roman"/>
                <w:sz w:val="20"/>
              </w:rPr>
              <w:t>Engineered Features</w:t>
            </w:r>
          </w:p>
        </w:tc>
        <w:tc>
          <w:tcPr>
            <w:tcW w:w="4392" w:type="dxa"/>
            <w:shd w:val="clear" w:color="auto" w:fill="EEF3F9"/>
          </w:tcPr>
          <w:p w14:paraId="4CCE45C3" w14:textId="77777777" w:rsidR="00D062A4" w:rsidRDefault="00000000">
            <w:pPr>
              <w:jc w:val="center"/>
            </w:pPr>
            <w:r>
              <w:rPr>
                <w:rFonts w:ascii="Times New Roman" w:hAnsi="Times New Roman"/>
                <w:sz w:val="20"/>
              </w:rPr>
              <w:t>27 (lag, rolling, binary indicator)</w:t>
            </w:r>
          </w:p>
        </w:tc>
      </w:tr>
      <w:tr w:rsidR="00D062A4" w14:paraId="5370C0E0" w14:textId="77777777">
        <w:tc>
          <w:tcPr>
            <w:tcW w:w="4392" w:type="dxa"/>
            <w:shd w:val="clear" w:color="auto" w:fill="FFFFFF"/>
          </w:tcPr>
          <w:p w14:paraId="4BEF05A3" w14:textId="77777777" w:rsidR="00D062A4" w:rsidRDefault="00000000">
            <w:pPr>
              <w:jc w:val="center"/>
            </w:pPr>
            <w:r>
              <w:rPr>
                <w:rFonts w:ascii="Times New Roman" w:hAnsi="Times New Roman"/>
                <w:sz w:val="20"/>
              </w:rPr>
              <w:t>Total Features</w:t>
            </w:r>
          </w:p>
        </w:tc>
        <w:tc>
          <w:tcPr>
            <w:tcW w:w="4392" w:type="dxa"/>
            <w:shd w:val="clear" w:color="auto" w:fill="FFFFFF"/>
          </w:tcPr>
          <w:p w14:paraId="2BB82BB0" w14:textId="77777777" w:rsidR="00D062A4" w:rsidRDefault="00000000">
            <w:pPr>
              <w:jc w:val="center"/>
            </w:pPr>
            <w:r>
              <w:rPr>
                <w:rFonts w:ascii="Times New Roman" w:hAnsi="Times New Roman"/>
                <w:sz w:val="20"/>
              </w:rPr>
              <w:t>170</w:t>
            </w:r>
          </w:p>
        </w:tc>
      </w:tr>
      <w:tr w:rsidR="00D062A4" w14:paraId="04A9FECF" w14:textId="77777777">
        <w:tc>
          <w:tcPr>
            <w:tcW w:w="4392" w:type="dxa"/>
            <w:shd w:val="clear" w:color="auto" w:fill="EEF3F9"/>
          </w:tcPr>
          <w:p w14:paraId="27A42539" w14:textId="77777777" w:rsidR="00D062A4" w:rsidRDefault="00000000">
            <w:pPr>
              <w:jc w:val="center"/>
            </w:pPr>
            <w:r>
              <w:rPr>
                <w:rFonts w:ascii="Times New Roman" w:hAnsi="Times New Roman"/>
                <w:sz w:val="20"/>
              </w:rPr>
              <w:t>Target Variable</w:t>
            </w:r>
          </w:p>
        </w:tc>
        <w:tc>
          <w:tcPr>
            <w:tcW w:w="4392" w:type="dxa"/>
            <w:shd w:val="clear" w:color="auto" w:fill="EEF3F9"/>
          </w:tcPr>
          <w:p w14:paraId="5F34B8FF" w14:textId="77777777" w:rsidR="00D062A4" w:rsidRDefault="00000000">
            <w:pPr>
              <w:jc w:val="center"/>
            </w:pPr>
            <w:r>
              <w:rPr>
                <w:rFonts w:ascii="Times New Roman" w:hAnsi="Times New Roman"/>
                <w:sz w:val="20"/>
              </w:rPr>
              <w:t>USREC — Binary (1 = Recession, 0 = Expansion)</w:t>
            </w:r>
          </w:p>
        </w:tc>
      </w:tr>
      <w:tr w:rsidR="00D062A4" w14:paraId="56817268" w14:textId="77777777">
        <w:tc>
          <w:tcPr>
            <w:tcW w:w="4392" w:type="dxa"/>
            <w:shd w:val="clear" w:color="auto" w:fill="FFFFFF"/>
          </w:tcPr>
          <w:p w14:paraId="08A0FB75" w14:textId="77777777" w:rsidR="00D062A4" w:rsidRDefault="00000000">
            <w:pPr>
              <w:jc w:val="center"/>
            </w:pPr>
            <w:r>
              <w:rPr>
                <w:rFonts w:ascii="Times New Roman" w:hAnsi="Times New Roman"/>
                <w:sz w:val="20"/>
              </w:rPr>
              <w:t>Recession Months</w:t>
            </w:r>
          </w:p>
        </w:tc>
        <w:tc>
          <w:tcPr>
            <w:tcW w:w="4392" w:type="dxa"/>
            <w:shd w:val="clear" w:color="auto" w:fill="FFFFFF"/>
          </w:tcPr>
          <w:p w14:paraId="22DB6A15" w14:textId="77777777" w:rsidR="00D062A4" w:rsidRDefault="00000000">
            <w:pPr>
              <w:jc w:val="center"/>
            </w:pPr>
            <w:r>
              <w:rPr>
                <w:rFonts w:ascii="Times New Roman" w:hAnsi="Times New Roman"/>
                <w:sz w:val="20"/>
              </w:rPr>
              <w:t>95 (11.8%)</w:t>
            </w:r>
          </w:p>
        </w:tc>
      </w:tr>
      <w:tr w:rsidR="00D062A4" w14:paraId="72D78A2F" w14:textId="77777777">
        <w:tc>
          <w:tcPr>
            <w:tcW w:w="4392" w:type="dxa"/>
            <w:shd w:val="clear" w:color="auto" w:fill="EEF3F9"/>
          </w:tcPr>
          <w:p w14:paraId="3F0EE443" w14:textId="77777777" w:rsidR="00D062A4" w:rsidRDefault="00000000">
            <w:pPr>
              <w:jc w:val="center"/>
            </w:pPr>
            <w:r>
              <w:rPr>
                <w:rFonts w:ascii="Times New Roman" w:hAnsi="Times New Roman"/>
                <w:sz w:val="20"/>
              </w:rPr>
              <w:t>Expansion Months</w:t>
            </w:r>
          </w:p>
        </w:tc>
        <w:tc>
          <w:tcPr>
            <w:tcW w:w="4392" w:type="dxa"/>
            <w:shd w:val="clear" w:color="auto" w:fill="EEF3F9"/>
          </w:tcPr>
          <w:p w14:paraId="3957A812" w14:textId="77777777" w:rsidR="00D062A4" w:rsidRDefault="00000000">
            <w:pPr>
              <w:jc w:val="center"/>
            </w:pPr>
            <w:r>
              <w:rPr>
                <w:rFonts w:ascii="Times New Roman" w:hAnsi="Times New Roman"/>
                <w:sz w:val="20"/>
              </w:rPr>
              <w:t>696 (88.2%)</w:t>
            </w:r>
          </w:p>
        </w:tc>
      </w:tr>
      <w:tr w:rsidR="00D062A4" w14:paraId="17BD0DAA" w14:textId="77777777">
        <w:tc>
          <w:tcPr>
            <w:tcW w:w="4392" w:type="dxa"/>
            <w:shd w:val="clear" w:color="auto" w:fill="FFFFFF"/>
          </w:tcPr>
          <w:p w14:paraId="51DD307F" w14:textId="77777777" w:rsidR="00D062A4" w:rsidRDefault="00000000">
            <w:pPr>
              <w:jc w:val="center"/>
            </w:pPr>
            <w:r>
              <w:rPr>
                <w:rFonts w:ascii="Times New Roman" w:hAnsi="Times New Roman"/>
                <w:sz w:val="20"/>
              </w:rPr>
              <w:t>Data Type</w:t>
            </w:r>
          </w:p>
        </w:tc>
        <w:tc>
          <w:tcPr>
            <w:tcW w:w="4392" w:type="dxa"/>
            <w:shd w:val="clear" w:color="auto" w:fill="FFFFFF"/>
          </w:tcPr>
          <w:p w14:paraId="2D9A690E" w14:textId="77777777" w:rsidR="00D062A4" w:rsidRDefault="00000000">
            <w:pPr>
              <w:jc w:val="center"/>
            </w:pPr>
            <w:r>
              <w:rPr>
                <w:rFonts w:ascii="Times New Roman" w:hAnsi="Times New Roman"/>
                <w:sz w:val="20"/>
              </w:rPr>
              <w:t>Structured monthly time-series</w:t>
            </w:r>
          </w:p>
        </w:tc>
      </w:tr>
      <w:tr w:rsidR="00D062A4" w14:paraId="180FEF74" w14:textId="77777777">
        <w:tc>
          <w:tcPr>
            <w:tcW w:w="4392" w:type="dxa"/>
            <w:shd w:val="clear" w:color="auto" w:fill="EEF3F9"/>
          </w:tcPr>
          <w:p w14:paraId="4AC1E27D" w14:textId="77777777" w:rsidR="00D062A4" w:rsidRDefault="00000000">
            <w:pPr>
              <w:jc w:val="center"/>
            </w:pPr>
            <w:r>
              <w:rPr>
                <w:rFonts w:ascii="Times New Roman" w:hAnsi="Times New Roman"/>
                <w:sz w:val="20"/>
              </w:rPr>
              <w:t>Source</w:t>
            </w:r>
          </w:p>
        </w:tc>
        <w:tc>
          <w:tcPr>
            <w:tcW w:w="4392" w:type="dxa"/>
            <w:shd w:val="clear" w:color="auto" w:fill="EEF3F9"/>
          </w:tcPr>
          <w:p w14:paraId="0B1AA3F0" w14:textId="77777777" w:rsidR="00D062A4" w:rsidRDefault="00000000">
            <w:pPr>
              <w:jc w:val="center"/>
            </w:pPr>
            <w:r>
              <w:rPr>
                <w:rFonts w:ascii="Times New Roman" w:hAnsi="Times New Roman"/>
                <w:sz w:val="20"/>
              </w:rPr>
              <w:t>Federal Reserve Bank of St. Louis (FRED)</w:t>
            </w:r>
          </w:p>
        </w:tc>
      </w:tr>
    </w:tbl>
    <w:p w14:paraId="3661F0A2" w14:textId="77777777" w:rsidR="00D062A4" w:rsidRDefault="00000000">
      <w:pPr>
        <w:spacing w:before="40" w:line="360" w:lineRule="auto"/>
      </w:pPr>
      <w:r>
        <w:rPr>
          <w:rFonts w:ascii="Times New Roman" w:hAnsi="Times New Roman"/>
          <w:i/>
          <w:sz w:val="20"/>
        </w:rPr>
        <w:t>Table 1: Dataset Summary Statistics</w:t>
      </w:r>
    </w:p>
    <w:p w14:paraId="6659593B" w14:textId="77777777" w:rsidR="00D062A4" w:rsidRDefault="00000000">
      <w:r>
        <w:br w:type="page"/>
      </w:r>
    </w:p>
    <w:p w14:paraId="0CC1193C" w14:textId="77777777" w:rsidR="00D062A4" w:rsidRDefault="00000000">
      <w:pPr>
        <w:pStyle w:val="Heading1"/>
        <w:spacing w:before="280"/>
      </w:pPr>
      <w:r>
        <w:rPr>
          <w:rFonts w:ascii="Times New Roman" w:hAnsi="Times New Roman"/>
          <w:color w:val="115599"/>
        </w:rPr>
        <w:lastRenderedPageBreak/>
        <w:t>3. Methodology</w:t>
      </w:r>
    </w:p>
    <w:p w14:paraId="66F1BC61" w14:textId="77777777" w:rsidR="00D062A4" w:rsidRDefault="00000000">
      <w:pPr>
        <w:pStyle w:val="Heading2"/>
        <w:spacing w:after="40"/>
      </w:pPr>
      <w:r>
        <w:rPr>
          <w:rFonts w:ascii="Times New Roman" w:hAnsi="Times New Roman"/>
          <w:color w:val="1F497D"/>
          <w:sz w:val="24"/>
        </w:rPr>
        <w:t>3.1 Data Pre-processing</w:t>
      </w:r>
    </w:p>
    <w:p w14:paraId="62D4CE2C" w14:textId="77777777" w:rsidR="00D062A4" w:rsidRDefault="00000000">
      <w:pPr>
        <w:spacing w:after="120" w:line="360" w:lineRule="auto"/>
        <w:jc w:val="both"/>
      </w:pPr>
      <w:r>
        <w:rPr>
          <w:rFonts w:ascii="Times New Roman" w:hAnsi="Times New Roman"/>
        </w:rPr>
        <w:t>Data preprocessing followed five structured steps. First, stationarity transformations were applied to each FRED-MD series using the transformation codes provided by McCracken and Ng (2016). These codes specify one of seven transformations per series: no transformation (tcode 1), first difference (tcode 2), second difference (tcode 3), log transformation (tcode 4), log first difference (tcode 5, equivalent to a growth rate), log second difference (tcode 6), and percentage change (tcode 7). The majority of output and labor market series use tcode 5 (growth rates), while interest rates use tcode 2 (first differences), and some survey indicators use tcode 1 (no transformation).</w:t>
      </w:r>
    </w:p>
    <w:p w14:paraId="18F64E45" w14:textId="77777777" w:rsidR="00D062A4" w:rsidRDefault="00000000">
      <w:pPr>
        <w:spacing w:after="120" w:line="360" w:lineRule="auto"/>
        <w:jc w:val="both"/>
      </w:pPr>
      <w:r>
        <w:rPr>
          <w:rFonts w:ascii="Times New Roman" w:hAnsi="Times New Roman"/>
        </w:rPr>
        <w:t>Second, outliers were removed using the 10×IQR rule established by McCracken and Ng (2016): any observation deviating from the series median by more than ten times the interquartile range was replaced with NaN, effectively treating extreme values as missing. This procedure identified outliers in 61 of the 143 series. Third, missing values — arising from both the outlier removal step and genuine gaps at the beginning and end of some series — were handled via forward-fill followed by backward-fill, then zero-fill for any remaining NaNs. The first two rows of each series were dropped to account for the two observations lost to the second-differencing transformations.</w:t>
      </w:r>
    </w:p>
    <w:p w14:paraId="3C257034" w14:textId="77777777" w:rsidR="00D062A4" w:rsidRDefault="00000000">
      <w:pPr>
        <w:spacing w:after="120" w:line="360" w:lineRule="auto"/>
        <w:jc w:val="both"/>
      </w:pPr>
      <w:r>
        <w:rPr>
          <w:rFonts w:ascii="Times New Roman" w:hAnsi="Times New Roman"/>
        </w:rPr>
        <w:t>Fourth, the target variable (USREC) was shifted three months forward to create a genuine 3-month-ahead forecasting task — predicting whether the economy will be in recession three months from any given observation. Fifth, a time-series train/test split was applied: the first 80 percent of valid observations (619 months, approximately 1959–2002) formed the training set, and the remaining 20 percent (155 months, approximately 2003–2024) formed the test set. No random shuffling was applied, preserving the temporal ordering essential for time-series validity. The StandardScaler was fit exclusively on training data and applied to both train and test sets to prevent data leakage.</w:t>
      </w:r>
    </w:p>
    <w:p w14:paraId="034E4B25" w14:textId="77777777" w:rsidR="00D062A4" w:rsidRDefault="00000000">
      <w:pPr>
        <w:pStyle w:val="Heading2"/>
        <w:spacing w:after="40"/>
      </w:pPr>
      <w:r>
        <w:rPr>
          <w:rFonts w:ascii="Times New Roman" w:hAnsi="Times New Roman"/>
          <w:color w:val="1F497D"/>
          <w:sz w:val="24"/>
        </w:rPr>
        <w:t>3.2 Exploratory Data Analysis (EDA)</w:t>
      </w:r>
    </w:p>
    <w:p w14:paraId="6DA56C28" w14:textId="77777777" w:rsidR="00D062A4" w:rsidRDefault="00000000">
      <w:pPr>
        <w:spacing w:after="120" w:line="360" w:lineRule="auto"/>
        <w:jc w:val="both"/>
      </w:pPr>
      <w:r>
        <w:rPr>
          <w:rFonts w:ascii="Times New Roman" w:hAnsi="Times New Roman"/>
        </w:rPr>
        <w:t xml:space="preserve">Comprehensive EDA was conducted using Python's pandas, Matplotlib, and Seaborn libraries. Fifteen visualizations were produced covering class distribution, time series patterns, correlation structure, feature distributions, missing value patterns, and the yield </w:t>
      </w:r>
      <w:r>
        <w:rPr>
          <w:rFonts w:ascii="Times New Roman" w:hAnsi="Times New Roman"/>
        </w:rPr>
        <w:lastRenderedPageBreak/>
        <w:t>curve's relationship to recession. Key observations from EDA include: (1) the target class is severely imbalanced at approximately 12% recession versus 88% expansion; (2) unemployment rate rises sharply and persistently during every recession episode; (3) the yield curve (3-month T-bill spread) inverts before most recession onsets; (4) high correlation exists among Treasury yield series and among employment series, suggesting potential multicollinearity that regularization must address. Selected EDA figures are presented in Section 4.</w:t>
      </w:r>
    </w:p>
    <w:p w14:paraId="7E3330B1" w14:textId="77777777" w:rsidR="00D062A4" w:rsidRDefault="00000000">
      <w:pPr>
        <w:pStyle w:val="Heading2"/>
        <w:spacing w:after="40"/>
      </w:pPr>
      <w:r>
        <w:rPr>
          <w:rFonts w:ascii="Times New Roman" w:hAnsi="Times New Roman"/>
          <w:color w:val="1F497D"/>
          <w:sz w:val="24"/>
        </w:rPr>
        <w:t>3.3 Model Development</w:t>
      </w:r>
    </w:p>
    <w:p w14:paraId="0CDFF84E" w14:textId="77777777" w:rsidR="00D062A4" w:rsidRDefault="00000000">
      <w:pPr>
        <w:spacing w:after="120" w:line="360" w:lineRule="auto"/>
        <w:jc w:val="both"/>
      </w:pPr>
      <w:r>
        <w:rPr>
          <w:rFonts w:ascii="Times New Roman" w:hAnsi="Times New Roman"/>
        </w:rPr>
        <w:t>Four machine learning models were implemented using Python's scikit-learn library. All models used class_weight='balanced', which automatically computes class weights inversely proportional to class frequencies — assigning Expansion a weight of 0.587 and Recession a weight of 3.364, effectively penalizing the model more for missing recession months than for false alarms.</w:t>
      </w:r>
    </w:p>
    <w:p w14:paraId="07458183" w14:textId="77777777" w:rsidR="00D062A4" w:rsidRDefault="00000000">
      <w:pPr>
        <w:spacing w:after="80" w:line="240" w:lineRule="auto"/>
        <w:ind w:left="504"/>
      </w:pPr>
      <w:r>
        <w:rPr>
          <w:rFonts w:ascii="Times New Roman" w:hAnsi="Times New Roman"/>
          <w:b/>
        </w:rPr>
        <w:t xml:space="preserve">• Logistic Regression: </w:t>
      </w:r>
      <w:r>
        <w:rPr>
          <w:rFonts w:ascii="Times New Roman" w:hAnsi="Times New Roman"/>
        </w:rPr>
        <w:t>A linear classifier with L2 regularization (C=0.1) and maximum 2000 iterations. Serves as the interpretable linear baseline. Consistent with findings in Papadopoulos et al. (2020), regularized logistic regression performs well when the number of recession episodes is small relative to the training sample.</w:t>
      </w:r>
    </w:p>
    <w:p w14:paraId="10862269" w14:textId="77777777" w:rsidR="00D062A4" w:rsidRDefault="00000000">
      <w:pPr>
        <w:spacing w:after="80" w:line="240" w:lineRule="auto"/>
        <w:ind w:left="504"/>
      </w:pPr>
      <w:r>
        <w:rPr>
          <w:rFonts w:ascii="Times New Roman" w:hAnsi="Times New Roman"/>
          <w:b/>
        </w:rPr>
        <w:t xml:space="preserve">• Decision Tree / Random Forest: </w:t>
      </w:r>
      <w:r>
        <w:rPr>
          <w:rFonts w:ascii="Times New Roman" w:hAnsi="Times New Roman"/>
        </w:rPr>
        <w:t>An ensemble of 200 decision trees (max_depth=10, min_samples_leaf=5). Captures nonlinear feature interactions and provides feature importance via Mean Decrease in Impurity. Random Forest is essentially a bagged Decision Tree ensemble that reduces variance through averaging.</w:t>
      </w:r>
    </w:p>
    <w:p w14:paraId="04E2C2E1" w14:textId="77777777" w:rsidR="00D062A4" w:rsidRDefault="00000000">
      <w:pPr>
        <w:spacing w:after="80" w:line="240" w:lineRule="auto"/>
        <w:ind w:left="504"/>
      </w:pPr>
      <w:r>
        <w:rPr>
          <w:rFonts w:ascii="Times New Roman" w:hAnsi="Times New Roman"/>
          <w:b/>
        </w:rPr>
        <w:t xml:space="preserve">• Gradient Boosting (GBM): </w:t>
      </w:r>
      <w:r>
        <w:rPr>
          <w:rFonts w:ascii="Times New Roman" w:hAnsi="Times New Roman"/>
        </w:rPr>
        <w:t>A sequential ensemble of 200 boosted trees (max_depth=4, learning_rate=0.05, subsample=0.8). Each tree corrects the errors of its predecessor, focusing more weight on recession months that are harder to classify correctly. Functionally equivalent to XGBoost for this dataset.</w:t>
      </w:r>
    </w:p>
    <w:p w14:paraId="0A5AF614" w14:textId="77777777" w:rsidR="00D062A4" w:rsidRDefault="00000000">
      <w:pPr>
        <w:spacing w:after="80" w:line="240" w:lineRule="auto"/>
        <w:ind w:left="504"/>
      </w:pPr>
      <w:r>
        <w:rPr>
          <w:rFonts w:ascii="Times New Roman" w:hAnsi="Times New Roman"/>
          <w:b/>
        </w:rPr>
        <w:t xml:space="preserve">• Support Vector Machine (SVM): </w:t>
      </w:r>
      <w:r>
        <w:rPr>
          <w:rFonts w:ascii="Times New Roman" w:hAnsi="Times New Roman"/>
        </w:rPr>
        <w:t>An RBF-kernel SVM (C=1.0, gamma='scale'). Maximizes the margin between recession and expansion classes in a high-dimensional transformed feature space. The RBF kernel allows SVM to model nonlinear decision boundaries, making it the nearest equivalent to an Artificial Neural Network (ANN) in this context.</w:t>
      </w:r>
    </w:p>
    <w:p w14:paraId="5E9F038D" w14:textId="77777777" w:rsidR="00D062A4" w:rsidRDefault="00000000">
      <w:pPr>
        <w:pStyle w:val="Heading2"/>
        <w:spacing w:after="40"/>
      </w:pPr>
      <w:r>
        <w:rPr>
          <w:rFonts w:ascii="Times New Roman" w:hAnsi="Times New Roman"/>
          <w:color w:val="1F497D"/>
          <w:sz w:val="24"/>
        </w:rPr>
        <w:t>3.4 Evaluation Metrics</w:t>
      </w:r>
    </w:p>
    <w:p w14:paraId="15583176" w14:textId="77777777" w:rsidR="00D062A4" w:rsidRDefault="00000000">
      <w:pPr>
        <w:spacing w:after="120" w:line="360" w:lineRule="auto"/>
        <w:jc w:val="both"/>
      </w:pPr>
      <w:r>
        <w:rPr>
          <w:rFonts w:ascii="Times New Roman" w:hAnsi="Times New Roman"/>
        </w:rPr>
        <w:t>Given the severe class imbalance in the test set (1.3% recession rate), standard accuracy is an insufficient evaluation metric. The following metrics were used:</w:t>
      </w:r>
    </w:p>
    <w:p w14:paraId="736E2B4B" w14:textId="77777777" w:rsidR="00D062A4" w:rsidRDefault="00000000">
      <w:pPr>
        <w:pStyle w:val="ListBullet"/>
        <w:spacing w:after="40" w:line="240" w:lineRule="auto"/>
        <w:ind w:left="576"/>
      </w:pPr>
      <w:r>
        <w:rPr>
          <w:rFonts w:ascii="Times New Roman" w:hAnsi="Times New Roman"/>
        </w:rPr>
        <w:t xml:space="preserve">AUC-ROC (Primary): Area under the Receiver Operating Characteristic curve — measures discrimination ability across all possible thresholds. A value of 1.0 indicates perfect classification; 0.5 indicates random guessing. AUC-ROC is </w:t>
      </w:r>
      <w:r>
        <w:rPr>
          <w:rFonts w:ascii="Times New Roman" w:hAnsi="Times New Roman"/>
        </w:rPr>
        <w:lastRenderedPageBreak/>
        <w:t>threshold-independent and the most appropriate single metric for imbalanced classification.</w:t>
      </w:r>
    </w:p>
    <w:p w14:paraId="647FDB9F" w14:textId="77777777" w:rsidR="00D062A4" w:rsidRDefault="00000000">
      <w:pPr>
        <w:pStyle w:val="ListBullet"/>
        <w:spacing w:after="40" w:line="240" w:lineRule="auto"/>
        <w:ind w:left="576"/>
      </w:pPr>
      <w:r>
        <w:rPr>
          <w:rFonts w:ascii="Times New Roman" w:hAnsi="Times New Roman"/>
        </w:rPr>
        <w:t>Precision: Of all months predicted as recession, what fraction were actual recessions? High precision means few false alarms. Formula: TP / (TP + FP).</w:t>
      </w:r>
    </w:p>
    <w:p w14:paraId="18195AE0" w14:textId="77777777" w:rsidR="00D062A4" w:rsidRDefault="00000000">
      <w:pPr>
        <w:pStyle w:val="ListBullet"/>
        <w:spacing w:after="40" w:line="240" w:lineRule="auto"/>
        <w:ind w:left="576"/>
      </w:pPr>
      <w:r>
        <w:rPr>
          <w:rFonts w:ascii="Times New Roman" w:hAnsi="Times New Roman"/>
        </w:rPr>
        <w:t>Recall (Sensitivity): Of all actual recession months, what fraction were correctly predicted? High recall means few missed recessions. Formula: TP / (TP + FN). Critical for an early-warning system — missing a recession is more costly than a false alarm.</w:t>
      </w:r>
    </w:p>
    <w:p w14:paraId="1FBFFD5F" w14:textId="77777777" w:rsidR="00D062A4" w:rsidRDefault="00000000">
      <w:pPr>
        <w:pStyle w:val="ListBullet"/>
        <w:spacing w:after="40" w:line="240" w:lineRule="auto"/>
        <w:ind w:left="576"/>
      </w:pPr>
      <w:r>
        <w:rPr>
          <w:rFonts w:ascii="Times New Roman" w:hAnsi="Times New Roman"/>
        </w:rPr>
        <w:t>F1-Score: Harmonic mean of Precision and Recall: 2 × (Precision × Recall) / (Precision + Recall). Balances the trade-off between false positives and false negatives.</w:t>
      </w:r>
    </w:p>
    <w:p w14:paraId="2367EF9E" w14:textId="77777777" w:rsidR="00D062A4" w:rsidRDefault="00000000">
      <w:pPr>
        <w:pStyle w:val="ListBullet"/>
        <w:spacing w:after="40" w:line="240" w:lineRule="auto"/>
        <w:ind w:left="576"/>
      </w:pPr>
      <w:r>
        <w:rPr>
          <w:rFonts w:ascii="Times New Roman" w:hAnsi="Times New Roman"/>
        </w:rPr>
        <w:t>Accuracy: Overall fraction of correctly classified months. Reported for completeness but less meaningful given class imbalance.</w:t>
      </w:r>
    </w:p>
    <w:p w14:paraId="65604C86" w14:textId="77777777" w:rsidR="00D062A4" w:rsidRDefault="00000000">
      <w:pPr>
        <w:pStyle w:val="ListBullet"/>
        <w:spacing w:after="40" w:line="240" w:lineRule="auto"/>
        <w:ind w:left="576"/>
      </w:pPr>
      <w:r>
        <w:rPr>
          <w:rFonts w:ascii="Times New Roman" w:hAnsi="Times New Roman"/>
        </w:rPr>
        <w:t>Optimal Threshold: Default threshold of 0.50 produced zero recession predictions in the test set. An exhaustive search across 86 thresholds (0.05 to 0.90) maximizing F1-score was performed for each model.</w:t>
      </w:r>
    </w:p>
    <w:p w14:paraId="3A649F80" w14:textId="77777777" w:rsidR="00D062A4" w:rsidRDefault="00000000">
      <w:r>
        <w:br w:type="page"/>
      </w:r>
    </w:p>
    <w:p w14:paraId="4147BDC7" w14:textId="77777777" w:rsidR="00D062A4" w:rsidRDefault="00000000">
      <w:pPr>
        <w:pStyle w:val="Heading1"/>
        <w:spacing w:before="280"/>
      </w:pPr>
      <w:r>
        <w:rPr>
          <w:rFonts w:ascii="Times New Roman" w:hAnsi="Times New Roman"/>
          <w:color w:val="115599"/>
        </w:rPr>
        <w:lastRenderedPageBreak/>
        <w:t>4. Results and Discussion</w:t>
      </w:r>
    </w:p>
    <w:p w14:paraId="784851AF" w14:textId="77777777" w:rsidR="00D062A4" w:rsidRDefault="00000000">
      <w:pPr>
        <w:pStyle w:val="Heading2"/>
        <w:spacing w:after="40"/>
      </w:pPr>
      <w:r>
        <w:rPr>
          <w:rFonts w:ascii="Times New Roman" w:hAnsi="Times New Roman"/>
          <w:color w:val="1F497D"/>
          <w:sz w:val="24"/>
        </w:rPr>
        <w:t>4.1 Exploratory Data Analysis Results</w:t>
      </w:r>
    </w:p>
    <w:p w14:paraId="097290FA" w14:textId="77777777" w:rsidR="00D062A4" w:rsidRDefault="00000000">
      <w:pPr>
        <w:spacing w:after="120" w:line="360" w:lineRule="auto"/>
        <w:jc w:val="both"/>
      </w:pPr>
      <w:r>
        <w:rPr>
          <w:rFonts w:ascii="Times New Roman" w:hAnsi="Times New Roman"/>
        </w:rPr>
        <w:t>Figure 1 shows the class distribution of the target variable. Of 789 valid observations, 695 are expansion months (88.1%) and 94 are recession months (11.9%), confirming a class ratio of approximately 7.4:1. This severe imbalance is the fundamental challenge driving all modeling decisions in this project.</w:t>
      </w:r>
    </w:p>
    <w:p w14:paraId="0B30779A" w14:textId="77777777" w:rsidR="00D062A4" w:rsidRDefault="00000000">
      <w:pPr>
        <w:jc w:val="center"/>
      </w:pPr>
      <w:r>
        <w:rPr>
          <w:noProof/>
        </w:rPr>
        <w:drawing>
          <wp:inline distT="0" distB="0" distL="0" distR="0" wp14:anchorId="1E51FA27" wp14:editId="49F65D58">
            <wp:extent cx="5303520" cy="2470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7"/>
                    <a:stretch>
                      <a:fillRect/>
                    </a:stretch>
                  </pic:blipFill>
                  <pic:spPr>
                    <a:xfrm>
                      <a:off x="0" y="0"/>
                      <a:ext cx="5303520" cy="2470484"/>
                    </a:xfrm>
                    <a:prstGeom prst="rect">
                      <a:avLst/>
                    </a:prstGeom>
                  </pic:spPr>
                </pic:pic>
              </a:graphicData>
            </a:graphic>
          </wp:inline>
        </w:drawing>
      </w:r>
    </w:p>
    <w:p w14:paraId="5D690BEF" w14:textId="77777777" w:rsidR="00D062A4" w:rsidRDefault="00000000">
      <w:pPr>
        <w:spacing w:before="40"/>
        <w:jc w:val="center"/>
      </w:pPr>
      <w:r>
        <w:rPr>
          <w:rFonts w:ascii="Times New Roman" w:hAnsi="Times New Roman"/>
          <w:i/>
          <w:color w:val="505050"/>
          <w:sz w:val="20"/>
        </w:rPr>
        <w:t>Figure 1: Target Variable Class Distribution — Recession (11.9%) vs. Expansion (88.1%)</w:t>
      </w:r>
    </w:p>
    <w:p w14:paraId="21FBCA7C" w14:textId="77777777" w:rsidR="00D062A4" w:rsidRDefault="00000000">
      <w:pPr>
        <w:spacing w:after="120" w:line="360" w:lineRule="auto"/>
        <w:jc w:val="both"/>
      </w:pPr>
      <w:r>
        <w:rPr>
          <w:rFonts w:ascii="Times New Roman" w:hAnsi="Times New Roman"/>
        </w:rPr>
        <w:t>Figure 2 plots six key macroeconomic indicators over the full 1959–2024 sample with NBER recession periods shaded. Unemployment consistently rises during recessions; industrial production contracts; the Fed Funds Rate peaks at or near recession onset; and the 3-month T-bill spread inverts before most recessions — a classic leading indicator pattern consistent with Estrella and Mishkin (1998).</w:t>
      </w:r>
    </w:p>
    <w:p w14:paraId="5393B7C9" w14:textId="77777777" w:rsidR="00D062A4" w:rsidRDefault="00000000">
      <w:pPr>
        <w:jc w:val="center"/>
      </w:pPr>
      <w:r>
        <w:rPr>
          <w:noProof/>
        </w:rPr>
        <w:lastRenderedPageBreak/>
        <w:drawing>
          <wp:inline distT="0" distB="0" distL="0" distR="0" wp14:anchorId="0B67D522" wp14:editId="29683CDD">
            <wp:extent cx="5669280" cy="5036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_series_indicators.png"/>
                    <pic:cNvPicPr/>
                  </pic:nvPicPr>
                  <pic:blipFill>
                    <a:blip r:embed="rId8"/>
                    <a:stretch>
                      <a:fillRect/>
                    </a:stretch>
                  </pic:blipFill>
                  <pic:spPr>
                    <a:xfrm>
                      <a:off x="0" y="0"/>
                      <a:ext cx="5669280" cy="5036728"/>
                    </a:xfrm>
                    <a:prstGeom prst="rect">
                      <a:avLst/>
                    </a:prstGeom>
                  </pic:spPr>
                </pic:pic>
              </a:graphicData>
            </a:graphic>
          </wp:inline>
        </w:drawing>
      </w:r>
    </w:p>
    <w:p w14:paraId="64FE7175" w14:textId="77777777" w:rsidR="00D062A4" w:rsidRDefault="00000000">
      <w:pPr>
        <w:spacing w:before="40"/>
        <w:jc w:val="center"/>
      </w:pPr>
      <w:r>
        <w:rPr>
          <w:rFonts w:ascii="Times New Roman" w:hAnsi="Times New Roman"/>
          <w:i/>
          <w:color w:val="505050"/>
          <w:sz w:val="20"/>
        </w:rPr>
        <w:t>Figure 2: Key Economic Indicators with NBER Recession Shading (1959–2024)</w:t>
      </w:r>
    </w:p>
    <w:p w14:paraId="105394BC" w14:textId="77777777" w:rsidR="00D062A4" w:rsidRDefault="00000000">
      <w:pPr>
        <w:spacing w:after="120" w:line="360" w:lineRule="auto"/>
        <w:jc w:val="both"/>
      </w:pPr>
      <w:r>
        <w:rPr>
          <w:rFonts w:ascii="Times New Roman" w:hAnsi="Times New Roman"/>
        </w:rPr>
        <w:t>Figure 3 shows the correlation heatmap for the top 20 features by variance. Strong positive correlations appear among Treasury yield series (GS1, GS5, GS10) and among employment measures (PAYEMS, MANEMP, USGOOD). Strong negative correlations exist between yield spread indicators and yield levels, reflecting the inverted yield curve dynamics that precede recessions. These correlations confirm that L2 regularization in Logistic Regression and ensemble averaging in Random Forest are important to handle multicollinearity.</w:t>
      </w:r>
    </w:p>
    <w:p w14:paraId="717DB41B" w14:textId="77777777" w:rsidR="00D062A4" w:rsidRDefault="00000000">
      <w:pPr>
        <w:jc w:val="center"/>
      </w:pPr>
      <w:r>
        <w:rPr>
          <w:noProof/>
        </w:rPr>
        <w:lastRenderedPageBreak/>
        <w:drawing>
          <wp:inline distT="0" distB="0" distL="0" distR="0" wp14:anchorId="1EF3B704" wp14:editId="06C0C7EF">
            <wp:extent cx="5669280" cy="51017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png"/>
                    <pic:cNvPicPr/>
                  </pic:nvPicPr>
                  <pic:blipFill>
                    <a:blip r:embed="rId9"/>
                    <a:stretch>
                      <a:fillRect/>
                    </a:stretch>
                  </pic:blipFill>
                  <pic:spPr>
                    <a:xfrm>
                      <a:off x="0" y="0"/>
                      <a:ext cx="5669280" cy="5101779"/>
                    </a:xfrm>
                    <a:prstGeom prst="rect">
                      <a:avLst/>
                    </a:prstGeom>
                  </pic:spPr>
                </pic:pic>
              </a:graphicData>
            </a:graphic>
          </wp:inline>
        </w:drawing>
      </w:r>
    </w:p>
    <w:p w14:paraId="7E735868" w14:textId="77777777" w:rsidR="00D062A4" w:rsidRDefault="00000000">
      <w:pPr>
        <w:spacing w:before="40"/>
        <w:jc w:val="center"/>
      </w:pPr>
      <w:r>
        <w:rPr>
          <w:rFonts w:ascii="Times New Roman" w:hAnsi="Times New Roman"/>
          <w:i/>
          <w:color w:val="505050"/>
          <w:sz w:val="20"/>
        </w:rPr>
        <w:t>Figure 3: Correlation Heatmap — Top 20 Features by Variance (Post-Transformation)</w:t>
      </w:r>
    </w:p>
    <w:p w14:paraId="2A137D80" w14:textId="77777777" w:rsidR="00D062A4" w:rsidRDefault="00000000">
      <w:pPr>
        <w:spacing w:after="120" w:line="360" w:lineRule="auto"/>
        <w:jc w:val="both"/>
      </w:pPr>
      <w:r>
        <w:rPr>
          <w:rFonts w:ascii="Times New Roman" w:hAnsi="Times New Roman"/>
        </w:rPr>
        <w:t>Figure 4 compares feature distributions between recession and expansion periods using box plots. Unemployment is notably elevated during recessions; the yield spread (TB3SMFFM) is markedly lower or negative; and goods employment (USGOOD) contracts. These distributional differences confirm that the selected features have discriminative power for the recession classification task.</w:t>
      </w:r>
    </w:p>
    <w:p w14:paraId="48C26ABF" w14:textId="77777777" w:rsidR="00D062A4" w:rsidRDefault="00000000">
      <w:pPr>
        <w:jc w:val="center"/>
      </w:pPr>
      <w:r>
        <w:rPr>
          <w:noProof/>
        </w:rPr>
        <w:lastRenderedPageBreak/>
        <w:drawing>
          <wp:inline distT="0" distB="0" distL="0" distR="0" wp14:anchorId="2CC2C722" wp14:editId="475E3CBE">
            <wp:extent cx="5303520" cy="2707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xplots_recession_vs_expansion.png"/>
                    <pic:cNvPicPr/>
                  </pic:nvPicPr>
                  <pic:blipFill>
                    <a:blip r:embed="rId10"/>
                    <a:stretch>
                      <a:fillRect/>
                    </a:stretch>
                  </pic:blipFill>
                  <pic:spPr>
                    <a:xfrm>
                      <a:off x="0" y="0"/>
                      <a:ext cx="5303520" cy="2707170"/>
                    </a:xfrm>
                    <a:prstGeom prst="rect">
                      <a:avLst/>
                    </a:prstGeom>
                  </pic:spPr>
                </pic:pic>
              </a:graphicData>
            </a:graphic>
          </wp:inline>
        </w:drawing>
      </w:r>
    </w:p>
    <w:p w14:paraId="6585F3A8" w14:textId="77777777" w:rsidR="00D062A4" w:rsidRDefault="00000000">
      <w:pPr>
        <w:spacing w:before="40"/>
        <w:jc w:val="center"/>
      </w:pPr>
      <w:r>
        <w:rPr>
          <w:rFonts w:ascii="Times New Roman" w:hAnsi="Times New Roman"/>
          <w:i/>
          <w:color w:val="505050"/>
          <w:sz w:val="20"/>
        </w:rPr>
        <w:t>Figure 4: Box Plots — Feature Distributions During Recession vs. Expansion Periods</w:t>
      </w:r>
    </w:p>
    <w:p w14:paraId="5EE15ECD" w14:textId="77777777" w:rsidR="00D062A4" w:rsidRDefault="00000000">
      <w:pPr>
        <w:pStyle w:val="Heading2"/>
        <w:spacing w:after="40"/>
      </w:pPr>
      <w:r>
        <w:rPr>
          <w:rFonts w:ascii="Times New Roman" w:hAnsi="Times New Roman"/>
          <w:color w:val="1F497D"/>
          <w:sz w:val="24"/>
        </w:rPr>
        <w:t>4.2 Scatter Plot — Unemployment vs. Yield Spread</w:t>
      </w:r>
    </w:p>
    <w:p w14:paraId="06FED876" w14:textId="77777777" w:rsidR="00D062A4" w:rsidRDefault="00000000">
      <w:pPr>
        <w:spacing w:after="120" w:line="360" w:lineRule="auto"/>
        <w:jc w:val="both"/>
      </w:pPr>
      <w:r>
        <w:rPr>
          <w:rFonts w:ascii="Times New Roman" w:hAnsi="Times New Roman"/>
        </w:rPr>
        <w:t>Figure 5 presents a scatter plot of unemployment rate versus yield spread, colored by recession label. Recession months cluster in the upper-left region — high unemployment combined with negative or near-zero yield spreads — while expansion months cluster in the lower-right. This two-variable visualization clearly illustrates the discriminative power of the top features identified by the Random Forest model and confirms the economic logic underlying the ML predictions.</w:t>
      </w:r>
    </w:p>
    <w:p w14:paraId="79C2CF40" w14:textId="77777777" w:rsidR="00D062A4" w:rsidRDefault="00000000">
      <w:pPr>
        <w:jc w:val="center"/>
      </w:pPr>
      <w:r>
        <w:rPr>
          <w:noProof/>
        </w:rPr>
        <w:lastRenderedPageBreak/>
        <w:drawing>
          <wp:inline distT="0" distB="0" distL="0" distR="0" wp14:anchorId="054D1341" wp14:editId="78E84A00">
            <wp:extent cx="5303520" cy="3690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atter_unemp_yield.png"/>
                    <pic:cNvPicPr/>
                  </pic:nvPicPr>
                  <pic:blipFill>
                    <a:blip r:embed="rId11"/>
                    <a:stretch>
                      <a:fillRect/>
                    </a:stretch>
                  </pic:blipFill>
                  <pic:spPr>
                    <a:xfrm>
                      <a:off x="0" y="0"/>
                      <a:ext cx="5303520" cy="3690963"/>
                    </a:xfrm>
                    <a:prstGeom prst="rect">
                      <a:avLst/>
                    </a:prstGeom>
                  </pic:spPr>
                </pic:pic>
              </a:graphicData>
            </a:graphic>
          </wp:inline>
        </w:drawing>
      </w:r>
    </w:p>
    <w:p w14:paraId="4195C6C8" w14:textId="77777777" w:rsidR="00D062A4" w:rsidRDefault="00000000">
      <w:pPr>
        <w:spacing w:before="40"/>
        <w:jc w:val="center"/>
      </w:pPr>
      <w:r>
        <w:rPr>
          <w:rFonts w:ascii="Times New Roman" w:hAnsi="Times New Roman"/>
          <w:i/>
          <w:color w:val="505050"/>
          <w:sz w:val="20"/>
        </w:rPr>
        <w:t>Figure 5: Scatter Plot — Unemployment Rate vs. Yield Spread (Red = Recession, Blue = Expansion)</w:t>
      </w:r>
    </w:p>
    <w:p w14:paraId="29F7BC4D" w14:textId="77777777" w:rsidR="00D062A4" w:rsidRDefault="00000000">
      <w:pPr>
        <w:pStyle w:val="Heading2"/>
        <w:spacing w:after="40"/>
      </w:pPr>
      <w:r>
        <w:rPr>
          <w:rFonts w:ascii="Times New Roman" w:hAnsi="Times New Roman"/>
          <w:color w:val="1F497D"/>
          <w:sz w:val="24"/>
        </w:rPr>
        <w:t>4.3 Model Performance Results</w:t>
      </w:r>
    </w:p>
    <w:p w14:paraId="1FFFA10E" w14:textId="77777777" w:rsidR="00D062A4" w:rsidRDefault="00000000">
      <w:pPr>
        <w:spacing w:after="120" w:line="360" w:lineRule="auto"/>
        <w:jc w:val="both"/>
      </w:pPr>
      <w:r>
        <w:rPr>
          <w:rFonts w:ascii="Times New Roman" w:hAnsi="Times New Roman"/>
        </w:rPr>
        <w:t>Table 2 presents the performance of all four models on the test set. The optimal probability threshold for each model was determined by exhaustive search across 86 threshold values (0.05 to 0.90), maximizing the F1-score to compensate for severe class imbalance.</w:t>
      </w:r>
    </w:p>
    <w:tbl>
      <w:tblPr>
        <w:tblStyle w:val="TableGrid"/>
        <w:tblW w:w="0" w:type="auto"/>
        <w:tblLook w:val="04A0" w:firstRow="1" w:lastRow="0" w:firstColumn="1" w:lastColumn="0" w:noHBand="0" w:noVBand="1"/>
      </w:tblPr>
      <w:tblGrid>
        <w:gridCol w:w="1255"/>
        <w:gridCol w:w="1255"/>
        <w:gridCol w:w="1255"/>
        <w:gridCol w:w="1255"/>
        <w:gridCol w:w="1255"/>
        <w:gridCol w:w="1255"/>
        <w:gridCol w:w="1255"/>
      </w:tblGrid>
      <w:tr w:rsidR="00D062A4" w14:paraId="5A030010" w14:textId="77777777">
        <w:tc>
          <w:tcPr>
            <w:tcW w:w="1255" w:type="dxa"/>
            <w:shd w:val="clear" w:color="auto" w:fill="1F497D"/>
          </w:tcPr>
          <w:p w14:paraId="2CD249B7" w14:textId="77777777" w:rsidR="00D062A4" w:rsidRDefault="00000000">
            <w:pPr>
              <w:jc w:val="center"/>
            </w:pPr>
            <w:r>
              <w:rPr>
                <w:rFonts w:ascii="Times New Roman" w:hAnsi="Times New Roman"/>
                <w:b/>
                <w:color w:val="FFFFFF"/>
                <w:sz w:val="20"/>
              </w:rPr>
              <w:t>Model</w:t>
            </w:r>
          </w:p>
        </w:tc>
        <w:tc>
          <w:tcPr>
            <w:tcW w:w="1255" w:type="dxa"/>
            <w:shd w:val="clear" w:color="auto" w:fill="1F497D"/>
          </w:tcPr>
          <w:p w14:paraId="1A62AABA" w14:textId="77777777" w:rsidR="00D062A4" w:rsidRDefault="00000000">
            <w:pPr>
              <w:jc w:val="center"/>
            </w:pPr>
            <w:r>
              <w:rPr>
                <w:rFonts w:ascii="Times New Roman" w:hAnsi="Times New Roman"/>
                <w:b/>
                <w:color w:val="FFFFFF"/>
                <w:sz w:val="20"/>
              </w:rPr>
              <w:t>AUC-ROC</w:t>
            </w:r>
          </w:p>
        </w:tc>
        <w:tc>
          <w:tcPr>
            <w:tcW w:w="1255" w:type="dxa"/>
            <w:shd w:val="clear" w:color="auto" w:fill="1F497D"/>
          </w:tcPr>
          <w:p w14:paraId="563C72B7" w14:textId="77777777" w:rsidR="00D062A4" w:rsidRDefault="00000000">
            <w:pPr>
              <w:jc w:val="center"/>
            </w:pPr>
            <w:r>
              <w:rPr>
                <w:rFonts w:ascii="Times New Roman" w:hAnsi="Times New Roman"/>
                <w:b/>
                <w:color w:val="FFFFFF"/>
                <w:sz w:val="20"/>
              </w:rPr>
              <w:t>F1-Score</w:t>
            </w:r>
          </w:p>
        </w:tc>
        <w:tc>
          <w:tcPr>
            <w:tcW w:w="1255" w:type="dxa"/>
            <w:shd w:val="clear" w:color="auto" w:fill="1F497D"/>
          </w:tcPr>
          <w:p w14:paraId="6809CBD1" w14:textId="77777777" w:rsidR="00D062A4" w:rsidRDefault="00000000">
            <w:pPr>
              <w:jc w:val="center"/>
            </w:pPr>
            <w:r>
              <w:rPr>
                <w:rFonts w:ascii="Times New Roman" w:hAnsi="Times New Roman"/>
                <w:b/>
                <w:color w:val="FFFFFF"/>
                <w:sz w:val="20"/>
              </w:rPr>
              <w:t>Precision</w:t>
            </w:r>
          </w:p>
        </w:tc>
        <w:tc>
          <w:tcPr>
            <w:tcW w:w="1255" w:type="dxa"/>
            <w:shd w:val="clear" w:color="auto" w:fill="1F497D"/>
          </w:tcPr>
          <w:p w14:paraId="5ADCFBFF" w14:textId="77777777" w:rsidR="00D062A4" w:rsidRDefault="00000000">
            <w:pPr>
              <w:jc w:val="center"/>
            </w:pPr>
            <w:r>
              <w:rPr>
                <w:rFonts w:ascii="Times New Roman" w:hAnsi="Times New Roman"/>
                <w:b/>
                <w:color w:val="FFFFFF"/>
                <w:sz w:val="20"/>
              </w:rPr>
              <w:t>Recall</w:t>
            </w:r>
          </w:p>
        </w:tc>
        <w:tc>
          <w:tcPr>
            <w:tcW w:w="1255" w:type="dxa"/>
            <w:shd w:val="clear" w:color="auto" w:fill="1F497D"/>
          </w:tcPr>
          <w:p w14:paraId="6ABC5521" w14:textId="77777777" w:rsidR="00D062A4" w:rsidRDefault="00000000">
            <w:pPr>
              <w:jc w:val="center"/>
            </w:pPr>
            <w:r>
              <w:rPr>
                <w:rFonts w:ascii="Times New Roman" w:hAnsi="Times New Roman"/>
                <w:b/>
                <w:color w:val="FFFFFF"/>
                <w:sz w:val="20"/>
              </w:rPr>
              <w:t>Accuracy</w:t>
            </w:r>
          </w:p>
        </w:tc>
        <w:tc>
          <w:tcPr>
            <w:tcW w:w="1255" w:type="dxa"/>
            <w:shd w:val="clear" w:color="auto" w:fill="1F497D"/>
          </w:tcPr>
          <w:p w14:paraId="561AB79E" w14:textId="77777777" w:rsidR="00D062A4" w:rsidRDefault="00000000">
            <w:pPr>
              <w:jc w:val="center"/>
            </w:pPr>
            <w:r>
              <w:rPr>
                <w:rFonts w:ascii="Times New Roman" w:hAnsi="Times New Roman"/>
                <w:b/>
                <w:color w:val="FFFFFF"/>
                <w:sz w:val="20"/>
              </w:rPr>
              <w:t>Threshold</w:t>
            </w:r>
          </w:p>
        </w:tc>
      </w:tr>
      <w:tr w:rsidR="00D062A4" w14:paraId="7B819CA6" w14:textId="77777777">
        <w:tc>
          <w:tcPr>
            <w:tcW w:w="1255" w:type="dxa"/>
            <w:shd w:val="clear" w:color="auto" w:fill="EEF3F9"/>
          </w:tcPr>
          <w:p w14:paraId="40265395" w14:textId="77777777" w:rsidR="00D062A4" w:rsidRDefault="00000000">
            <w:pPr>
              <w:jc w:val="center"/>
            </w:pPr>
            <w:r>
              <w:rPr>
                <w:rFonts w:ascii="Times New Roman" w:hAnsi="Times New Roman"/>
                <w:sz w:val="20"/>
              </w:rPr>
              <w:t xml:space="preserve">Logistic Regression </w:t>
            </w:r>
            <w:r>
              <w:rPr>
                <w:rFonts w:ascii="Segoe UI Symbol" w:hAnsi="Segoe UI Symbol" w:cs="Segoe UI Symbol"/>
                <w:sz w:val="20"/>
              </w:rPr>
              <w:t>★</w:t>
            </w:r>
          </w:p>
        </w:tc>
        <w:tc>
          <w:tcPr>
            <w:tcW w:w="1255" w:type="dxa"/>
            <w:shd w:val="clear" w:color="auto" w:fill="EEF3F9"/>
          </w:tcPr>
          <w:p w14:paraId="196158F1" w14:textId="77777777" w:rsidR="00D062A4" w:rsidRDefault="00000000">
            <w:pPr>
              <w:jc w:val="center"/>
            </w:pPr>
            <w:r>
              <w:rPr>
                <w:rFonts w:ascii="Times New Roman" w:hAnsi="Times New Roman"/>
                <w:sz w:val="20"/>
              </w:rPr>
              <w:t>0.9739</w:t>
            </w:r>
          </w:p>
        </w:tc>
        <w:tc>
          <w:tcPr>
            <w:tcW w:w="1255" w:type="dxa"/>
            <w:shd w:val="clear" w:color="auto" w:fill="EEF3F9"/>
          </w:tcPr>
          <w:p w14:paraId="469DD8E9" w14:textId="77777777" w:rsidR="00D062A4" w:rsidRDefault="00000000">
            <w:pPr>
              <w:jc w:val="center"/>
            </w:pPr>
            <w:r>
              <w:rPr>
                <w:rFonts w:ascii="Times New Roman" w:hAnsi="Times New Roman"/>
                <w:sz w:val="20"/>
              </w:rPr>
              <w:t>0.4000</w:t>
            </w:r>
          </w:p>
        </w:tc>
        <w:tc>
          <w:tcPr>
            <w:tcW w:w="1255" w:type="dxa"/>
            <w:shd w:val="clear" w:color="auto" w:fill="EEF3F9"/>
          </w:tcPr>
          <w:p w14:paraId="309747CD" w14:textId="77777777" w:rsidR="00D062A4" w:rsidRDefault="00000000">
            <w:pPr>
              <w:jc w:val="center"/>
            </w:pPr>
            <w:r>
              <w:rPr>
                <w:rFonts w:ascii="Times New Roman" w:hAnsi="Times New Roman"/>
                <w:sz w:val="20"/>
              </w:rPr>
              <w:t>0.2500</w:t>
            </w:r>
          </w:p>
        </w:tc>
        <w:tc>
          <w:tcPr>
            <w:tcW w:w="1255" w:type="dxa"/>
            <w:shd w:val="clear" w:color="auto" w:fill="EEF3F9"/>
          </w:tcPr>
          <w:p w14:paraId="36AA3F31" w14:textId="77777777" w:rsidR="00D062A4" w:rsidRDefault="00000000">
            <w:pPr>
              <w:jc w:val="center"/>
            </w:pPr>
            <w:r>
              <w:rPr>
                <w:rFonts w:ascii="Times New Roman" w:hAnsi="Times New Roman"/>
                <w:sz w:val="20"/>
              </w:rPr>
              <w:t>1.0000</w:t>
            </w:r>
          </w:p>
        </w:tc>
        <w:tc>
          <w:tcPr>
            <w:tcW w:w="1255" w:type="dxa"/>
            <w:shd w:val="clear" w:color="auto" w:fill="EEF3F9"/>
          </w:tcPr>
          <w:p w14:paraId="3C470BB9" w14:textId="77777777" w:rsidR="00D062A4" w:rsidRDefault="00000000">
            <w:pPr>
              <w:jc w:val="center"/>
            </w:pPr>
            <w:r>
              <w:rPr>
                <w:rFonts w:ascii="Times New Roman" w:hAnsi="Times New Roman"/>
                <w:sz w:val="20"/>
              </w:rPr>
              <w:t>96.1%</w:t>
            </w:r>
          </w:p>
        </w:tc>
        <w:tc>
          <w:tcPr>
            <w:tcW w:w="1255" w:type="dxa"/>
            <w:shd w:val="clear" w:color="auto" w:fill="EEF3F9"/>
          </w:tcPr>
          <w:p w14:paraId="0C9998A5" w14:textId="77777777" w:rsidR="00D062A4" w:rsidRDefault="00000000">
            <w:pPr>
              <w:jc w:val="center"/>
            </w:pPr>
            <w:r>
              <w:rPr>
                <w:rFonts w:ascii="Times New Roman" w:hAnsi="Times New Roman"/>
                <w:sz w:val="20"/>
              </w:rPr>
              <w:t>0.23</w:t>
            </w:r>
          </w:p>
        </w:tc>
      </w:tr>
      <w:tr w:rsidR="00D062A4" w14:paraId="2A88822E" w14:textId="77777777">
        <w:tc>
          <w:tcPr>
            <w:tcW w:w="1255" w:type="dxa"/>
            <w:shd w:val="clear" w:color="auto" w:fill="FFFFFF"/>
          </w:tcPr>
          <w:p w14:paraId="36637AAD" w14:textId="77777777" w:rsidR="00D062A4" w:rsidRDefault="00000000">
            <w:pPr>
              <w:jc w:val="center"/>
            </w:pPr>
            <w:r>
              <w:rPr>
                <w:rFonts w:ascii="Times New Roman" w:hAnsi="Times New Roman"/>
                <w:sz w:val="20"/>
              </w:rPr>
              <w:t>Random Forest</w:t>
            </w:r>
          </w:p>
        </w:tc>
        <w:tc>
          <w:tcPr>
            <w:tcW w:w="1255" w:type="dxa"/>
            <w:shd w:val="clear" w:color="auto" w:fill="FFFFFF"/>
          </w:tcPr>
          <w:p w14:paraId="216607C1" w14:textId="77777777" w:rsidR="00D062A4" w:rsidRDefault="00000000">
            <w:pPr>
              <w:jc w:val="center"/>
            </w:pPr>
            <w:r>
              <w:rPr>
                <w:rFonts w:ascii="Times New Roman" w:hAnsi="Times New Roman"/>
                <w:sz w:val="20"/>
              </w:rPr>
              <w:t>0.1928</w:t>
            </w:r>
          </w:p>
        </w:tc>
        <w:tc>
          <w:tcPr>
            <w:tcW w:w="1255" w:type="dxa"/>
            <w:shd w:val="clear" w:color="auto" w:fill="FFFFFF"/>
          </w:tcPr>
          <w:p w14:paraId="624446D6" w14:textId="77777777" w:rsidR="00D062A4" w:rsidRDefault="00000000">
            <w:pPr>
              <w:jc w:val="center"/>
            </w:pPr>
            <w:r>
              <w:rPr>
                <w:rFonts w:ascii="Times New Roman" w:hAnsi="Times New Roman"/>
                <w:sz w:val="20"/>
              </w:rPr>
              <w:t>0.0000</w:t>
            </w:r>
          </w:p>
        </w:tc>
        <w:tc>
          <w:tcPr>
            <w:tcW w:w="1255" w:type="dxa"/>
            <w:shd w:val="clear" w:color="auto" w:fill="FFFFFF"/>
          </w:tcPr>
          <w:p w14:paraId="705E63C5" w14:textId="77777777" w:rsidR="00D062A4" w:rsidRDefault="00000000">
            <w:pPr>
              <w:jc w:val="center"/>
            </w:pPr>
            <w:r>
              <w:rPr>
                <w:rFonts w:ascii="Times New Roman" w:hAnsi="Times New Roman"/>
                <w:sz w:val="20"/>
              </w:rPr>
              <w:t>0.0000</w:t>
            </w:r>
          </w:p>
        </w:tc>
        <w:tc>
          <w:tcPr>
            <w:tcW w:w="1255" w:type="dxa"/>
            <w:shd w:val="clear" w:color="auto" w:fill="FFFFFF"/>
          </w:tcPr>
          <w:p w14:paraId="70266936" w14:textId="77777777" w:rsidR="00D062A4" w:rsidRDefault="00000000">
            <w:pPr>
              <w:jc w:val="center"/>
            </w:pPr>
            <w:r>
              <w:rPr>
                <w:rFonts w:ascii="Times New Roman" w:hAnsi="Times New Roman"/>
                <w:sz w:val="20"/>
              </w:rPr>
              <w:t>0.0000</w:t>
            </w:r>
          </w:p>
        </w:tc>
        <w:tc>
          <w:tcPr>
            <w:tcW w:w="1255" w:type="dxa"/>
            <w:shd w:val="clear" w:color="auto" w:fill="FFFFFF"/>
          </w:tcPr>
          <w:p w14:paraId="0C9F2525" w14:textId="77777777" w:rsidR="00D062A4" w:rsidRDefault="00000000">
            <w:pPr>
              <w:jc w:val="center"/>
            </w:pPr>
            <w:r>
              <w:rPr>
                <w:rFonts w:ascii="Times New Roman" w:hAnsi="Times New Roman"/>
                <w:sz w:val="20"/>
              </w:rPr>
              <w:t>97.4%</w:t>
            </w:r>
          </w:p>
        </w:tc>
        <w:tc>
          <w:tcPr>
            <w:tcW w:w="1255" w:type="dxa"/>
            <w:shd w:val="clear" w:color="auto" w:fill="FFFFFF"/>
          </w:tcPr>
          <w:p w14:paraId="5060BEE7" w14:textId="77777777" w:rsidR="00D062A4" w:rsidRDefault="00000000">
            <w:pPr>
              <w:jc w:val="center"/>
            </w:pPr>
            <w:r>
              <w:rPr>
                <w:rFonts w:ascii="Times New Roman" w:hAnsi="Times New Roman"/>
                <w:sz w:val="20"/>
              </w:rPr>
              <w:t>0.50</w:t>
            </w:r>
          </w:p>
        </w:tc>
      </w:tr>
      <w:tr w:rsidR="00D062A4" w14:paraId="2BD88181" w14:textId="77777777">
        <w:tc>
          <w:tcPr>
            <w:tcW w:w="1255" w:type="dxa"/>
            <w:shd w:val="clear" w:color="auto" w:fill="EEF3F9"/>
          </w:tcPr>
          <w:p w14:paraId="51F6E584" w14:textId="77777777" w:rsidR="00D062A4" w:rsidRDefault="00000000">
            <w:pPr>
              <w:jc w:val="center"/>
            </w:pPr>
            <w:r>
              <w:rPr>
                <w:rFonts w:ascii="Times New Roman" w:hAnsi="Times New Roman"/>
                <w:sz w:val="20"/>
              </w:rPr>
              <w:t>Gradient Boosting</w:t>
            </w:r>
          </w:p>
        </w:tc>
        <w:tc>
          <w:tcPr>
            <w:tcW w:w="1255" w:type="dxa"/>
            <w:shd w:val="clear" w:color="auto" w:fill="EEF3F9"/>
          </w:tcPr>
          <w:p w14:paraId="07CFEBBF" w14:textId="77777777" w:rsidR="00D062A4" w:rsidRDefault="00000000">
            <w:pPr>
              <w:jc w:val="center"/>
            </w:pPr>
            <w:r>
              <w:rPr>
                <w:rFonts w:ascii="Times New Roman" w:hAnsi="Times New Roman"/>
                <w:sz w:val="20"/>
              </w:rPr>
              <w:t>0.5098</w:t>
            </w:r>
          </w:p>
        </w:tc>
        <w:tc>
          <w:tcPr>
            <w:tcW w:w="1255" w:type="dxa"/>
            <w:shd w:val="clear" w:color="auto" w:fill="EEF3F9"/>
          </w:tcPr>
          <w:p w14:paraId="4E93BC5A" w14:textId="77777777" w:rsidR="00D062A4" w:rsidRDefault="00000000">
            <w:pPr>
              <w:jc w:val="center"/>
            </w:pPr>
            <w:r>
              <w:rPr>
                <w:rFonts w:ascii="Times New Roman" w:hAnsi="Times New Roman"/>
                <w:sz w:val="20"/>
              </w:rPr>
              <w:t>0.0000</w:t>
            </w:r>
          </w:p>
        </w:tc>
        <w:tc>
          <w:tcPr>
            <w:tcW w:w="1255" w:type="dxa"/>
            <w:shd w:val="clear" w:color="auto" w:fill="EEF3F9"/>
          </w:tcPr>
          <w:p w14:paraId="14ADAADB" w14:textId="77777777" w:rsidR="00D062A4" w:rsidRDefault="00000000">
            <w:pPr>
              <w:jc w:val="center"/>
            </w:pPr>
            <w:r>
              <w:rPr>
                <w:rFonts w:ascii="Times New Roman" w:hAnsi="Times New Roman"/>
                <w:sz w:val="20"/>
              </w:rPr>
              <w:t>0.0000</w:t>
            </w:r>
          </w:p>
        </w:tc>
        <w:tc>
          <w:tcPr>
            <w:tcW w:w="1255" w:type="dxa"/>
            <w:shd w:val="clear" w:color="auto" w:fill="EEF3F9"/>
          </w:tcPr>
          <w:p w14:paraId="65804516" w14:textId="77777777" w:rsidR="00D062A4" w:rsidRDefault="00000000">
            <w:pPr>
              <w:jc w:val="center"/>
            </w:pPr>
            <w:r>
              <w:rPr>
                <w:rFonts w:ascii="Times New Roman" w:hAnsi="Times New Roman"/>
                <w:sz w:val="20"/>
              </w:rPr>
              <w:t>0.0000</w:t>
            </w:r>
          </w:p>
        </w:tc>
        <w:tc>
          <w:tcPr>
            <w:tcW w:w="1255" w:type="dxa"/>
            <w:shd w:val="clear" w:color="auto" w:fill="EEF3F9"/>
          </w:tcPr>
          <w:p w14:paraId="04E7394F" w14:textId="77777777" w:rsidR="00D062A4" w:rsidRDefault="00000000">
            <w:pPr>
              <w:jc w:val="center"/>
            </w:pPr>
            <w:r>
              <w:rPr>
                <w:rFonts w:ascii="Times New Roman" w:hAnsi="Times New Roman"/>
                <w:sz w:val="20"/>
              </w:rPr>
              <w:t>97.4%</w:t>
            </w:r>
          </w:p>
        </w:tc>
        <w:tc>
          <w:tcPr>
            <w:tcW w:w="1255" w:type="dxa"/>
            <w:shd w:val="clear" w:color="auto" w:fill="EEF3F9"/>
          </w:tcPr>
          <w:p w14:paraId="358E36C9" w14:textId="77777777" w:rsidR="00D062A4" w:rsidRDefault="00000000">
            <w:pPr>
              <w:jc w:val="center"/>
            </w:pPr>
            <w:r>
              <w:rPr>
                <w:rFonts w:ascii="Times New Roman" w:hAnsi="Times New Roman"/>
                <w:sz w:val="20"/>
              </w:rPr>
              <w:t>0.50</w:t>
            </w:r>
          </w:p>
        </w:tc>
      </w:tr>
      <w:tr w:rsidR="00D062A4" w14:paraId="379B7067" w14:textId="77777777">
        <w:tc>
          <w:tcPr>
            <w:tcW w:w="1255" w:type="dxa"/>
            <w:shd w:val="clear" w:color="auto" w:fill="FFFFFF"/>
          </w:tcPr>
          <w:p w14:paraId="2BED0C74" w14:textId="77777777" w:rsidR="00D062A4" w:rsidRDefault="00000000">
            <w:pPr>
              <w:jc w:val="center"/>
            </w:pPr>
            <w:r>
              <w:rPr>
                <w:rFonts w:ascii="Times New Roman" w:hAnsi="Times New Roman"/>
                <w:sz w:val="20"/>
              </w:rPr>
              <w:t>SVM (ANN-equivalent)</w:t>
            </w:r>
          </w:p>
        </w:tc>
        <w:tc>
          <w:tcPr>
            <w:tcW w:w="1255" w:type="dxa"/>
            <w:shd w:val="clear" w:color="auto" w:fill="FFFFFF"/>
          </w:tcPr>
          <w:p w14:paraId="400388C5" w14:textId="77777777" w:rsidR="00D062A4" w:rsidRDefault="00000000">
            <w:pPr>
              <w:jc w:val="center"/>
            </w:pPr>
            <w:r>
              <w:rPr>
                <w:rFonts w:ascii="Times New Roman" w:hAnsi="Times New Roman"/>
                <w:sz w:val="20"/>
              </w:rPr>
              <w:t>0.8072</w:t>
            </w:r>
          </w:p>
        </w:tc>
        <w:tc>
          <w:tcPr>
            <w:tcW w:w="1255" w:type="dxa"/>
            <w:shd w:val="clear" w:color="auto" w:fill="FFFFFF"/>
          </w:tcPr>
          <w:p w14:paraId="62A2C41B" w14:textId="77777777" w:rsidR="00D062A4" w:rsidRDefault="00000000">
            <w:pPr>
              <w:jc w:val="center"/>
            </w:pPr>
            <w:r>
              <w:rPr>
                <w:rFonts w:ascii="Times New Roman" w:hAnsi="Times New Roman"/>
                <w:sz w:val="20"/>
              </w:rPr>
              <w:t>0.0635</w:t>
            </w:r>
          </w:p>
        </w:tc>
        <w:tc>
          <w:tcPr>
            <w:tcW w:w="1255" w:type="dxa"/>
            <w:shd w:val="clear" w:color="auto" w:fill="FFFFFF"/>
          </w:tcPr>
          <w:p w14:paraId="194A3825" w14:textId="77777777" w:rsidR="00D062A4" w:rsidRDefault="00000000">
            <w:pPr>
              <w:jc w:val="center"/>
            </w:pPr>
            <w:r>
              <w:rPr>
                <w:rFonts w:ascii="Times New Roman" w:hAnsi="Times New Roman"/>
                <w:sz w:val="20"/>
              </w:rPr>
              <w:t>0.0328</w:t>
            </w:r>
          </w:p>
        </w:tc>
        <w:tc>
          <w:tcPr>
            <w:tcW w:w="1255" w:type="dxa"/>
            <w:shd w:val="clear" w:color="auto" w:fill="FFFFFF"/>
          </w:tcPr>
          <w:p w14:paraId="4F58B257" w14:textId="77777777" w:rsidR="00D062A4" w:rsidRDefault="00000000">
            <w:pPr>
              <w:jc w:val="center"/>
            </w:pPr>
            <w:r>
              <w:rPr>
                <w:rFonts w:ascii="Times New Roman" w:hAnsi="Times New Roman"/>
                <w:sz w:val="20"/>
              </w:rPr>
              <w:t>1.0000</w:t>
            </w:r>
          </w:p>
        </w:tc>
        <w:tc>
          <w:tcPr>
            <w:tcW w:w="1255" w:type="dxa"/>
            <w:shd w:val="clear" w:color="auto" w:fill="FFFFFF"/>
          </w:tcPr>
          <w:p w14:paraId="18BE97B6" w14:textId="77777777" w:rsidR="00D062A4" w:rsidRDefault="00000000">
            <w:pPr>
              <w:jc w:val="center"/>
            </w:pPr>
            <w:r>
              <w:rPr>
                <w:rFonts w:ascii="Times New Roman" w:hAnsi="Times New Roman"/>
                <w:sz w:val="20"/>
              </w:rPr>
              <w:t>61.9%</w:t>
            </w:r>
          </w:p>
        </w:tc>
        <w:tc>
          <w:tcPr>
            <w:tcW w:w="1255" w:type="dxa"/>
            <w:shd w:val="clear" w:color="auto" w:fill="FFFFFF"/>
          </w:tcPr>
          <w:p w14:paraId="62CEEE5E" w14:textId="77777777" w:rsidR="00D062A4" w:rsidRDefault="00000000">
            <w:pPr>
              <w:jc w:val="center"/>
            </w:pPr>
            <w:r>
              <w:rPr>
                <w:rFonts w:ascii="Times New Roman" w:hAnsi="Times New Roman"/>
                <w:sz w:val="20"/>
              </w:rPr>
              <w:t>0.17</w:t>
            </w:r>
          </w:p>
        </w:tc>
      </w:tr>
    </w:tbl>
    <w:p w14:paraId="6133FA9B" w14:textId="77777777" w:rsidR="00D062A4" w:rsidRDefault="00000000">
      <w:pPr>
        <w:spacing w:before="40" w:line="360" w:lineRule="auto"/>
      </w:pPr>
      <w:r>
        <w:rPr>
          <w:rFonts w:ascii="Times New Roman" w:hAnsi="Times New Roman"/>
          <w:i/>
          <w:sz w:val="20"/>
        </w:rPr>
        <w:t>Table 2: Model Performance Comparison on Test Set (</w:t>
      </w:r>
      <w:r>
        <w:rPr>
          <w:rFonts w:ascii="Segoe UI Symbol" w:hAnsi="Segoe UI Symbol" w:cs="Segoe UI Symbol"/>
          <w:i/>
          <w:sz w:val="20"/>
        </w:rPr>
        <w:t>★</w:t>
      </w:r>
      <w:r>
        <w:rPr>
          <w:rFonts w:ascii="Times New Roman" w:hAnsi="Times New Roman"/>
          <w:i/>
          <w:sz w:val="20"/>
        </w:rPr>
        <w:t xml:space="preserve"> = Best Model)</w:t>
      </w:r>
    </w:p>
    <w:p w14:paraId="2221E853" w14:textId="77777777" w:rsidR="00D062A4" w:rsidRDefault="00000000">
      <w:pPr>
        <w:spacing w:after="120" w:line="360" w:lineRule="auto"/>
        <w:jc w:val="both"/>
      </w:pPr>
      <w:r>
        <w:rPr>
          <w:rFonts w:ascii="Times New Roman" w:hAnsi="Times New Roman"/>
        </w:rPr>
        <w:t xml:space="preserve">Logistic Regression is the best-performing model with an AUC-ROC of 0.9739. At its optimal threshold of 0.23, it achieves perfect recall (1.0) — correctly flagging every actual recession month in the test period. Precision of 0.25 reflects some false positives, which is </w:t>
      </w:r>
      <w:r>
        <w:rPr>
          <w:rFonts w:ascii="Times New Roman" w:hAnsi="Times New Roman"/>
        </w:rPr>
        <w:lastRenderedPageBreak/>
        <w:t>the expected trade-off when the threshold is set low to maximize recall in a severely imbalanced test set. The F1-score of 0.40 reflects this precision-recall trade-off.</w:t>
      </w:r>
    </w:p>
    <w:p w14:paraId="09DA6DBB" w14:textId="77777777" w:rsidR="00D062A4" w:rsidRDefault="00000000">
      <w:pPr>
        <w:spacing w:after="120" w:line="360" w:lineRule="auto"/>
        <w:jc w:val="both"/>
      </w:pPr>
      <w:r>
        <w:rPr>
          <w:rFonts w:ascii="Times New Roman" w:hAnsi="Times New Roman"/>
        </w:rPr>
        <w:t>Random Forest and Gradient Boosting both defaulted to threshold 0.50 and predicted only expansions throughout the test period, a direct consequence of the 1.3% test-set recession rate. These models would benefit from threshold optimization or SMOTE oversampling in future work. SVM achieved perfect recall at threshold 0.17 but with very low precision (0.03), flagging nearly every month as recession and resulting in poor accuracy (61.9%).</w:t>
      </w:r>
    </w:p>
    <w:p w14:paraId="1BB04D8B" w14:textId="77777777" w:rsidR="00D062A4" w:rsidRDefault="00000000">
      <w:pPr>
        <w:spacing w:after="120" w:line="360" w:lineRule="auto"/>
        <w:jc w:val="both"/>
      </w:pPr>
      <w:r>
        <w:rPr>
          <w:rFonts w:ascii="Times New Roman" w:hAnsi="Times New Roman"/>
        </w:rPr>
        <w:t>The relative strength of Logistic Regression over tree-based ensembles is consistent with Papadopoulos et al. (2020). With only 9 complete recession episodes in the 65-year training dataset, the sample is too small for complex nonlinear models to reliably learn recession patterns — the well-regularized linear classifier generalizes better under data-scarce conditions.</w:t>
      </w:r>
    </w:p>
    <w:p w14:paraId="559B8039" w14:textId="77777777" w:rsidR="00D062A4" w:rsidRDefault="00000000">
      <w:pPr>
        <w:pStyle w:val="Heading2"/>
        <w:spacing w:after="40"/>
      </w:pPr>
      <w:r>
        <w:rPr>
          <w:rFonts w:ascii="Times New Roman" w:hAnsi="Times New Roman"/>
          <w:color w:val="1F497D"/>
          <w:sz w:val="24"/>
        </w:rPr>
        <w:t>4.4 Confusion Matrices</w:t>
      </w:r>
    </w:p>
    <w:p w14:paraId="4992E36C" w14:textId="77777777" w:rsidR="00D062A4" w:rsidRDefault="00000000">
      <w:pPr>
        <w:spacing w:after="120" w:line="360" w:lineRule="auto"/>
        <w:jc w:val="both"/>
      </w:pPr>
      <w:r>
        <w:rPr>
          <w:rFonts w:ascii="Times New Roman" w:hAnsi="Times New Roman"/>
        </w:rPr>
        <w:t>Figure 6 shows confusion matrices for all four models at their optimal thresholds. Logistic Regression correctly identifies all 2 actual recession months in the test period (TP = 2, FN = 0) with 6 false positives. Random Forest and Gradient Boosting predict 0 recession months (all expansions), while SVM generates many false alarms.</w:t>
      </w:r>
    </w:p>
    <w:p w14:paraId="232B8279" w14:textId="77777777" w:rsidR="00D062A4" w:rsidRDefault="00000000">
      <w:pPr>
        <w:jc w:val="center"/>
      </w:pPr>
      <w:r>
        <w:rPr>
          <w:noProof/>
        </w:rPr>
        <w:lastRenderedPageBreak/>
        <w:drawing>
          <wp:inline distT="0" distB="0" distL="0" distR="0" wp14:anchorId="026BD458" wp14:editId="7DBDEEA2">
            <wp:extent cx="5303520" cy="4260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nfusion_matrices.png"/>
                    <pic:cNvPicPr/>
                  </pic:nvPicPr>
                  <pic:blipFill>
                    <a:blip r:embed="rId12"/>
                    <a:stretch>
                      <a:fillRect/>
                    </a:stretch>
                  </pic:blipFill>
                  <pic:spPr>
                    <a:xfrm>
                      <a:off x="0" y="0"/>
                      <a:ext cx="5303520" cy="4260664"/>
                    </a:xfrm>
                    <a:prstGeom prst="rect">
                      <a:avLst/>
                    </a:prstGeom>
                  </pic:spPr>
                </pic:pic>
              </a:graphicData>
            </a:graphic>
          </wp:inline>
        </w:drawing>
      </w:r>
    </w:p>
    <w:p w14:paraId="5739266F" w14:textId="77777777" w:rsidR="00D062A4" w:rsidRDefault="00000000">
      <w:pPr>
        <w:spacing w:before="40"/>
        <w:jc w:val="center"/>
      </w:pPr>
      <w:r>
        <w:rPr>
          <w:rFonts w:ascii="Times New Roman" w:hAnsi="Times New Roman"/>
          <w:i/>
          <w:color w:val="505050"/>
          <w:sz w:val="20"/>
        </w:rPr>
        <w:t>Figure 6: Confusion Matrices at Optimal Thresholds — All Four Models</w:t>
      </w:r>
    </w:p>
    <w:p w14:paraId="46845F4B" w14:textId="77777777" w:rsidR="00D062A4" w:rsidRDefault="00000000">
      <w:pPr>
        <w:pStyle w:val="Heading2"/>
        <w:spacing w:after="40"/>
      </w:pPr>
      <w:r>
        <w:rPr>
          <w:rFonts w:ascii="Times New Roman" w:hAnsi="Times New Roman"/>
          <w:color w:val="1F497D"/>
          <w:sz w:val="24"/>
        </w:rPr>
        <w:t>4.5 ROC Curves</w:t>
      </w:r>
    </w:p>
    <w:p w14:paraId="5F489A75" w14:textId="77777777" w:rsidR="00D062A4" w:rsidRDefault="00000000">
      <w:pPr>
        <w:spacing w:after="120" w:line="360" w:lineRule="auto"/>
        <w:jc w:val="both"/>
      </w:pPr>
      <w:r>
        <w:rPr>
          <w:rFonts w:ascii="Times New Roman" w:hAnsi="Times New Roman"/>
        </w:rPr>
        <w:t>Figure 7 presents the ROC curves for all four models. Logistic Regression clearly dominates with AUC-ROC = 0.9739, indicating excellent discrimination ability across all possible thresholds. SVM achieves a reasonable AUC of 0.8072. Random Forest (0.1928) and Gradient Boosting (0.5098) perform poorly in the test period, reflecting their inability to generalize to the very low recession prevalence of the test set without threshold adjustment.</w:t>
      </w:r>
    </w:p>
    <w:p w14:paraId="7F5A6F04" w14:textId="77777777" w:rsidR="00D062A4" w:rsidRDefault="00000000">
      <w:pPr>
        <w:jc w:val="center"/>
      </w:pPr>
      <w:r>
        <w:rPr>
          <w:noProof/>
        </w:rPr>
        <w:lastRenderedPageBreak/>
        <w:drawing>
          <wp:inline distT="0" distB="0" distL="0" distR="0" wp14:anchorId="7A78C5AB" wp14:editId="06443BF8">
            <wp:extent cx="5303520" cy="4107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curves.png"/>
                    <pic:cNvPicPr/>
                  </pic:nvPicPr>
                  <pic:blipFill>
                    <a:blip r:embed="rId13"/>
                    <a:stretch>
                      <a:fillRect/>
                    </a:stretch>
                  </pic:blipFill>
                  <pic:spPr>
                    <a:xfrm>
                      <a:off x="0" y="0"/>
                      <a:ext cx="5303520" cy="4107237"/>
                    </a:xfrm>
                    <a:prstGeom prst="rect">
                      <a:avLst/>
                    </a:prstGeom>
                  </pic:spPr>
                </pic:pic>
              </a:graphicData>
            </a:graphic>
          </wp:inline>
        </w:drawing>
      </w:r>
    </w:p>
    <w:p w14:paraId="4B61D79A" w14:textId="77777777" w:rsidR="00D062A4" w:rsidRDefault="00000000">
      <w:pPr>
        <w:spacing w:before="40"/>
        <w:jc w:val="center"/>
      </w:pPr>
      <w:r>
        <w:rPr>
          <w:rFonts w:ascii="Times New Roman" w:hAnsi="Times New Roman"/>
          <w:i/>
          <w:color w:val="505050"/>
          <w:sz w:val="20"/>
        </w:rPr>
        <w:t>Figure 7: ROC Curves — All Models (AUC values shown in legend)</w:t>
      </w:r>
    </w:p>
    <w:p w14:paraId="0398FF33" w14:textId="77777777" w:rsidR="00D062A4" w:rsidRDefault="00000000">
      <w:pPr>
        <w:pStyle w:val="Heading2"/>
        <w:spacing w:after="40"/>
      </w:pPr>
      <w:r>
        <w:rPr>
          <w:rFonts w:ascii="Times New Roman" w:hAnsi="Times New Roman"/>
          <w:color w:val="1F497D"/>
          <w:sz w:val="24"/>
        </w:rPr>
        <w:t>4.6 Feature Importance</w:t>
      </w:r>
    </w:p>
    <w:p w14:paraId="1F82E93F" w14:textId="77777777" w:rsidR="00D062A4" w:rsidRDefault="00000000">
      <w:pPr>
        <w:spacing w:after="120" w:line="360" w:lineRule="auto"/>
        <w:jc w:val="both"/>
      </w:pPr>
      <w:r>
        <w:rPr>
          <w:rFonts w:ascii="Times New Roman" w:hAnsi="Times New Roman"/>
        </w:rPr>
        <w:t>Figure 8 shows the top 15 features ranked by Random Forest Mean Decrease in Impurity. The top 10 features split cleanly into two groups: labor market momentum (rolling unemployment rate averages) and yield curve signals (lagged spread indicators). This aligns precisely with macroeconomic theory — sustained labor market deterioration and yield curve inversion are the two most reliable leading indicators of U.S. recessions (Estrella and Mishkin, 1998; Kauppi and Saikkonen, 2008).</w:t>
      </w:r>
    </w:p>
    <w:p w14:paraId="7C3AE5AF" w14:textId="77777777" w:rsidR="00D062A4" w:rsidRDefault="00000000">
      <w:pPr>
        <w:jc w:val="center"/>
      </w:pPr>
      <w:r>
        <w:rPr>
          <w:noProof/>
        </w:rPr>
        <w:lastRenderedPageBreak/>
        <w:drawing>
          <wp:inline distT="0" distB="0" distL="0" distR="0" wp14:anchorId="02BD3C8A" wp14:editId="30C82A63">
            <wp:extent cx="5303520" cy="3072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ature_importance.png"/>
                    <pic:cNvPicPr/>
                  </pic:nvPicPr>
                  <pic:blipFill>
                    <a:blip r:embed="rId14"/>
                    <a:stretch>
                      <a:fillRect/>
                    </a:stretch>
                  </pic:blipFill>
                  <pic:spPr>
                    <a:xfrm>
                      <a:off x="0" y="0"/>
                      <a:ext cx="5303520" cy="3072343"/>
                    </a:xfrm>
                    <a:prstGeom prst="rect">
                      <a:avLst/>
                    </a:prstGeom>
                  </pic:spPr>
                </pic:pic>
              </a:graphicData>
            </a:graphic>
          </wp:inline>
        </w:drawing>
      </w:r>
    </w:p>
    <w:p w14:paraId="7A8A5592" w14:textId="77777777" w:rsidR="00D062A4" w:rsidRDefault="00000000">
      <w:pPr>
        <w:spacing w:before="40"/>
        <w:jc w:val="center"/>
      </w:pPr>
      <w:r>
        <w:rPr>
          <w:rFonts w:ascii="Times New Roman" w:hAnsi="Times New Roman"/>
          <w:i/>
          <w:color w:val="505050"/>
          <w:sz w:val="20"/>
        </w:rPr>
        <w:t>Figure 8: Top 15 Feature Importance Scores — Random Forest Model</w:t>
      </w:r>
    </w:p>
    <w:tbl>
      <w:tblPr>
        <w:tblStyle w:val="TableGrid"/>
        <w:tblW w:w="0" w:type="auto"/>
        <w:tblLook w:val="04A0" w:firstRow="1" w:lastRow="0" w:firstColumn="1" w:lastColumn="0" w:noHBand="0" w:noVBand="1"/>
      </w:tblPr>
      <w:tblGrid>
        <w:gridCol w:w="2196"/>
        <w:gridCol w:w="2196"/>
        <w:gridCol w:w="2196"/>
        <w:gridCol w:w="2196"/>
      </w:tblGrid>
      <w:tr w:rsidR="00D062A4" w14:paraId="0A6D4CEB" w14:textId="77777777">
        <w:tc>
          <w:tcPr>
            <w:tcW w:w="2196" w:type="dxa"/>
            <w:shd w:val="clear" w:color="auto" w:fill="1F497D"/>
          </w:tcPr>
          <w:p w14:paraId="2801AA91" w14:textId="77777777" w:rsidR="00D062A4" w:rsidRDefault="00000000">
            <w:pPr>
              <w:jc w:val="center"/>
            </w:pPr>
            <w:r>
              <w:rPr>
                <w:rFonts w:ascii="Times New Roman" w:hAnsi="Times New Roman"/>
                <w:b/>
                <w:color w:val="FFFFFF"/>
                <w:sz w:val="20"/>
              </w:rPr>
              <w:t>Rank</w:t>
            </w:r>
          </w:p>
        </w:tc>
        <w:tc>
          <w:tcPr>
            <w:tcW w:w="2196" w:type="dxa"/>
            <w:shd w:val="clear" w:color="auto" w:fill="1F497D"/>
          </w:tcPr>
          <w:p w14:paraId="62F93F23" w14:textId="77777777" w:rsidR="00D062A4" w:rsidRDefault="00000000">
            <w:pPr>
              <w:jc w:val="center"/>
            </w:pPr>
            <w:r>
              <w:rPr>
                <w:rFonts w:ascii="Times New Roman" w:hAnsi="Times New Roman"/>
                <w:b/>
                <w:color w:val="FFFFFF"/>
                <w:sz w:val="20"/>
              </w:rPr>
              <w:t>Feature</w:t>
            </w:r>
          </w:p>
        </w:tc>
        <w:tc>
          <w:tcPr>
            <w:tcW w:w="2196" w:type="dxa"/>
            <w:shd w:val="clear" w:color="auto" w:fill="1F497D"/>
          </w:tcPr>
          <w:p w14:paraId="0EF7FFFA" w14:textId="77777777" w:rsidR="00D062A4" w:rsidRDefault="00000000">
            <w:pPr>
              <w:jc w:val="center"/>
            </w:pPr>
            <w:r>
              <w:rPr>
                <w:rFonts w:ascii="Times New Roman" w:hAnsi="Times New Roman"/>
                <w:b/>
                <w:color w:val="FFFFFF"/>
                <w:sz w:val="20"/>
              </w:rPr>
              <w:t>Importance</w:t>
            </w:r>
          </w:p>
        </w:tc>
        <w:tc>
          <w:tcPr>
            <w:tcW w:w="2196" w:type="dxa"/>
            <w:shd w:val="clear" w:color="auto" w:fill="1F497D"/>
          </w:tcPr>
          <w:p w14:paraId="5B23E0A0" w14:textId="77777777" w:rsidR="00D062A4" w:rsidRDefault="00000000">
            <w:pPr>
              <w:jc w:val="center"/>
            </w:pPr>
            <w:r>
              <w:rPr>
                <w:rFonts w:ascii="Times New Roman" w:hAnsi="Times New Roman"/>
                <w:b/>
                <w:color w:val="FFFFFF"/>
                <w:sz w:val="20"/>
              </w:rPr>
              <w:t>Economic Meaning</w:t>
            </w:r>
          </w:p>
        </w:tc>
      </w:tr>
      <w:tr w:rsidR="00D062A4" w14:paraId="6C857C84" w14:textId="77777777">
        <w:tc>
          <w:tcPr>
            <w:tcW w:w="2196" w:type="dxa"/>
            <w:shd w:val="clear" w:color="auto" w:fill="EEF3F9"/>
          </w:tcPr>
          <w:p w14:paraId="1E2C9157" w14:textId="77777777" w:rsidR="00D062A4" w:rsidRDefault="00000000">
            <w:pPr>
              <w:jc w:val="center"/>
            </w:pPr>
            <w:r>
              <w:rPr>
                <w:rFonts w:ascii="Times New Roman" w:hAnsi="Times New Roman"/>
                <w:sz w:val="20"/>
              </w:rPr>
              <w:t>1</w:t>
            </w:r>
          </w:p>
        </w:tc>
        <w:tc>
          <w:tcPr>
            <w:tcW w:w="2196" w:type="dxa"/>
            <w:shd w:val="clear" w:color="auto" w:fill="EEF3F9"/>
          </w:tcPr>
          <w:p w14:paraId="2ED07266" w14:textId="77777777" w:rsidR="00D062A4" w:rsidRDefault="00000000">
            <w:pPr>
              <w:jc w:val="center"/>
            </w:pPr>
            <w:r>
              <w:rPr>
                <w:rFonts w:ascii="Times New Roman" w:hAnsi="Times New Roman"/>
                <w:sz w:val="20"/>
              </w:rPr>
              <w:t>UNRATE_rollmean6</w:t>
            </w:r>
          </w:p>
        </w:tc>
        <w:tc>
          <w:tcPr>
            <w:tcW w:w="2196" w:type="dxa"/>
            <w:shd w:val="clear" w:color="auto" w:fill="EEF3F9"/>
          </w:tcPr>
          <w:p w14:paraId="0DC18AF3" w14:textId="77777777" w:rsidR="00D062A4" w:rsidRDefault="00000000">
            <w:pPr>
              <w:jc w:val="center"/>
            </w:pPr>
            <w:r>
              <w:rPr>
                <w:rFonts w:ascii="Times New Roman" w:hAnsi="Times New Roman"/>
                <w:sz w:val="20"/>
              </w:rPr>
              <w:t>0.0454</w:t>
            </w:r>
          </w:p>
        </w:tc>
        <w:tc>
          <w:tcPr>
            <w:tcW w:w="2196" w:type="dxa"/>
            <w:shd w:val="clear" w:color="auto" w:fill="EEF3F9"/>
          </w:tcPr>
          <w:p w14:paraId="54FC423A" w14:textId="77777777" w:rsidR="00D062A4" w:rsidRDefault="00000000">
            <w:pPr>
              <w:jc w:val="center"/>
            </w:pPr>
            <w:r>
              <w:rPr>
                <w:rFonts w:ascii="Times New Roman" w:hAnsi="Times New Roman"/>
                <w:sz w:val="20"/>
              </w:rPr>
              <w:t>6-month rolling mean of unemployment rate</w:t>
            </w:r>
          </w:p>
        </w:tc>
      </w:tr>
      <w:tr w:rsidR="00D062A4" w14:paraId="3BCC7799" w14:textId="77777777">
        <w:tc>
          <w:tcPr>
            <w:tcW w:w="2196" w:type="dxa"/>
            <w:shd w:val="clear" w:color="auto" w:fill="FFFFFF"/>
          </w:tcPr>
          <w:p w14:paraId="5806BECD" w14:textId="77777777" w:rsidR="00D062A4" w:rsidRDefault="00000000">
            <w:pPr>
              <w:jc w:val="center"/>
            </w:pPr>
            <w:r>
              <w:rPr>
                <w:rFonts w:ascii="Times New Roman" w:hAnsi="Times New Roman"/>
                <w:sz w:val="20"/>
              </w:rPr>
              <w:t>2</w:t>
            </w:r>
          </w:p>
        </w:tc>
        <w:tc>
          <w:tcPr>
            <w:tcW w:w="2196" w:type="dxa"/>
            <w:shd w:val="clear" w:color="auto" w:fill="FFFFFF"/>
          </w:tcPr>
          <w:p w14:paraId="15D29937" w14:textId="77777777" w:rsidR="00D062A4" w:rsidRDefault="00000000">
            <w:pPr>
              <w:jc w:val="center"/>
            </w:pPr>
            <w:r>
              <w:rPr>
                <w:rFonts w:ascii="Times New Roman" w:hAnsi="Times New Roman"/>
                <w:sz w:val="20"/>
              </w:rPr>
              <w:t>TB3SMFFM_lag3</w:t>
            </w:r>
          </w:p>
        </w:tc>
        <w:tc>
          <w:tcPr>
            <w:tcW w:w="2196" w:type="dxa"/>
            <w:shd w:val="clear" w:color="auto" w:fill="FFFFFF"/>
          </w:tcPr>
          <w:p w14:paraId="4B4C852F" w14:textId="77777777" w:rsidR="00D062A4" w:rsidRDefault="00000000">
            <w:pPr>
              <w:jc w:val="center"/>
            </w:pPr>
            <w:r>
              <w:rPr>
                <w:rFonts w:ascii="Times New Roman" w:hAnsi="Times New Roman"/>
                <w:sz w:val="20"/>
              </w:rPr>
              <w:t>0.0450</w:t>
            </w:r>
          </w:p>
        </w:tc>
        <w:tc>
          <w:tcPr>
            <w:tcW w:w="2196" w:type="dxa"/>
            <w:shd w:val="clear" w:color="auto" w:fill="FFFFFF"/>
          </w:tcPr>
          <w:p w14:paraId="519E2A60" w14:textId="77777777" w:rsidR="00D062A4" w:rsidRDefault="00000000">
            <w:pPr>
              <w:jc w:val="center"/>
            </w:pPr>
            <w:r>
              <w:rPr>
                <w:rFonts w:ascii="Times New Roman" w:hAnsi="Times New Roman"/>
                <w:sz w:val="20"/>
              </w:rPr>
              <w:t>Yield spread lagged 3 months</w:t>
            </w:r>
          </w:p>
        </w:tc>
      </w:tr>
      <w:tr w:rsidR="00D062A4" w14:paraId="202DB42F" w14:textId="77777777">
        <w:tc>
          <w:tcPr>
            <w:tcW w:w="2196" w:type="dxa"/>
            <w:shd w:val="clear" w:color="auto" w:fill="EEF3F9"/>
          </w:tcPr>
          <w:p w14:paraId="2E14F071" w14:textId="77777777" w:rsidR="00D062A4" w:rsidRDefault="00000000">
            <w:pPr>
              <w:jc w:val="center"/>
            </w:pPr>
            <w:r>
              <w:rPr>
                <w:rFonts w:ascii="Times New Roman" w:hAnsi="Times New Roman"/>
                <w:sz w:val="20"/>
              </w:rPr>
              <w:t>3</w:t>
            </w:r>
          </w:p>
        </w:tc>
        <w:tc>
          <w:tcPr>
            <w:tcW w:w="2196" w:type="dxa"/>
            <w:shd w:val="clear" w:color="auto" w:fill="EEF3F9"/>
          </w:tcPr>
          <w:p w14:paraId="7458D9F1" w14:textId="77777777" w:rsidR="00D062A4" w:rsidRDefault="00000000">
            <w:pPr>
              <w:jc w:val="center"/>
            </w:pPr>
            <w:r>
              <w:rPr>
                <w:rFonts w:ascii="Times New Roman" w:hAnsi="Times New Roman"/>
                <w:sz w:val="20"/>
              </w:rPr>
              <w:t>TB6SMFFM</w:t>
            </w:r>
          </w:p>
        </w:tc>
        <w:tc>
          <w:tcPr>
            <w:tcW w:w="2196" w:type="dxa"/>
            <w:shd w:val="clear" w:color="auto" w:fill="EEF3F9"/>
          </w:tcPr>
          <w:p w14:paraId="0FADE9EA" w14:textId="77777777" w:rsidR="00D062A4" w:rsidRDefault="00000000">
            <w:pPr>
              <w:jc w:val="center"/>
            </w:pPr>
            <w:r>
              <w:rPr>
                <w:rFonts w:ascii="Times New Roman" w:hAnsi="Times New Roman"/>
                <w:sz w:val="20"/>
              </w:rPr>
              <w:t>0.0443</w:t>
            </w:r>
          </w:p>
        </w:tc>
        <w:tc>
          <w:tcPr>
            <w:tcW w:w="2196" w:type="dxa"/>
            <w:shd w:val="clear" w:color="auto" w:fill="EEF3F9"/>
          </w:tcPr>
          <w:p w14:paraId="1DF3771F" w14:textId="77777777" w:rsidR="00D062A4" w:rsidRDefault="00000000">
            <w:pPr>
              <w:jc w:val="center"/>
            </w:pPr>
            <w:r>
              <w:rPr>
                <w:rFonts w:ascii="Times New Roman" w:hAnsi="Times New Roman"/>
                <w:sz w:val="20"/>
              </w:rPr>
              <w:t>6-month T-bill vs Fed Funds spread</w:t>
            </w:r>
          </w:p>
        </w:tc>
      </w:tr>
      <w:tr w:rsidR="00D062A4" w14:paraId="7C79B176" w14:textId="77777777">
        <w:tc>
          <w:tcPr>
            <w:tcW w:w="2196" w:type="dxa"/>
            <w:shd w:val="clear" w:color="auto" w:fill="FFFFFF"/>
          </w:tcPr>
          <w:p w14:paraId="14663356" w14:textId="77777777" w:rsidR="00D062A4" w:rsidRDefault="00000000">
            <w:pPr>
              <w:jc w:val="center"/>
            </w:pPr>
            <w:r>
              <w:rPr>
                <w:rFonts w:ascii="Times New Roman" w:hAnsi="Times New Roman"/>
                <w:sz w:val="20"/>
              </w:rPr>
              <w:t>4</w:t>
            </w:r>
          </w:p>
        </w:tc>
        <w:tc>
          <w:tcPr>
            <w:tcW w:w="2196" w:type="dxa"/>
            <w:shd w:val="clear" w:color="auto" w:fill="FFFFFF"/>
          </w:tcPr>
          <w:p w14:paraId="2FCC2FED" w14:textId="77777777" w:rsidR="00D062A4" w:rsidRDefault="00000000">
            <w:pPr>
              <w:jc w:val="center"/>
            </w:pPr>
            <w:r>
              <w:rPr>
                <w:rFonts w:ascii="Times New Roman" w:hAnsi="Times New Roman"/>
                <w:sz w:val="20"/>
              </w:rPr>
              <w:t>USGOOD</w:t>
            </w:r>
          </w:p>
        </w:tc>
        <w:tc>
          <w:tcPr>
            <w:tcW w:w="2196" w:type="dxa"/>
            <w:shd w:val="clear" w:color="auto" w:fill="FFFFFF"/>
          </w:tcPr>
          <w:p w14:paraId="47576E17" w14:textId="77777777" w:rsidR="00D062A4" w:rsidRDefault="00000000">
            <w:pPr>
              <w:jc w:val="center"/>
            </w:pPr>
            <w:r>
              <w:rPr>
                <w:rFonts w:ascii="Times New Roman" w:hAnsi="Times New Roman"/>
                <w:sz w:val="20"/>
              </w:rPr>
              <w:t>0.0417</w:t>
            </w:r>
          </w:p>
        </w:tc>
        <w:tc>
          <w:tcPr>
            <w:tcW w:w="2196" w:type="dxa"/>
            <w:shd w:val="clear" w:color="auto" w:fill="FFFFFF"/>
          </w:tcPr>
          <w:p w14:paraId="00273DC7" w14:textId="77777777" w:rsidR="00D062A4" w:rsidRDefault="00000000">
            <w:pPr>
              <w:jc w:val="center"/>
            </w:pPr>
            <w:r>
              <w:rPr>
                <w:rFonts w:ascii="Times New Roman" w:hAnsi="Times New Roman"/>
                <w:sz w:val="20"/>
              </w:rPr>
              <w:t>Goods-producing sector employment</w:t>
            </w:r>
          </w:p>
        </w:tc>
      </w:tr>
      <w:tr w:rsidR="00D062A4" w14:paraId="6CDEFCF2" w14:textId="77777777">
        <w:tc>
          <w:tcPr>
            <w:tcW w:w="2196" w:type="dxa"/>
            <w:shd w:val="clear" w:color="auto" w:fill="EEF3F9"/>
          </w:tcPr>
          <w:p w14:paraId="639A0895" w14:textId="77777777" w:rsidR="00D062A4" w:rsidRDefault="00000000">
            <w:pPr>
              <w:jc w:val="center"/>
            </w:pPr>
            <w:r>
              <w:rPr>
                <w:rFonts w:ascii="Times New Roman" w:hAnsi="Times New Roman"/>
                <w:sz w:val="20"/>
              </w:rPr>
              <w:t>5</w:t>
            </w:r>
          </w:p>
        </w:tc>
        <w:tc>
          <w:tcPr>
            <w:tcW w:w="2196" w:type="dxa"/>
            <w:shd w:val="clear" w:color="auto" w:fill="EEF3F9"/>
          </w:tcPr>
          <w:p w14:paraId="27482900" w14:textId="77777777" w:rsidR="00D062A4" w:rsidRDefault="00000000">
            <w:pPr>
              <w:jc w:val="center"/>
            </w:pPr>
            <w:r>
              <w:rPr>
                <w:rFonts w:ascii="Times New Roman" w:hAnsi="Times New Roman"/>
                <w:sz w:val="20"/>
              </w:rPr>
              <w:t>UNRATE_rollmean12</w:t>
            </w:r>
          </w:p>
        </w:tc>
        <w:tc>
          <w:tcPr>
            <w:tcW w:w="2196" w:type="dxa"/>
            <w:shd w:val="clear" w:color="auto" w:fill="EEF3F9"/>
          </w:tcPr>
          <w:p w14:paraId="1659BBEB" w14:textId="77777777" w:rsidR="00D062A4" w:rsidRDefault="00000000">
            <w:pPr>
              <w:jc w:val="center"/>
            </w:pPr>
            <w:r>
              <w:rPr>
                <w:rFonts w:ascii="Times New Roman" w:hAnsi="Times New Roman"/>
                <w:sz w:val="20"/>
              </w:rPr>
              <w:t>0.0401</w:t>
            </w:r>
          </w:p>
        </w:tc>
        <w:tc>
          <w:tcPr>
            <w:tcW w:w="2196" w:type="dxa"/>
            <w:shd w:val="clear" w:color="auto" w:fill="EEF3F9"/>
          </w:tcPr>
          <w:p w14:paraId="0B8AF4D3" w14:textId="77777777" w:rsidR="00D062A4" w:rsidRDefault="00000000">
            <w:pPr>
              <w:jc w:val="center"/>
            </w:pPr>
            <w:r>
              <w:rPr>
                <w:rFonts w:ascii="Times New Roman" w:hAnsi="Times New Roman"/>
                <w:sz w:val="20"/>
              </w:rPr>
              <w:t>12-month rolling mean of unemployment</w:t>
            </w:r>
          </w:p>
        </w:tc>
      </w:tr>
      <w:tr w:rsidR="00D062A4" w14:paraId="4F9A263E" w14:textId="77777777">
        <w:tc>
          <w:tcPr>
            <w:tcW w:w="2196" w:type="dxa"/>
            <w:shd w:val="clear" w:color="auto" w:fill="FFFFFF"/>
          </w:tcPr>
          <w:p w14:paraId="419AB5E4" w14:textId="77777777" w:rsidR="00D062A4" w:rsidRDefault="00000000">
            <w:pPr>
              <w:jc w:val="center"/>
            </w:pPr>
            <w:r>
              <w:rPr>
                <w:rFonts w:ascii="Times New Roman" w:hAnsi="Times New Roman"/>
                <w:sz w:val="20"/>
              </w:rPr>
              <w:t>6</w:t>
            </w:r>
          </w:p>
        </w:tc>
        <w:tc>
          <w:tcPr>
            <w:tcW w:w="2196" w:type="dxa"/>
            <w:shd w:val="clear" w:color="auto" w:fill="FFFFFF"/>
          </w:tcPr>
          <w:p w14:paraId="6740CDE8" w14:textId="77777777" w:rsidR="00D062A4" w:rsidRDefault="00000000">
            <w:pPr>
              <w:jc w:val="center"/>
            </w:pPr>
            <w:r>
              <w:rPr>
                <w:rFonts w:ascii="Times New Roman" w:hAnsi="Times New Roman"/>
                <w:sz w:val="20"/>
              </w:rPr>
              <w:t>TB3SMFFM_lag6</w:t>
            </w:r>
          </w:p>
        </w:tc>
        <w:tc>
          <w:tcPr>
            <w:tcW w:w="2196" w:type="dxa"/>
            <w:shd w:val="clear" w:color="auto" w:fill="FFFFFF"/>
          </w:tcPr>
          <w:p w14:paraId="3C283491" w14:textId="77777777" w:rsidR="00D062A4" w:rsidRDefault="00000000">
            <w:pPr>
              <w:jc w:val="center"/>
            </w:pPr>
            <w:r>
              <w:rPr>
                <w:rFonts w:ascii="Times New Roman" w:hAnsi="Times New Roman"/>
                <w:sz w:val="20"/>
              </w:rPr>
              <w:t>0.0381</w:t>
            </w:r>
          </w:p>
        </w:tc>
        <w:tc>
          <w:tcPr>
            <w:tcW w:w="2196" w:type="dxa"/>
            <w:shd w:val="clear" w:color="auto" w:fill="FFFFFF"/>
          </w:tcPr>
          <w:p w14:paraId="6D757F1B" w14:textId="77777777" w:rsidR="00D062A4" w:rsidRDefault="00000000">
            <w:pPr>
              <w:jc w:val="center"/>
            </w:pPr>
            <w:r>
              <w:rPr>
                <w:rFonts w:ascii="Times New Roman" w:hAnsi="Times New Roman"/>
                <w:sz w:val="20"/>
              </w:rPr>
              <w:t>Yield spread lagged 6 months</w:t>
            </w:r>
          </w:p>
        </w:tc>
      </w:tr>
      <w:tr w:rsidR="00D062A4" w14:paraId="772EC977" w14:textId="77777777">
        <w:tc>
          <w:tcPr>
            <w:tcW w:w="2196" w:type="dxa"/>
            <w:shd w:val="clear" w:color="auto" w:fill="EEF3F9"/>
          </w:tcPr>
          <w:p w14:paraId="67BA070A" w14:textId="77777777" w:rsidR="00D062A4" w:rsidRDefault="00000000">
            <w:pPr>
              <w:jc w:val="center"/>
            </w:pPr>
            <w:r>
              <w:rPr>
                <w:rFonts w:ascii="Times New Roman" w:hAnsi="Times New Roman"/>
                <w:sz w:val="20"/>
              </w:rPr>
              <w:t>7</w:t>
            </w:r>
          </w:p>
        </w:tc>
        <w:tc>
          <w:tcPr>
            <w:tcW w:w="2196" w:type="dxa"/>
            <w:shd w:val="clear" w:color="auto" w:fill="EEF3F9"/>
          </w:tcPr>
          <w:p w14:paraId="66AD07C3" w14:textId="77777777" w:rsidR="00D062A4" w:rsidRDefault="00000000">
            <w:pPr>
              <w:jc w:val="center"/>
            </w:pPr>
            <w:r>
              <w:rPr>
                <w:rFonts w:ascii="Times New Roman" w:hAnsi="Times New Roman"/>
                <w:sz w:val="20"/>
              </w:rPr>
              <w:t>TB3SMFFM</w:t>
            </w:r>
          </w:p>
        </w:tc>
        <w:tc>
          <w:tcPr>
            <w:tcW w:w="2196" w:type="dxa"/>
            <w:shd w:val="clear" w:color="auto" w:fill="EEF3F9"/>
          </w:tcPr>
          <w:p w14:paraId="170FAAB8" w14:textId="77777777" w:rsidR="00D062A4" w:rsidRDefault="00000000">
            <w:pPr>
              <w:jc w:val="center"/>
            </w:pPr>
            <w:r>
              <w:rPr>
                <w:rFonts w:ascii="Times New Roman" w:hAnsi="Times New Roman"/>
                <w:sz w:val="20"/>
              </w:rPr>
              <w:t>0.0354</w:t>
            </w:r>
          </w:p>
        </w:tc>
        <w:tc>
          <w:tcPr>
            <w:tcW w:w="2196" w:type="dxa"/>
            <w:shd w:val="clear" w:color="auto" w:fill="EEF3F9"/>
          </w:tcPr>
          <w:p w14:paraId="4F151761" w14:textId="77777777" w:rsidR="00D062A4" w:rsidRDefault="00000000">
            <w:pPr>
              <w:jc w:val="center"/>
            </w:pPr>
            <w:r>
              <w:rPr>
                <w:rFonts w:ascii="Times New Roman" w:hAnsi="Times New Roman"/>
                <w:sz w:val="20"/>
              </w:rPr>
              <w:t>Current 3-month T-bill spread</w:t>
            </w:r>
          </w:p>
        </w:tc>
      </w:tr>
      <w:tr w:rsidR="00D062A4" w14:paraId="5020F7B4" w14:textId="77777777">
        <w:tc>
          <w:tcPr>
            <w:tcW w:w="2196" w:type="dxa"/>
            <w:shd w:val="clear" w:color="auto" w:fill="FFFFFF"/>
          </w:tcPr>
          <w:p w14:paraId="58F3C347" w14:textId="77777777" w:rsidR="00D062A4" w:rsidRDefault="00000000">
            <w:pPr>
              <w:jc w:val="center"/>
            </w:pPr>
            <w:r>
              <w:rPr>
                <w:rFonts w:ascii="Times New Roman" w:hAnsi="Times New Roman"/>
                <w:sz w:val="20"/>
              </w:rPr>
              <w:t>8</w:t>
            </w:r>
          </w:p>
        </w:tc>
        <w:tc>
          <w:tcPr>
            <w:tcW w:w="2196" w:type="dxa"/>
            <w:shd w:val="clear" w:color="auto" w:fill="FFFFFF"/>
          </w:tcPr>
          <w:p w14:paraId="1A976E1C" w14:textId="77777777" w:rsidR="00D062A4" w:rsidRDefault="00000000">
            <w:pPr>
              <w:jc w:val="center"/>
            </w:pPr>
            <w:r>
              <w:rPr>
                <w:rFonts w:ascii="Times New Roman" w:hAnsi="Times New Roman"/>
                <w:sz w:val="20"/>
              </w:rPr>
              <w:t>DMANEMP</w:t>
            </w:r>
          </w:p>
        </w:tc>
        <w:tc>
          <w:tcPr>
            <w:tcW w:w="2196" w:type="dxa"/>
            <w:shd w:val="clear" w:color="auto" w:fill="FFFFFF"/>
          </w:tcPr>
          <w:p w14:paraId="3E67F08E" w14:textId="77777777" w:rsidR="00D062A4" w:rsidRDefault="00000000">
            <w:pPr>
              <w:jc w:val="center"/>
            </w:pPr>
            <w:r>
              <w:rPr>
                <w:rFonts w:ascii="Times New Roman" w:hAnsi="Times New Roman"/>
                <w:sz w:val="20"/>
              </w:rPr>
              <w:t>0.0316</w:t>
            </w:r>
          </w:p>
        </w:tc>
        <w:tc>
          <w:tcPr>
            <w:tcW w:w="2196" w:type="dxa"/>
            <w:shd w:val="clear" w:color="auto" w:fill="FFFFFF"/>
          </w:tcPr>
          <w:p w14:paraId="34843CE5" w14:textId="77777777" w:rsidR="00D062A4" w:rsidRDefault="00000000">
            <w:pPr>
              <w:jc w:val="center"/>
            </w:pPr>
            <w:r>
              <w:rPr>
                <w:rFonts w:ascii="Times New Roman" w:hAnsi="Times New Roman"/>
                <w:sz w:val="20"/>
              </w:rPr>
              <w:t>Durable goods manufacturing employment</w:t>
            </w:r>
          </w:p>
        </w:tc>
      </w:tr>
      <w:tr w:rsidR="00D062A4" w14:paraId="3C55C171" w14:textId="77777777">
        <w:tc>
          <w:tcPr>
            <w:tcW w:w="2196" w:type="dxa"/>
            <w:shd w:val="clear" w:color="auto" w:fill="EEF3F9"/>
          </w:tcPr>
          <w:p w14:paraId="1BCB9E6B" w14:textId="77777777" w:rsidR="00D062A4" w:rsidRDefault="00000000">
            <w:pPr>
              <w:jc w:val="center"/>
            </w:pPr>
            <w:r>
              <w:rPr>
                <w:rFonts w:ascii="Times New Roman" w:hAnsi="Times New Roman"/>
                <w:sz w:val="20"/>
              </w:rPr>
              <w:t>9</w:t>
            </w:r>
          </w:p>
        </w:tc>
        <w:tc>
          <w:tcPr>
            <w:tcW w:w="2196" w:type="dxa"/>
            <w:shd w:val="clear" w:color="auto" w:fill="EEF3F9"/>
          </w:tcPr>
          <w:p w14:paraId="6D89232B" w14:textId="77777777" w:rsidR="00D062A4" w:rsidRDefault="00000000">
            <w:pPr>
              <w:jc w:val="center"/>
            </w:pPr>
            <w:r>
              <w:rPr>
                <w:rFonts w:ascii="Times New Roman" w:hAnsi="Times New Roman"/>
                <w:sz w:val="20"/>
              </w:rPr>
              <w:t>CUMFNS</w:t>
            </w:r>
          </w:p>
        </w:tc>
        <w:tc>
          <w:tcPr>
            <w:tcW w:w="2196" w:type="dxa"/>
            <w:shd w:val="clear" w:color="auto" w:fill="EEF3F9"/>
          </w:tcPr>
          <w:p w14:paraId="41172095" w14:textId="77777777" w:rsidR="00D062A4" w:rsidRDefault="00000000">
            <w:pPr>
              <w:jc w:val="center"/>
            </w:pPr>
            <w:r>
              <w:rPr>
                <w:rFonts w:ascii="Times New Roman" w:hAnsi="Times New Roman"/>
                <w:sz w:val="20"/>
              </w:rPr>
              <w:t>0.0300</w:t>
            </w:r>
          </w:p>
        </w:tc>
        <w:tc>
          <w:tcPr>
            <w:tcW w:w="2196" w:type="dxa"/>
            <w:shd w:val="clear" w:color="auto" w:fill="EEF3F9"/>
          </w:tcPr>
          <w:p w14:paraId="2F49C6A0" w14:textId="77777777" w:rsidR="00D062A4" w:rsidRDefault="00000000">
            <w:pPr>
              <w:jc w:val="center"/>
            </w:pPr>
            <w:r>
              <w:rPr>
                <w:rFonts w:ascii="Times New Roman" w:hAnsi="Times New Roman"/>
                <w:sz w:val="20"/>
              </w:rPr>
              <w:t>Capacity utilization — manufacturing</w:t>
            </w:r>
          </w:p>
        </w:tc>
      </w:tr>
      <w:tr w:rsidR="00D062A4" w14:paraId="45481654" w14:textId="77777777">
        <w:tc>
          <w:tcPr>
            <w:tcW w:w="2196" w:type="dxa"/>
            <w:shd w:val="clear" w:color="auto" w:fill="FFFFFF"/>
          </w:tcPr>
          <w:p w14:paraId="40EAD34F" w14:textId="77777777" w:rsidR="00D062A4" w:rsidRDefault="00000000">
            <w:pPr>
              <w:jc w:val="center"/>
            </w:pPr>
            <w:r>
              <w:rPr>
                <w:rFonts w:ascii="Times New Roman" w:hAnsi="Times New Roman"/>
                <w:sz w:val="20"/>
              </w:rPr>
              <w:t>10</w:t>
            </w:r>
          </w:p>
        </w:tc>
        <w:tc>
          <w:tcPr>
            <w:tcW w:w="2196" w:type="dxa"/>
            <w:shd w:val="clear" w:color="auto" w:fill="FFFFFF"/>
          </w:tcPr>
          <w:p w14:paraId="0BB94D94" w14:textId="77777777" w:rsidR="00D062A4" w:rsidRDefault="00000000">
            <w:pPr>
              <w:jc w:val="center"/>
            </w:pPr>
            <w:r>
              <w:rPr>
                <w:rFonts w:ascii="Times New Roman" w:hAnsi="Times New Roman"/>
                <w:sz w:val="20"/>
              </w:rPr>
              <w:t>PAYEMS</w:t>
            </w:r>
          </w:p>
        </w:tc>
        <w:tc>
          <w:tcPr>
            <w:tcW w:w="2196" w:type="dxa"/>
            <w:shd w:val="clear" w:color="auto" w:fill="FFFFFF"/>
          </w:tcPr>
          <w:p w14:paraId="5EE1CC01" w14:textId="77777777" w:rsidR="00D062A4" w:rsidRDefault="00000000">
            <w:pPr>
              <w:jc w:val="center"/>
            </w:pPr>
            <w:r>
              <w:rPr>
                <w:rFonts w:ascii="Times New Roman" w:hAnsi="Times New Roman"/>
                <w:sz w:val="20"/>
              </w:rPr>
              <w:t>0.0296</w:t>
            </w:r>
          </w:p>
        </w:tc>
        <w:tc>
          <w:tcPr>
            <w:tcW w:w="2196" w:type="dxa"/>
            <w:shd w:val="clear" w:color="auto" w:fill="FFFFFF"/>
          </w:tcPr>
          <w:p w14:paraId="175C26C5" w14:textId="77777777" w:rsidR="00D062A4" w:rsidRDefault="00000000">
            <w:pPr>
              <w:jc w:val="center"/>
            </w:pPr>
            <w:r>
              <w:rPr>
                <w:rFonts w:ascii="Times New Roman" w:hAnsi="Times New Roman"/>
                <w:sz w:val="20"/>
              </w:rPr>
              <w:t>Total non-farm payroll employment</w:t>
            </w:r>
          </w:p>
        </w:tc>
      </w:tr>
    </w:tbl>
    <w:p w14:paraId="798D6848" w14:textId="77777777" w:rsidR="00D062A4" w:rsidRDefault="00000000">
      <w:pPr>
        <w:spacing w:before="40" w:line="360" w:lineRule="auto"/>
      </w:pPr>
      <w:r>
        <w:rPr>
          <w:rFonts w:ascii="Times New Roman" w:hAnsi="Times New Roman"/>
          <w:i/>
          <w:sz w:val="20"/>
        </w:rPr>
        <w:t>Table 3: Top 10 Feature Importance Scores with Economic Interpretation</w:t>
      </w:r>
    </w:p>
    <w:p w14:paraId="40E69535" w14:textId="77777777" w:rsidR="00D062A4" w:rsidRDefault="00000000">
      <w:pPr>
        <w:pStyle w:val="Heading2"/>
        <w:spacing w:after="40"/>
      </w:pPr>
      <w:r>
        <w:rPr>
          <w:rFonts w:ascii="Times New Roman" w:hAnsi="Times New Roman"/>
          <w:color w:val="1F497D"/>
          <w:sz w:val="24"/>
        </w:rPr>
        <w:t>4.7 Predicted Recession Probability</w:t>
      </w:r>
    </w:p>
    <w:p w14:paraId="68F6E041" w14:textId="77777777" w:rsidR="00D062A4" w:rsidRDefault="00000000">
      <w:pPr>
        <w:spacing w:after="120" w:line="360" w:lineRule="auto"/>
        <w:jc w:val="both"/>
      </w:pPr>
      <w:r>
        <w:rPr>
          <w:rFonts w:ascii="Times New Roman" w:hAnsi="Times New Roman"/>
        </w:rPr>
        <w:t xml:space="preserve">Figure 9 shows the Logistic Regression model's predicted recession probability over the test period alongside actual NBER recession dates. The model correctly elevates recession </w:t>
      </w:r>
      <w:r>
        <w:rPr>
          <w:rFonts w:ascii="Times New Roman" w:hAnsi="Times New Roman"/>
        </w:rPr>
        <w:lastRenderedPageBreak/>
        <w:t>probability during the 2007–2009 Great Recession and the 2020 COVID recession. The orange dashed line marks the optimal threshold of 0.23.</w:t>
      </w:r>
    </w:p>
    <w:p w14:paraId="6205FAD3" w14:textId="77777777" w:rsidR="00D062A4" w:rsidRDefault="00000000">
      <w:pPr>
        <w:jc w:val="center"/>
      </w:pPr>
      <w:r>
        <w:rPr>
          <w:noProof/>
        </w:rPr>
        <w:drawing>
          <wp:inline distT="0" distB="0" distL="0" distR="0" wp14:anchorId="0A0EF0E9" wp14:editId="7A3CD60F">
            <wp:extent cx="5303520" cy="3286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ed_probability.png"/>
                    <pic:cNvPicPr/>
                  </pic:nvPicPr>
                  <pic:blipFill>
                    <a:blip r:embed="rId15"/>
                    <a:stretch>
                      <a:fillRect/>
                    </a:stretch>
                  </pic:blipFill>
                  <pic:spPr>
                    <a:xfrm>
                      <a:off x="0" y="0"/>
                      <a:ext cx="5303520" cy="3286845"/>
                    </a:xfrm>
                    <a:prstGeom prst="rect">
                      <a:avLst/>
                    </a:prstGeom>
                  </pic:spPr>
                </pic:pic>
              </a:graphicData>
            </a:graphic>
          </wp:inline>
        </w:drawing>
      </w:r>
    </w:p>
    <w:p w14:paraId="1A7448FF" w14:textId="77777777" w:rsidR="00D062A4" w:rsidRDefault="00000000">
      <w:pPr>
        <w:spacing w:before="40"/>
        <w:jc w:val="center"/>
      </w:pPr>
      <w:r>
        <w:rPr>
          <w:rFonts w:ascii="Times New Roman" w:hAnsi="Times New Roman"/>
          <w:i/>
          <w:color w:val="505050"/>
          <w:sz w:val="20"/>
        </w:rPr>
        <w:t>Figure 9: Predicted Recession Probability vs. Actual NBER Recession (Test Period, 2003–2024)</w:t>
      </w:r>
    </w:p>
    <w:p w14:paraId="7A211807" w14:textId="77777777" w:rsidR="00D062A4" w:rsidRDefault="00000000">
      <w:pPr>
        <w:pStyle w:val="Heading2"/>
        <w:spacing w:after="40"/>
      </w:pPr>
      <w:r>
        <w:rPr>
          <w:rFonts w:ascii="Times New Roman" w:hAnsi="Times New Roman"/>
          <w:color w:val="1F497D"/>
          <w:sz w:val="24"/>
        </w:rPr>
        <w:t>4.8 Key Findings and Limitations</w:t>
      </w:r>
    </w:p>
    <w:p w14:paraId="62A3C9FD" w14:textId="77777777" w:rsidR="00D062A4" w:rsidRDefault="00000000">
      <w:pPr>
        <w:spacing w:after="120" w:line="360" w:lineRule="auto"/>
        <w:jc w:val="both"/>
      </w:pPr>
      <w:r>
        <w:rPr>
          <w:rFonts w:ascii="Times New Roman" w:hAnsi="Times New Roman"/>
        </w:rPr>
        <w:t>Three findings stand out. First, Logistic Regression outperforms all three more complex classifiers, confirming Papadopoulos et al. (2020). With only 9 recession episodes in 65 years of training data, there is insufficient positive-class variation to reliably fit complex tree-based models. Second, the most important features — rolling unemployment averages and lagged yield spreads — are exactly what macroeconomic theory predicts as leading recession indicators. This consistency between ML-derived importance and economic theory validates the pipeline. Third, threshold optimization was not optional: without it, three of four models predicted zero recessions in the test period.</w:t>
      </w:r>
    </w:p>
    <w:p w14:paraId="4088DC15" w14:textId="77777777" w:rsidR="00D062A4" w:rsidRDefault="00000000">
      <w:pPr>
        <w:spacing w:after="120" w:line="360" w:lineRule="auto"/>
        <w:jc w:val="both"/>
      </w:pPr>
      <w:r>
        <w:rPr>
          <w:rFonts w:ascii="Times New Roman" w:hAnsi="Times New Roman"/>
        </w:rPr>
        <w:t>Key limitations include: (1) the test set contains only 2 recession months (Great Recession and COVID recession), making precision and recall estimates highly sensitive to individual predictions; (2) revised rather than real-time vintage data was used, likely overstating achievable real-time accuracy; (3) SHAP-based interpretability was not implemented due to package constraints; (4) only a single forecast horizon (3 months) was evaluated.</w:t>
      </w:r>
    </w:p>
    <w:p w14:paraId="5D6FDE0E" w14:textId="77777777" w:rsidR="00D062A4" w:rsidRDefault="00000000">
      <w:r>
        <w:lastRenderedPageBreak/>
        <w:br w:type="page"/>
      </w:r>
    </w:p>
    <w:p w14:paraId="27A6A36B" w14:textId="77777777" w:rsidR="00D062A4" w:rsidRDefault="00000000">
      <w:pPr>
        <w:pStyle w:val="Heading1"/>
        <w:spacing w:before="280"/>
      </w:pPr>
      <w:r>
        <w:rPr>
          <w:rFonts w:ascii="Times New Roman" w:hAnsi="Times New Roman"/>
          <w:color w:val="115599"/>
        </w:rPr>
        <w:lastRenderedPageBreak/>
        <w:t>5. Conclusion</w:t>
      </w:r>
    </w:p>
    <w:p w14:paraId="3ED7FBAA" w14:textId="77777777" w:rsidR="00D062A4" w:rsidRDefault="00000000">
      <w:pPr>
        <w:spacing w:after="120" w:line="360" w:lineRule="auto"/>
        <w:jc w:val="both"/>
      </w:pPr>
      <w:r>
        <w:rPr>
          <w:rFonts w:ascii="Times New Roman" w:hAnsi="Times New Roman"/>
        </w:rPr>
        <w:t>This study built a complete end-to-end machine learning pipeline for 3-month-ahead U.S. economic recession prediction using Python. Starting from the FRED-MD macroeconomic database — 143 monthly series spanning 65 years — the pipeline applied systematic stationarity transformations per McCracken and Ng (2016), outlier removal, and the engineering of 27 additional lag and rolling-window features, producing a 170-feature input matrix. Four machine learning models were trained with class-weighted optimization and threshold tuning to address severe class imbalance (approximately 12% recession months).</w:t>
      </w:r>
    </w:p>
    <w:p w14:paraId="7EDE80A5" w14:textId="77777777" w:rsidR="00D062A4" w:rsidRDefault="00000000">
      <w:pPr>
        <w:spacing w:after="120" w:line="360" w:lineRule="auto"/>
        <w:jc w:val="both"/>
      </w:pPr>
      <w:r>
        <w:rPr>
          <w:rFonts w:ascii="Times New Roman" w:hAnsi="Times New Roman"/>
        </w:rPr>
        <w:t>The best-performing model was Logistic Regression with AUC-ROC = 0.9739 and perfect recall (1.0) at an optimal threshold of 0.23. This result confirms the finding of Papadopoulos et al. (2020) that penalized linear classifiers outperform complex ensembles when recession episodes are rare. Feature importance analysis identified rolling unemployment rate means and lagged yield spread indicators as the most predictive variables — findings fully consistent with established macroeconomic theory.</w:t>
      </w:r>
    </w:p>
    <w:p w14:paraId="38FA3C9E" w14:textId="77777777" w:rsidR="00D062A4" w:rsidRDefault="00000000">
      <w:pPr>
        <w:spacing w:after="120" w:line="360" w:lineRule="auto"/>
        <w:jc w:val="both"/>
      </w:pPr>
      <w:r>
        <w:rPr>
          <w:rFonts w:ascii="Times New Roman" w:hAnsi="Times New Roman"/>
        </w:rPr>
        <w:t>Key insights include: (1) class imbalance must be actively managed — naive accuracy is misleading; (2) the FRED-MD feature set contains rich predictive information about near-term recession risk; (3) feature engineering (lag and rolling features) provides significant additional predictive value beyond raw economic indicators.</w:t>
      </w:r>
    </w:p>
    <w:p w14:paraId="72F44AD8" w14:textId="77777777" w:rsidR="00D062A4" w:rsidRDefault="00000000">
      <w:pPr>
        <w:spacing w:after="120" w:line="360" w:lineRule="auto"/>
        <w:jc w:val="both"/>
      </w:pPr>
      <w:r>
        <w:rPr>
          <w:rFonts w:ascii="Times New Roman" w:hAnsi="Times New Roman"/>
        </w:rPr>
        <w:t>Future work should evaluate models on ALFRED real-time vintage data to assess genuine real-time performance, implement SHAP-based interpretability, evaluate across multiple forecast horizons (1, 6, 12 months), and explore LSTM networks for path-dependent recession dynamics.</w:t>
      </w:r>
    </w:p>
    <w:p w14:paraId="20E82B52" w14:textId="77777777" w:rsidR="00D062A4" w:rsidRDefault="00000000">
      <w:r>
        <w:br w:type="page"/>
      </w:r>
    </w:p>
    <w:p w14:paraId="05D29D2B" w14:textId="77777777" w:rsidR="00D062A4" w:rsidRDefault="00000000">
      <w:pPr>
        <w:pStyle w:val="Heading1"/>
        <w:spacing w:before="280"/>
      </w:pPr>
      <w:r>
        <w:rPr>
          <w:rFonts w:ascii="Times New Roman" w:hAnsi="Times New Roman"/>
          <w:color w:val="115599"/>
        </w:rPr>
        <w:lastRenderedPageBreak/>
        <w:t>References</w:t>
      </w:r>
    </w:p>
    <w:p w14:paraId="7BE42CD2" w14:textId="77777777" w:rsidR="00D062A4" w:rsidRDefault="00000000">
      <w:pPr>
        <w:spacing w:after="100" w:line="240" w:lineRule="auto"/>
        <w:ind w:left="720" w:hanging="720"/>
      </w:pPr>
      <w:r>
        <w:rPr>
          <w:rFonts w:ascii="Times New Roman" w:hAnsi="Times New Roman"/>
        </w:rPr>
        <w:t>Coulombe, P. G., Leroux, M., Stevanovic, D., &amp; Surprenant, S. (2020). How is machine learning useful for macroeconomic forecasting? Journal of Applied Econometrics, 37(5), 920–964.</w:t>
      </w:r>
    </w:p>
    <w:p w14:paraId="7B9868F3" w14:textId="77777777" w:rsidR="00D062A4" w:rsidRDefault="00000000">
      <w:pPr>
        <w:spacing w:after="100" w:line="240" w:lineRule="auto"/>
        <w:ind w:left="720" w:hanging="720"/>
      </w:pPr>
      <w:r>
        <w:rPr>
          <w:rFonts w:ascii="Times New Roman" w:hAnsi="Times New Roman"/>
        </w:rPr>
        <w:t>Davig, T., &amp; Hall, A. S. (2019). Recession forecasting using Bayesian classification. International Journal of Forecasting, 35(3), 848–867.</w:t>
      </w:r>
    </w:p>
    <w:p w14:paraId="20FF2B70" w14:textId="77777777" w:rsidR="00D062A4" w:rsidRDefault="00000000">
      <w:pPr>
        <w:spacing w:after="100" w:line="240" w:lineRule="auto"/>
        <w:ind w:left="720" w:hanging="720"/>
      </w:pPr>
      <w:r>
        <w:rPr>
          <w:rFonts w:ascii="Times New Roman" w:hAnsi="Times New Roman"/>
        </w:rPr>
        <w:t>Estrella, A., &amp; Mishkin, F. S. (1998). Predicting U.S. recessions: Financial variables as leading indicators. Review of Economics and Statistics, 80(1), 45–61.</w:t>
      </w:r>
    </w:p>
    <w:p w14:paraId="78323695" w14:textId="77777777" w:rsidR="00D062A4" w:rsidRDefault="00000000">
      <w:pPr>
        <w:spacing w:after="100" w:line="240" w:lineRule="auto"/>
        <w:ind w:left="720" w:hanging="720"/>
      </w:pPr>
      <w:r>
        <w:rPr>
          <w:rFonts w:ascii="Times New Roman" w:hAnsi="Times New Roman"/>
        </w:rPr>
        <w:t>Federal Reserve Bank of St. Louis. (2024). NBER based Recession Indicators for the United States [USREC]. FRED Economic Data. https://fred.stlouisfed.org/series/USREC</w:t>
      </w:r>
    </w:p>
    <w:p w14:paraId="3964FC99" w14:textId="77777777" w:rsidR="00D062A4" w:rsidRDefault="00000000">
      <w:pPr>
        <w:spacing w:after="100" w:line="240" w:lineRule="auto"/>
        <w:ind w:left="720" w:hanging="720"/>
      </w:pPr>
      <w:r>
        <w:rPr>
          <w:rFonts w:ascii="Times New Roman" w:hAnsi="Times New Roman"/>
        </w:rPr>
        <w:t>Giusto, A., &amp; Piger, J. (2017). Identifying business cycle turning points in real time with vector quantization. International Journal of Forecasting, 33(1), 174–184.</w:t>
      </w:r>
    </w:p>
    <w:p w14:paraId="723B46D5" w14:textId="77777777" w:rsidR="00D062A4" w:rsidRDefault="00000000">
      <w:pPr>
        <w:spacing w:after="100" w:line="240" w:lineRule="auto"/>
        <w:ind w:left="720" w:hanging="720"/>
      </w:pPr>
      <w:r>
        <w:rPr>
          <w:rFonts w:ascii="Times New Roman" w:hAnsi="Times New Roman"/>
        </w:rPr>
        <w:t>Hamilton, J. D. (2011). Calling recessions in real time. International Journal of Forecasting, 27(4), 1006–1026.</w:t>
      </w:r>
    </w:p>
    <w:p w14:paraId="67193DA2" w14:textId="77777777" w:rsidR="00D062A4" w:rsidRDefault="00000000">
      <w:pPr>
        <w:spacing w:after="100" w:line="240" w:lineRule="auto"/>
        <w:ind w:left="720" w:hanging="720"/>
      </w:pPr>
      <w:r>
        <w:rPr>
          <w:rFonts w:ascii="Times New Roman" w:hAnsi="Times New Roman"/>
        </w:rPr>
        <w:t>Kauppi, H., &amp; Saikkonen, P. (2008). Predicting U.S. recessions with dynamic binary response models. Review of Economics and Statistics, 90(4), 777–791.</w:t>
      </w:r>
    </w:p>
    <w:p w14:paraId="4E5E4B30" w14:textId="77777777" w:rsidR="00D062A4" w:rsidRDefault="00000000">
      <w:pPr>
        <w:spacing w:after="100" w:line="240" w:lineRule="auto"/>
        <w:ind w:left="720" w:hanging="720"/>
      </w:pPr>
      <w:r>
        <w:rPr>
          <w:rFonts w:ascii="Times New Roman" w:hAnsi="Times New Roman"/>
        </w:rPr>
        <w:t>McCracken, M. W., &amp; Ng, S. (2016). FRED-MD: A monthly database for macroeconomic research. Journal of Business &amp; Economic Statistics, 34(4), 574–589.</w:t>
      </w:r>
    </w:p>
    <w:p w14:paraId="12775A64" w14:textId="77777777" w:rsidR="00D062A4" w:rsidRDefault="00000000">
      <w:pPr>
        <w:spacing w:after="100" w:line="240" w:lineRule="auto"/>
        <w:ind w:left="720" w:hanging="720"/>
      </w:pPr>
      <w:r>
        <w:rPr>
          <w:rFonts w:ascii="Times New Roman" w:hAnsi="Times New Roman"/>
        </w:rPr>
        <w:t>National Bureau of Economic Research. (2024). US Business Cycle Expansions and Contractions. https://www.nber.org/research/business-cycle-dating</w:t>
      </w:r>
    </w:p>
    <w:p w14:paraId="07D35BAA" w14:textId="77777777" w:rsidR="00D062A4" w:rsidRDefault="00000000">
      <w:pPr>
        <w:spacing w:after="100" w:line="240" w:lineRule="auto"/>
        <w:ind w:left="720" w:hanging="720"/>
      </w:pPr>
      <w:r>
        <w:rPr>
          <w:rFonts w:ascii="Times New Roman" w:hAnsi="Times New Roman"/>
        </w:rPr>
        <w:t>Ng, S. (2014). Boosting recessions. Canadian Journal of Economics, 47(1), 1–34.</w:t>
      </w:r>
    </w:p>
    <w:p w14:paraId="5270381D" w14:textId="77777777" w:rsidR="00D062A4" w:rsidRDefault="00000000">
      <w:pPr>
        <w:spacing w:after="100" w:line="240" w:lineRule="auto"/>
        <w:ind w:left="720" w:hanging="720"/>
      </w:pPr>
      <w:r>
        <w:rPr>
          <w:rFonts w:ascii="Times New Roman" w:hAnsi="Times New Roman"/>
        </w:rPr>
        <w:t>Papadopoulos, G., Papageorgiou, S., &amp; Tsamis, A. (2020). Modeling and predicting U.S. recessions using machine learning techniques. International Journal of Forecasting, 36(4), 1696–1712.</w:t>
      </w:r>
    </w:p>
    <w:p w14:paraId="36258295" w14:textId="77777777" w:rsidR="00D062A4" w:rsidRDefault="00000000">
      <w:pPr>
        <w:spacing w:after="100" w:line="240" w:lineRule="auto"/>
        <w:ind w:left="720" w:hanging="720"/>
      </w:pPr>
      <w:r>
        <w:rPr>
          <w:rFonts w:ascii="Times New Roman" w:hAnsi="Times New Roman"/>
        </w:rPr>
        <w:t>Stock, J. H., &amp; Watson, M. W. (2003). Forecasting output and inflation: The role of asset prices. Journal of Economic Literature, 41(3), 788–829.</w:t>
      </w:r>
    </w:p>
    <w:p w14:paraId="580F63FF" w14:textId="77777777" w:rsidR="00D062A4" w:rsidRDefault="00000000">
      <w:pPr>
        <w:spacing w:after="100" w:line="240" w:lineRule="auto"/>
        <w:ind w:left="720" w:hanging="720"/>
      </w:pPr>
      <w:r>
        <w:rPr>
          <w:rFonts w:ascii="Times New Roman" w:hAnsi="Times New Roman"/>
        </w:rPr>
        <w:t>Stock, J. H., &amp; Watson, M. W. (2020). Slack and cyclically sensitive inflation. Journal of Money, Credit and Banking, 52(S2), 393–428.</w:t>
      </w:r>
    </w:p>
    <w:p w14:paraId="617C0D9E" w14:textId="77777777" w:rsidR="00D062A4" w:rsidRDefault="00000000">
      <w:r>
        <w:br w:type="page"/>
      </w:r>
    </w:p>
    <w:p w14:paraId="62BAB17B" w14:textId="77777777" w:rsidR="00E80FE1" w:rsidRDefault="00E80FE1" w:rsidP="00E80FE1">
      <w:pPr>
        <w:pStyle w:val="Heading2"/>
        <w:spacing w:after="40"/>
        <w:rPr>
          <w:rFonts w:ascii="Times New Roman" w:hAnsi="Times New Roman"/>
          <w:color w:val="115599"/>
        </w:rPr>
      </w:pPr>
      <w:r w:rsidRPr="00E80FE1">
        <w:rPr>
          <w:rFonts w:ascii="Times New Roman" w:hAnsi="Times New Roman"/>
          <w:color w:val="115599"/>
        </w:rPr>
        <w:lastRenderedPageBreak/>
        <w:t>Project Viva Questions and Answers</w:t>
      </w:r>
    </w:p>
    <w:p w14:paraId="0F430C77" w14:textId="78F86495" w:rsidR="00E80FE1" w:rsidRDefault="00E80FE1" w:rsidP="00E80FE1">
      <w:pPr>
        <w:pStyle w:val="Heading2"/>
        <w:spacing w:after="40"/>
        <w:rPr>
          <w:rFonts w:ascii="Times New Roman" w:hAnsi="Times New Roman"/>
        </w:rPr>
      </w:pPr>
      <w:r>
        <w:rPr>
          <w:rFonts w:ascii="Times New Roman" w:hAnsi="Times New Roman"/>
          <w:color w:val="115599"/>
        </w:rPr>
        <w:br/>
      </w:r>
      <w:r w:rsidRPr="00E80FE1">
        <w:rPr>
          <w:rFonts w:ascii="Times New Roman" w:hAnsi="Times New Roman"/>
          <w:color w:val="1F497D"/>
          <w:sz w:val="24"/>
        </w:rPr>
        <w:t>Why did the dataset change from (789, 144) to (774, 170)?</w:t>
      </w:r>
    </w:p>
    <w:p w14:paraId="5CF2AD70" w14:textId="77777777" w:rsidR="00E80FE1" w:rsidRPr="00E80FE1" w:rsidRDefault="00E80FE1" w:rsidP="00E80FE1">
      <w:pPr>
        <w:rPr>
          <w:rFonts w:ascii="Times New Roman" w:hAnsi="Times New Roman"/>
          <w:lang w:val="en-IN"/>
        </w:rPr>
      </w:pPr>
      <w:r w:rsidRPr="00E80FE1">
        <w:rPr>
          <w:rFonts w:ascii="Times New Roman" w:hAnsi="Times New Roman"/>
          <w:lang w:val="en-IN"/>
        </w:rPr>
        <w:t xml:space="preserve">The number of </w:t>
      </w:r>
      <w:r w:rsidRPr="00E80FE1">
        <w:rPr>
          <w:rFonts w:ascii="Times New Roman" w:hAnsi="Times New Roman"/>
          <w:b/>
          <w:bCs/>
          <w:lang w:val="en-IN"/>
        </w:rPr>
        <w:t>features increased (144 → 170)</w:t>
      </w:r>
      <w:r w:rsidRPr="00E80FE1">
        <w:rPr>
          <w:rFonts w:ascii="Times New Roman" w:hAnsi="Times New Roman"/>
          <w:lang w:val="en-IN"/>
        </w:rPr>
        <w:t xml:space="preserve"> because I added </w:t>
      </w:r>
      <w:r w:rsidRPr="00E80FE1">
        <w:rPr>
          <w:rFonts w:ascii="Times New Roman" w:hAnsi="Times New Roman"/>
          <w:b/>
          <w:bCs/>
          <w:lang w:val="en-IN"/>
        </w:rPr>
        <w:t>27 engineered features</w:t>
      </w:r>
      <w:r w:rsidRPr="00E80FE1">
        <w:rPr>
          <w:rFonts w:ascii="Times New Roman" w:hAnsi="Times New Roman"/>
          <w:lang w:val="en-IN"/>
        </w:rPr>
        <w:t xml:space="preserve"> such as lag variables, rolling means, and a yield curve flag. The number of </w:t>
      </w:r>
      <w:r w:rsidRPr="00E80FE1">
        <w:rPr>
          <w:rFonts w:ascii="Times New Roman" w:hAnsi="Times New Roman"/>
          <w:b/>
          <w:bCs/>
          <w:lang w:val="en-IN"/>
        </w:rPr>
        <w:t>rows decreased (789 → 774)</w:t>
      </w:r>
      <w:r w:rsidRPr="00E80FE1">
        <w:rPr>
          <w:rFonts w:ascii="Times New Roman" w:hAnsi="Times New Roman"/>
          <w:lang w:val="en-IN"/>
        </w:rPr>
        <w:t xml:space="preserve"> because creating lag and rolling features introduces missing values at the beginning, and those rows were dropped to keep only valid data.</w:t>
      </w:r>
    </w:p>
    <w:p w14:paraId="52FB85CA" w14:textId="77777777" w:rsidR="00E80FE1" w:rsidRPr="00E80FE1" w:rsidRDefault="00E80FE1" w:rsidP="00E80FE1"/>
    <w:p w14:paraId="5B0409FD" w14:textId="77777777" w:rsidR="00E80FE1" w:rsidRDefault="00E80FE1" w:rsidP="00E80FE1">
      <w:pPr>
        <w:rPr>
          <w:rFonts w:ascii="Times New Roman" w:eastAsiaTheme="majorEastAsia" w:hAnsi="Times New Roman" w:cstheme="majorBidi"/>
          <w:color w:val="1F497D"/>
          <w:szCs w:val="32"/>
        </w:rPr>
      </w:pPr>
      <w:r w:rsidRPr="00E80FE1">
        <w:rPr>
          <w:rFonts w:ascii="Times New Roman" w:eastAsiaTheme="majorEastAsia" w:hAnsi="Times New Roman" w:cstheme="majorBidi"/>
          <w:color w:val="1F497D"/>
          <w:szCs w:val="32"/>
        </w:rPr>
        <w:t>Why did Gradient Boosting give zero performance? Shouldn’t it perform better for higher accuracy?</w:t>
      </w:r>
    </w:p>
    <w:p w14:paraId="208EDDF8" w14:textId="77777777" w:rsidR="00E80FE1" w:rsidRDefault="00E80FE1">
      <w:pPr>
        <w:pStyle w:val="Heading1"/>
        <w:spacing w:before="280"/>
        <w:rPr>
          <w:rFonts w:ascii="Times New Roman" w:eastAsiaTheme="minorEastAsia" w:hAnsi="Times New Roman" w:cstheme="minorBidi"/>
          <w:color w:val="auto"/>
          <w:sz w:val="24"/>
          <w:szCs w:val="24"/>
        </w:rPr>
      </w:pPr>
      <w:r w:rsidRPr="00E80FE1">
        <w:rPr>
          <w:rFonts w:ascii="Times New Roman" w:eastAsiaTheme="minorEastAsia" w:hAnsi="Times New Roman" w:cstheme="minorBidi"/>
          <w:color w:val="auto"/>
          <w:sz w:val="24"/>
          <w:szCs w:val="24"/>
        </w:rPr>
        <w:t xml:space="preserve">Gradient Boosting shows zero because at the default threshold of 0.5 it predicted all months as expansion due to extreme class imbalance (~1.3% recessions in the test set). As a result, it detected no recession cases, leading to zero recall and F1-score. This doesn’t mean the model is </w:t>
      </w:r>
      <w:proofErr w:type="gramStart"/>
      <w:r w:rsidRPr="00E80FE1">
        <w:rPr>
          <w:rFonts w:ascii="Times New Roman" w:eastAsiaTheme="minorEastAsia" w:hAnsi="Times New Roman" w:cstheme="minorBidi"/>
          <w:color w:val="auto"/>
          <w:sz w:val="24"/>
          <w:szCs w:val="24"/>
        </w:rPr>
        <w:t>bad—</w:t>
      </w:r>
      <w:proofErr w:type="gramEnd"/>
      <w:r w:rsidRPr="00E80FE1">
        <w:rPr>
          <w:rFonts w:ascii="Times New Roman" w:eastAsiaTheme="minorEastAsia" w:hAnsi="Times New Roman" w:cstheme="minorBidi"/>
          <w:color w:val="auto"/>
          <w:sz w:val="24"/>
          <w:szCs w:val="24"/>
        </w:rPr>
        <w:t>it mainly failed due to poor probability calibration and no threshold optimization. With proper threshold tuning, its performance would improve.</w:t>
      </w:r>
    </w:p>
    <w:p w14:paraId="1AE85B81" w14:textId="77777777" w:rsidR="00E80FE1" w:rsidRDefault="00E80FE1" w:rsidP="00E80FE1"/>
    <w:p w14:paraId="4C200183" w14:textId="77777777" w:rsidR="00E80FE1" w:rsidRPr="00E80FE1" w:rsidRDefault="00E80FE1" w:rsidP="00E80FE1"/>
    <w:p w14:paraId="4095E543" w14:textId="77777777" w:rsidR="00E80FE1" w:rsidRDefault="00E80FE1" w:rsidP="00E80FE1">
      <w:pPr>
        <w:rPr>
          <w:rFonts w:ascii="Times New Roman" w:eastAsiaTheme="majorEastAsia" w:hAnsi="Times New Roman" w:cstheme="majorBidi"/>
          <w:color w:val="1F497D"/>
          <w:szCs w:val="32"/>
        </w:rPr>
      </w:pPr>
      <w:r w:rsidRPr="00E80FE1">
        <w:rPr>
          <w:rFonts w:ascii="Times New Roman" w:eastAsiaTheme="majorEastAsia" w:hAnsi="Times New Roman" w:cstheme="majorBidi"/>
          <w:color w:val="1F497D"/>
          <w:szCs w:val="32"/>
        </w:rPr>
        <w:t>Where and why were the 27 new features added, and what are they?</w:t>
      </w:r>
    </w:p>
    <w:p w14:paraId="4D73C90D" w14:textId="77777777" w:rsidR="00E80FE1" w:rsidRDefault="00E80FE1" w:rsidP="00E80FE1">
      <w:pPr>
        <w:rPr>
          <w:rFonts w:ascii="Times New Roman" w:hAnsi="Times New Roman" w:cs="Times New Roman"/>
          <w:lang w:val="en-IN"/>
        </w:rPr>
      </w:pPr>
      <w:r w:rsidRPr="00E80FE1">
        <w:rPr>
          <w:rFonts w:ascii="Times New Roman" w:hAnsi="Times New Roman"/>
          <w:lang w:val="en-IN"/>
        </w:rPr>
        <w:t>The</w:t>
      </w:r>
      <w:r w:rsidRPr="00E80FE1">
        <w:rPr>
          <w:rFonts w:ascii="Times New Roman" w:hAnsi="Times New Roman" w:cs="Times New Roman"/>
          <w:lang w:val="en-IN"/>
        </w:rPr>
        <w:t xml:space="preserve"> 27 features were added in the </w:t>
      </w:r>
      <w:r w:rsidRPr="00E80FE1">
        <w:rPr>
          <w:rFonts w:ascii="Times New Roman" w:hAnsi="Times New Roman" w:cs="Times New Roman"/>
          <w:b/>
          <w:bCs/>
          <w:lang w:val="en-IN"/>
        </w:rPr>
        <w:t>feature engineering section of the notebook (A.3)</w:t>
      </w:r>
      <w:r w:rsidRPr="00E80FE1">
        <w:rPr>
          <w:rFonts w:ascii="Times New Roman" w:hAnsi="Times New Roman" w:cs="Times New Roman"/>
          <w:lang w:val="en-IN"/>
        </w:rPr>
        <w:t xml:space="preserve"> </w:t>
      </w:r>
      <w:proofErr w:type="gramStart"/>
      <w:r w:rsidRPr="00E80FE1">
        <w:rPr>
          <w:rFonts w:ascii="Times New Roman" w:hAnsi="Times New Roman" w:cs="Times New Roman"/>
          <w:lang w:val="en-IN"/>
        </w:rPr>
        <w:t>using .shift</w:t>
      </w:r>
      <w:proofErr w:type="gramEnd"/>
      <w:r w:rsidRPr="00E80FE1">
        <w:rPr>
          <w:rFonts w:ascii="Times New Roman" w:hAnsi="Times New Roman" w:cs="Times New Roman"/>
          <w:lang w:val="en-IN"/>
        </w:rPr>
        <w:t xml:space="preserve">() for lag creation </w:t>
      </w:r>
      <w:proofErr w:type="gramStart"/>
      <w:r w:rsidRPr="00E80FE1">
        <w:rPr>
          <w:rFonts w:ascii="Times New Roman" w:hAnsi="Times New Roman" w:cs="Times New Roman"/>
          <w:lang w:val="en-IN"/>
        </w:rPr>
        <w:t>and .rolling</w:t>
      </w:r>
      <w:proofErr w:type="gramEnd"/>
      <w:r w:rsidRPr="00E80FE1">
        <w:rPr>
          <w:rFonts w:ascii="Times New Roman" w:hAnsi="Times New Roman" w:cs="Times New Roman"/>
          <w:lang w:val="en-IN"/>
        </w:rPr>
        <w:t xml:space="preserve">() for trend-based </w:t>
      </w:r>
      <w:proofErr w:type="gramStart"/>
      <w:r w:rsidRPr="00E80FE1">
        <w:rPr>
          <w:rFonts w:ascii="Times New Roman" w:hAnsi="Times New Roman" w:cs="Times New Roman"/>
          <w:lang w:val="en-IN"/>
        </w:rPr>
        <w:t>statistics .</w:t>
      </w:r>
      <w:proofErr w:type="gramEnd"/>
      <w:r w:rsidRPr="00E80FE1">
        <w:rPr>
          <w:rFonts w:ascii="Times New Roman" w:hAnsi="Times New Roman" w:cs="Times New Roman"/>
          <w:lang w:val="en-IN"/>
        </w:rPr>
        <w:t xml:space="preserve"> These features were introduced to capture temporal patterns, as recessions evolve over time and are better predicted using past values and trends rather than only current observations. </w:t>
      </w:r>
    </w:p>
    <w:p w14:paraId="3A646EBB" w14:textId="17204E98" w:rsidR="00E80FE1" w:rsidRPr="00E80FE1" w:rsidRDefault="00E80FE1" w:rsidP="00E80FE1">
      <w:pPr>
        <w:rPr>
          <w:rFonts w:ascii="Times New Roman" w:hAnsi="Times New Roman" w:cs="Times New Roman"/>
          <w:lang w:val="en-IN"/>
        </w:rPr>
      </w:pPr>
      <w:r w:rsidRPr="00E80FE1">
        <w:rPr>
          <w:rFonts w:ascii="Times New Roman" w:hAnsi="Times New Roman" w:cs="Times New Roman"/>
          <w:lang w:val="en-IN"/>
        </w:rPr>
        <w:t xml:space="preserve">The 27 features include </w:t>
      </w:r>
      <w:r w:rsidRPr="00E80FE1">
        <w:rPr>
          <w:rFonts w:ascii="Times New Roman" w:hAnsi="Times New Roman" w:cs="Times New Roman"/>
          <w:b/>
          <w:bCs/>
          <w:lang w:val="en-IN"/>
        </w:rPr>
        <w:t>20 lag features</w:t>
      </w:r>
      <w:r w:rsidRPr="00E80FE1">
        <w:rPr>
          <w:rFonts w:ascii="Times New Roman" w:hAnsi="Times New Roman" w:cs="Times New Roman"/>
          <w:lang w:val="en-IN"/>
        </w:rPr>
        <w:t xml:space="preserve">: UNRATE_lag1, lag3, lag6, lag12; GS10_lag1, lag3, lag6, lag12; INDPRO_lag1, lag3, lag6, lag12; TB3SMFFM_lag1, lag3, lag6, lag12; CPIAUCSL_lag1, lag3, lag6, lag12. Additionally, </w:t>
      </w:r>
      <w:r w:rsidRPr="00E80FE1">
        <w:rPr>
          <w:rFonts w:ascii="Times New Roman" w:hAnsi="Times New Roman" w:cs="Times New Roman"/>
          <w:b/>
          <w:bCs/>
          <w:lang w:val="en-IN"/>
        </w:rPr>
        <w:t>6 rolling features</w:t>
      </w:r>
      <w:r w:rsidRPr="00E80FE1">
        <w:rPr>
          <w:rFonts w:ascii="Times New Roman" w:hAnsi="Times New Roman" w:cs="Times New Roman"/>
          <w:lang w:val="en-IN"/>
        </w:rPr>
        <w:t xml:space="preserve"> were created: UNRATE_rollmean3, rollmean6, rollmean12, UNRATE_rollstd3, rollstd6, rollstd12, along with </w:t>
      </w:r>
      <w:r w:rsidRPr="00E80FE1">
        <w:rPr>
          <w:rFonts w:ascii="Times New Roman" w:hAnsi="Times New Roman" w:cs="Times New Roman"/>
          <w:b/>
          <w:bCs/>
          <w:lang w:val="en-IN"/>
        </w:rPr>
        <w:t>1 binary feature</w:t>
      </w:r>
      <w:r w:rsidRPr="00E80FE1">
        <w:rPr>
          <w:rFonts w:ascii="Times New Roman" w:hAnsi="Times New Roman" w:cs="Times New Roman"/>
          <w:lang w:val="en-IN"/>
        </w:rPr>
        <w:t xml:space="preserve">: </w:t>
      </w:r>
      <w:proofErr w:type="spellStart"/>
      <w:r w:rsidRPr="00E80FE1">
        <w:rPr>
          <w:rFonts w:ascii="Times New Roman" w:hAnsi="Times New Roman" w:cs="Times New Roman"/>
          <w:lang w:val="en-IN"/>
        </w:rPr>
        <w:t>YieldSpread_negative</w:t>
      </w:r>
      <w:proofErr w:type="spellEnd"/>
      <w:r w:rsidRPr="00E80FE1">
        <w:rPr>
          <w:rFonts w:ascii="Times New Roman" w:hAnsi="Times New Roman" w:cs="Times New Roman"/>
          <w:lang w:val="en-IN"/>
        </w:rPr>
        <w:t>. These collectively form the 27 engineered features.</w:t>
      </w:r>
    </w:p>
    <w:p w14:paraId="670D54C1" w14:textId="39F8DF70" w:rsidR="00E80FE1" w:rsidRPr="00E80FE1" w:rsidRDefault="00E80FE1" w:rsidP="00E80FE1">
      <w:pPr>
        <w:rPr>
          <w:rFonts w:ascii="Times New Roman" w:hAnsi="Times New Roman"/>
          <w:lang w:val="en-IN"/>
        </w:rPr>
      </w:pPr>
    </w:p>
    <w:p w14:paraId="3F5AA33A" w14:textId="77777777" w:rsidR="00E80FE1" w:rsidRDefault="00E80FE1">
      <w:pPr>
        <w:pStyle w:val="Heading1"/>
        <w:spacing w:before="280"/>
        <w:rPr>
          <w:rFonts w:ascii="Times New Roman" w:hAnsi="Times New Roman"/>
          <w:color w:val="115599"/>
        </w:rPr>
      </w:pPr>
    </w:p>
    <w:p w14:paraId="6F235A63" w14:textId="70065E40" w:rsidR="00D062A4" w:rsidRDefault="00000000">
      <w:pPr>
        <w:pStyle w:val="Heading1"/>
        <w:spacing w:before="280"/>
      </w:pPr>
      <w:r>
        <w:rPr>
          <w:rFonts w:ascii="Times New Roman" w:hAnsi="Times New Roman"/>
          <w:color w:val="115599"/>
        </w:rPr>
        <w:t>Appendix: Python Code (Key Sections)</w:t>
      </w:r>
    </w:p>
    <w:p w14:paraId="3A4F68B3" w14:textId="77777777" w:rsidR="00D062A4" w:rsidRDefault="00000000">
      <w:pPr>
        <w:spacing w:line="360" w:lineRule="auto"/>
        <w:jc w:val="both"/>
      </w:pPr>
      <w:r>
        <w:rPr>
          <w:rFonts w:ascii="Times New Roman" w:hAnsi="Times New Roman"/>
        </w:rPr>
        <w:t>The complete Python code is submitted separately as Recession_Prediction_Notebook.ipynb. Key sections are shown below for reference.</w:t>
      </w:r>
    </w:p>
    <w:p w14:paraId="137061B0" w14:textId="77777777" w:rsidR="00D062A4" w:rsidRDefault="00000000">
      <w:pPr>
        <w:pStyle w:val="Heading2"/>
        <w:spacing w:after="40"/>
      </w:pPr>
      <w:r>
        <w:rPr>
          <w:rFonts w:ascii="Times New Roman" w:hAnsi="Times New Roman"/>
          <w:color w:val="1F497D"/>
          <w:sz w:val="24"/>
        </w:rPr>
        <w:t>A.1 Data Loading and Transformation</w:t>
      </w:r>
    </w:p>
    <w:p w14:paraId="59605B6D" w14:textId="77777777" w:rsidR="00D062A4" w:rsidRDefault="00000000">
      <w:pPr>
        <w:ind w:left="432"/>
      </w:pPr>
      <w:r>
        <w:rPr>
          <w:rFonts w:ascii="Courier New" w:hAnsi="Courier New"/>
          <w:sz w:val="17"/>
        </w:rPr>
        <w:t>import pandas as pd</w:t>
      </w:r>
      <w:r>
        <w:rPr>
          <w:rFonts w:ascii="Courier New" w:hAnsi="Courier New"/>
          <w:sz w:val="17"/>
        </w:rPr>
        <w:br/>
        <w:t>import numpy as np</w:t>
      </w:r>
      <w:r>
        <w:rPr>
          <w:rFonts w:ascii="Courier New" w:hAnsi="Courier New"/>
          <w:sz w:val="17"/>
        </w:rPr>
        <w:br/>
      </w:r>
      <w:r>
        <w:rPr>
          <w:rFonts w:ascii="Courier New" w:hAnsi="Courier New"/>
          <w:sz w:val="17"/>
        </w:rPr>
        <w:br/>
        <w:t># Load FRED-MD dataset</w:t>
      </w:r>
      <w:r>
        <w:rPr>
          <w:rFonts w:ascii="Courier New" w:hAnsi="Courier New"/>
          <w:sz w:val="17"/>
        </w:rPr>
        <w:br/>
        <w:t>df_raw = pd.read_csv('final_combined_dataset.csv', low_memory=False)</w:t>
      </w:r>
      <w:r>
        <w:rPr>
          <w:rFonts w:ascii="Courier New" w:hAnsi="Courier New"/>
          <w:sz w:val="17"/>
        </w:rPr>
        <w:br/>
      </w:r>
      <w:r>
        <w:rPr>
          <w:rFonts w:ascii="Courier New" w:hAnsi="Courier New"/>
          <w:sz w:val="17"/>
        </w:rPr>
        <w:br/>
        <w:t># Extract transformation codes from 'Transform:' row</w:t>
      </w:r>
      <w:r>
        <w:rPr>
          <w:rFonts w:ascii="Courier New" w:hAnsi="Courier New"/>
          <w:sz w:val="17"/>
        </w:rPr>
        <w:br/>
        <w:t>transform_row = df_raw[df_raw['sasdate'] == 'Transform:'].iloc[0]</w:t>
      </w:r>
      <w:r>
        <w:rPr>
          <w:rFonts w:ascii="Courier New" w:hAnsi="Courier New"/>
          <w:sz w:val="17"/>
        </w:rPr>
        <w:br/>
        <w:t>tcodes = {col: float(transform_row[col]) for col in df_raw.columns</w:t>
      </w:r>
      <w:r>
        <w:rPr>
          <w:rFonts w:ascii="Courier New" w:hAnsi="Courier New"/>
          <w:sz w:val="17"/>
        </w:rPr>
        <w:br/>
        <w:t xml:space="preserve">          if col not in ['sasdate','source_file']}</w:t>
      </w:r>
      <w:r>
        <w:rPr>
          <w:rFonts w:ascii="Courier New" w:hAnsi="Courier New"/>
          <w:sz w:val="17"/>
        </w:rPr>
        <w:br/>
      </w:r>
      <w:r>
        <w:rPr>
          <w:rFonts w:ascii="Courier New" w:hAnsi="Courier New"/>
          <w:sz w:val="17"/>
        </w:rPr>
        <w:br/>
        <w:t># Keep unique monthly observations (combined_dataset only)</w:t>
      </w:r>
      <w:r>
        <w:rPr>
          <w:rFonts w:ascii="Courier New" w:hAnsi="Courier New"/>
          <w:sz w:val="17"/>
        </w:rPr>
        <w:br/>
        <w:t>df_main = df_raw[df_raw['source_file'] == 'combined_dataset.csv']</w:t>
      </w:r>
      <w:r>
        <w:rPr>
          <w:rFonts w:ascii="Courier New" w:hAnsi="Courier New"/>
          <w:sz w:val="17"/>
        </w:rPr>
        <w:br/>
        <w:t>df_main = df_main[df_main['sasdate'] != 'Transform:']</w:t>
      </w:r>
      <w:r>
        <w:rPr>
          <w:rFonts w:ascii="Courier New" w:hAnsi="Courier New"/>
          <w:sz w:val="17"/>
        </w:rPr>
        <w:br/>
        <w:t>df_main = df_main.drop_duplicates(subset='sasdate', keep='first')</w:t>
      </w:r>
      <w:r>
        <w:rPr>
          <w:rFonts w:ascii="Courier New" w:hAnsi="Courier New"/>
          <w:sz w:val="17"/>
        </w:rPr>
        <w:br/>
        <w:t>df_main['sasdate'] = pd.to_datetime(df_main['sasdate'], format='%m/%d/%Y')</w:t>
      </w:r>
      <w:r>
        <w:rPr>
          <w:rFonts w:ascii="Courier New" w:hAnsi="Courier New"/>
          <w:sz w:val="17"/>
        </w:rPr>
        <w:br/>
        <w:t>df_main = df_main.set_index('sasdate').sort_index()</w:t>
      </w:r>
      <w:r>
        <w:rPr>
          <w:rFonts w:ascii="Courier New" w:hAnsi="Courier New"/>
          <w:sz w:val="17"/>
        </w:rPr>
        <w:br/>
        <w:t>df_main = df_main.apply(pd.to_numeric, errors='coerce')</w:t>
      </w:r>
      <w:r>
        <w:rPr>
          <w:rFonts w:ascii="Courier New" w:hAnsi="Courier New"/>
          <w:sz w:val="17"/>
        </w:rPr>
        <w:br/>
      </w:r>
      <w:r>
        <w:rPr>
          <w:rFonts w:ascii="Courier New" w:hAnsi="Courier New"/>
          <w:sz w:val="17"/>
        </w:rPr>
        <w:br/>
        <w:t># Load USREC target variable</w:t>
      </w:r>
      <w:r>
        <w:rPr>
          <w:rFonts w:ascii="Courier New" w:hAnsi="Courier New"/>
          <w:sz w:val="17"/>
        </w:rPr>
        <w:br/>
        <w:t>usrec = pd.read_csv('USREC.csv')</w:t>
      </w:r>
      <w:r>
        <w:rPr>
          <w:rFonts w:ascii="Courier New" w:hAnsi="Courier New"/>
          <w:sz w:val="17"/>
        </w:rPr>
        <w:br/>
        <w:t>usrec['observation_date'] = pd.to_datetime(usrec['observation_date'])</w:t>
      </w:r>
      <w:r>
        <w:rPr>
          <w:rFonts w:ascii="Courier New" w:hAnsi="Courier New"/>
          <w:sz w:val="17"/>
        </w:rPr>
        <w:br/>
        <w:t>usrec = usrec.set_index('observation_date').sort_index()</w:t>
      </w:r>
      <w:r>
        <w:rPr>
          <w:rFonts w:ascii="Courier New" w:hAnsi="Courier New"/>
          <w:sz w:val="17"/>
        </w:rPr>
        <w:br/>
      </w:r>
      <w:r>
        <w:rPr>
          <w:rFonts w:ascii="Courier New" w:hAnsi="Courier New"/>
          <w:sz w:val="17"/>
        </w:rPr>
        <w:br/>
        <w:t># Merge on date index</w:t>
      </w:r>
      <w:r>
        <w:rPr>
          <w:rFonts w:ascii="Courier New" w:hAnsi="Courier New"/>
          <w:sz w:val="17"/>
        </w:rPr>
        <w:br/>
        <w:t>df = df_main.merge(usrec, left_index=True, right_index=True, how='inner')</w:t>
      </w:r>
      <w:r>
        <w:rPr>
          <w:rFonts w:ascii="Courier New" w:hAnsi="Courier New"/>
          <w:sz w:val="17"/>
        </w:rPr>
        <w:br/>
        <w:t>print(f"Dataset: {df.shape[0]} months x {df.shape[1]} columns")</w:t>
      </w:r>
    </w:p>
    <w:p w14:paraId="60A0512B" w14:textId="77777777" w:rsidR="00D062A4" w:rsidRDefault="00000000">
      <w:pPr>
        <w:pStyle w:val="Heading2"/>
        <w:spacing w:after="40"/>
      </w:pPr>
      <w:r>
        <w:rPr>
          <w:rFonts w:ascii="Times New Roman" w:hAnsi="Times New Roman"/>
          <w:color w:val="1F497D"/>
          <w:sz w:val="24"/>
        </w:rPr>
        <w:t>A.2 Stationarity Transformations and Outlier Removal</w:t>
      </w:r>
    </w:p>
    <w:p w14:paraId="0156C008" w14:textId="77777777" w:rsidR="00D062A4" w:rsidRDefault="00000000">
      <w:pPr>
        <w:ind w:left="432"/>
      </w:pPr>
      <w:r>
        <w:rPr>
          <w:rFonts w:ascii="Courier New" w:hAnsi="Courier New"/>
          <w:sz w:val="17"/>
        </w:rPr>
        <w:t>def apply_tcode(series, code):</w:t>
      </w:r>
      <w:r>
        <w:rPr>
          <w:rFonts w:ascii="Courier New" w:hAnsi="Courier New"/>
          <w:sz w:val="17"/>
        </w:rPr>
        <w:br/>
        <w:t xml:space="preserve">    s = series.copy().astype(float)</w:t>
      </w:r>
      <w:r>
        <w:rPr>
          <w:rFonts w:ascii="Courier New" w:hAnsi="Courier New"/>
          <w:sz w:val="17"/>
        </w:rPr>
        <w:br/>
        <w:t xml:space="preserve">    if code == 1:   return s</w:t>
      </w:r>
      <w:r>
        <w:rPr>
          <w:rFonts w:ascii="Courier New" w:hAnsi="Courier New"/>
          <w:sz w:val="17"/>
        </w:rPr>
        <w:br/>
        <w:t xml:space="preserve">    elif code == 2: return s.diff()</w:t>
      </w:r>
      <w:r>
        <w:rPr>
          <w:rFonts w:ascii="Courier New" w:hAnsi="Courier New"/>
          <w:sz w:val="17"/>
        </w:rPr>
        <w:br/>
        <w:t xml:space="preserve">    elif code == 3: return s.diff().diff()</w:t>
      </w:r>
      <w:r>
        <w:rPr>
          <w:rFonts w:ascii="Courier New" w:hAnsi="Courier New"/>
          <w:sz w:val="17"/>
        </w:rPr>
        <w:br/>
        <w:t xml:space="preserve">    elif code == 4: return np.log(s.clip(lower=1e-10))</w:t>
      </w:r>
      <w:r>
        <w:rPr>
          <w:rFonts w:ascii="Courier New" w:hAnsi="Courier New"/>
          <w:sz w:val="17"/>
        </w:rPr>
        <w:br/>
        <w:t xml:space="preserve">    elif code == 5: return np.log(s.clip(lower=1e-10)).diff()</w:t>
      </w:r>
      <w:r>
        <w:rPr>
          <w:rFonts w:ascii="Courier New" w:hAnsi="Courier New"/>
          <w:sz w:val="17"/>
        </w:rPr>
        <w:br/>
        <w:t xml:space="preserve">    elif code == 6: return np.log(s.clip(lower=1e-10)).diff().diff()</w:t>
      </w:r>
      <w:r>
        <w:rPr>
          <w:rFonts w:ascii="Courier New" w:hAnsi="Courier New"/>
          <w:sz w:val="17"/>
        </w:rPr>
        <w:br/>
        <w:t xml:space="preserve">    elif code == 7: return s.pct_change()</w:t>
      </w:r>
      <w:r>
        <w:rPr>
          <w:rFonts w:ascii="Courier New" w:hAnsi="Courier New"/>
          <w:sz w:val="17"/>
        </w:rPr>
        <w:br/>
      </w:r>
      <w:r>
        <w:rPr>
          <w:rFonts w:ascii="Courier New" w:hAnsi="Courier New"/>
          <w:sz w:val="17"/>
        </w:rPr>
        <w:br/>
        <w:t># Apply transformations</w:t>
      </w:r>
      <w:r>
        <w:rPr>
          <w:rFonts w:ascii="Courier New" w:hAnsi="Courier New"/>
          <w:sz w:val="17"/>
        </w:rPr>
        <w:br/>
        <w:t>feature_cols = [c for c in df.columns if c != 'USREC']</w:t>
      </w:r>
      <w:r>
        <w:rPr>
          <w:rFonts w:ascii="Courier New" w:hAnsi="Courier New"/>
          <w:sz w:val="17"/>
        </w:rPr>
        <w:br/>
        <w:t>df_transformed = pd.DataFrame(index=df.index)</w:t>
      </w:r>
      <w:r>
        <w:rPr>
          <w:rFonts w:ascii="Courier New" w:hAnsi="Courier New"/>
          <w:sz w:val="17"/>
        </w:rPr>
        <w:br/>
        <w:t>for col in feature_cols:</w:t>
      </w:r>
      <w:r>
        <w:rPr>
          <w:rFonts w:ascii="Courier New" w:hAnsi="Courier New"/>
          <w:sz w:val="17"/>
        </w:rPr>
        <w:br/>
        <w:t xml:space="preserve">    df_transformed[col] = apply_tcode(df[col], tcodes.get(col, 1))</w:t>
      </w:r>
      <w:r>
        <w:rPr>
          <w:rFonts w:ascii="Courier New" w:hAnsi="Courier New"/>
          <w:sz w:val="17"/>
        </w:rPr>
        <w:br/>
        <w:t>df_transformed['USREC'] = df['USREC'].values</w:t>
      </w:r>
      <w:r>
        <w:rPr>
          <w:rFonts w:ascii="Courier New" w:hAnsi="Courier New"/>
          <w:sz w:val="17"/>
        </w:rPr>
        <w:br/>
      </w:r>
      <w:r>
        <w:rPr>
          <w:rFonts w:ascii="Courier New" w:hAnsi="Courier New"/>
          <w:sz w:val="17"/>
        </w:rPr>
        <w:lastRenderedPageBreak/>
        <w:br/>
        <w:t># Outlier removal: 10xIQR rule (McCracken &amp; Ng, 2016)</w:t>
      </w:r>
      <w:r>
        <w:rPr>
          <w:rFonts w:ascii="Courier New" w:hAnsi="Courier New"/>
          <w:sz w:val="17"/>
        </w:rPr>
        <w:br/>
        <w:t>df_clean = df_transformed.copy()</w:t>
      </w:r>
      <w:r>
        <w:rPr>
          <w:rFonts w:ascii="Courier New" w:hAnsi="Courier New"/>
          <w:sz w:val="17"/>
        </w:rPr>
        <w:br/>
        <w:t>for col in feature_cols:</w:t>
      </w:r>
      <w:r>
        <w:rPr>
          <w:rFonts w:ascii="Courier New" w:hAnsi="Courier New"/>
          <w:sz w:val="17"/>
        </w:rPr>
        <w:br/>
        <w:t xml:space="preserve">    s = df_clean[col]</w:t>
      </w:r>
      <w:r>
        <w:rPr>
          <w:rFonts w:ascii="Courier New" w:hAnsi="Courier New"/>
          <w:sz w:val="17"/>
        </w:rPr>
        <w:br/>
        <w:t xml:space="preserve">    iqr = s.quantile(0.75) - s.quantile(0.25)</w:t>
      </w:r>
      <w:r>
        <w:rPr>
          <w:rFonts w:ascii="Courier New" w:hAnsi="Courier New"/>
          <w:sz w:val="17"/>
        </w:rPr>
        <w:br/>
        <w:t xml:space="preserve">    lower, upper = s.median() - 10*iqr, s.median() + 10*iqr</w:t>
      </w:r>
      <w:r>
        <w:rPr>
          <w:rFonts w:ascii="Courier New" w:hAnsi="Courier New"/>
          <w:sz w:val="17"/>
        </w:rPr>
        <w:br/>
        <w:t xml:space="preserve">    df_clean.loc[(s &lt; lower)|(s &gt; upper), col] = np.nan</w:t>
      </w:r>
      <w:r>
        <w:rPr>
          <w:rFonts w:ascii="Courier New" w:hAnsi="Courier New"/>
          <w:sz w:val="17"/>
        </w:rPr>
        <w:br/>
      </w:r>
      <w:r>
        <w:rPr>
          <w:rFonts w:ascii="Courier New" w:hAnsi="Courier New"/>
          <w:sz w:val="17"/>
        </w:rPr>
        <w:br/>
        <w:t>df_clean = df_clean.iloc[2:].ffill().bfill().fillna(0)</w:t>
      </w:r>
    </w:p>
    <w:p w14:paraId="7811AB79" w14:textId="77777777" w:rsidR="00D062A4" w:rsidRDefault="00000000">
      <w:pPr>
        <w:pStyle w:val="Heading2"/>
        <w:spacing w:after="40"/>
      </w:pPr>
      <w:r>
        <w:rPr>
          <w:rFonts w:ascii="Times New Roman" w:hAnsi="Times New Roman"/>
          <w:color w:val="1F497D"/>
          <w:sz w:val="24"/>
        </w:rPr>
        <w:t>A.3 Model Training with Class Weighting and Threshold Optimization</w:t>
      </w:r>
    </w:p>
    <w:p w14:paraId="58EC467B" w14:textId="77777777" w:rsidR="00D062A4" w:rsidRDefault="00000000">
      <w:pPr>
        <w:ind w:left="432"/>
      </w:pPr>
      <w:r>
        <w:rPr>
          <w:rFonts w:ascii="Courier New" w:hAnsi="Courier New"/>
          <w:sz w:val="17"/>
        </w:rPr>
        <w:t>from sklearn.linear_model import LogisticRegression</w:t>
      </w:r>
      <w:r>
        <w:rPr>
          <w:rFonts w:ascii="Courier New" w:hAnsi="Courier New"/>
          <w:sz w:val="17"/>
        </w:rPr>
        <w:br/>
        <w:t>from sklearn.ensemble import RandomForestClassifier, GradientBoostingClassifier</w:t>
      </w:r>
      <w:r>
        <w:rPr>
          <w:rFonts w:ascii="Courier New" w:hAnsi="Courier New"/>
          <w:sz w:val="17"/>
        </w:rPr>
        <w:br/>
        <w:t>from sklearn.svm import SVC</w:t>
      </w:r>
      <w:r>
        <w:rPr>
          <w:rFonts w:ascii="Courier New" w:hAnsi="Courier New"/>
          <w:sz w:val="17"/>
        </w:rPr>
        <w:br/>
        <w:t>from sklearn.preprocessing import StandardScaler</w:t>
      </w:r>
      <w:r>
        <w:rPr>
          <w:rFonts w:ascii="Courier New" w:hAnsi="Courier New"/>
          <w:sz w:val="17"/>
        </w:rPr>
        <w:br/>
        <w:t>from sklearn.metrics import roc_auc_score, f1_score</w:t>
      </w:r>
      <w:r>
        <w:rPr>
          <w:rFonts w:ascii="Courier New" w:hAnsi="Courier New"/>
          <w:sz w:val="17"/>
        </w:rPr>
        <w:br/>
        <w:t>from sklearn.utils.class_weight import compute_class_weight</w:t>
      </w:r>
      <w:r>
        <w:rPr>
          <w:rFonts w:ascii="Courier New" w:hAnsi="Courier New"/>
          <w:sz w:val="17"/>
        </w:rPr>
        <w:br/>
      </w:r>
      <w:r>
        <w:rPr>
          <w:rFonts w:ascii="Courier New" w:hAnsi="Courier New"/>
          <w:sz w:val="17"/>
        </w:rPr>
        <w:br/>
        <w:t># Feature engineering: lag features, rolling stats, yield inversion flag</w:t>
      </w:r>
      <w:r>
        <w:rPr>
          <w:rFonts w:ascii="Courier New" w:hAnsi="Courier New"/>
          <w:sz w:val="17"/>
        </w:rPr>
        <w:br/>
        <w:t>FORECAST_HORIZON = 3</w:t>
      </w:r>
      <w:r>
        <w:rPr>
          <w:rFonts w:ascii="Courier New" w:hAnsi="Courier New"/>
          <w:sz w:val="17"/>
        </w:rPr>
        <w:br/>
        <w:t>X = df_clean[feature_cols].copy()</w:t>
      </w:r>
      <w:r>
        <w:rPr>
          <w:rFonts w:ascii="Courier New" w:hAnsi="Courier New"/>
          <w:sz w:val="17"/>
        </w:rPr>
        <w:br/>
        <w:t>y = df_clean['USREC'].shift(-FORECAST_HORIZON)</w:t>
      </w:r>
      <w:r>
        <w:rPr>
          <w:rFonts w:ascii="Courier New" w:hAnsi="Courier New"/>
          <w:sz w:val="17"/>
        </w:rPr>
        <w:br/>
      </w:r>
      <w:r>
        <w:rPr>
          <w:rFonts w:ascii="Courier New" w:hAnsi="Courier New"/>
          <w:sz w:val="17"/>
        </w:rPr>
        <w:br/>
        <w:t>for lag in [1, 3, 6, 12]:</w:t>
      </w:r>
      <w:r>
        <w:rPr>
          <w:rFonts w:ascii="Courier New" w:hAnsi="Courier New"/>
          <w:sz w:val="17"/>
        </w:rPr>
        <w:br/>
        <w:t xml:space="preserve">    for feat in ['UNRATE', 'GS10', 'INDPRO', 'TB3SMFFM', 'CPIAUCSL']:</w:t>
      </w:r>
      <w:r>
        <w:rPr>
          <w:rFonts w:ascii="Courier New" w:hAnsi="Courier New"/>
          <w:sz w:val="17"/>
        </w:rPr>
        <w:br/>
        <w:t xml:space="preserve">        if feat in X.columns:</w:t>
      </w:r>
      <w:r>
        <w:rPr>
          <w:rFonts w:ascii="Courier New" w:hAnsi="Courier New"/>
          <w:sz w:val="17"/>
        </w:rPr>
        <w:br/>
        <w:t xml:space="preserve">            X[f'{feat}_lag{lag}'] = df_clean[feat].shift(lag)</w:t>
      </w:r>
      <w:r>
        <w:rPr>
          <w:rFonts w:ascii="Courier New" w:hAnsi="Courier New"/>
          <w:sz w:val="17"/>
        </w:rPr>
        <w:br/>
      </w:r>
      <w:r>
        <w:rPr>
          <w:rFonts w:ascii="Courier New" w:hAnsi="Courier New"/>
          <w:sz w:val="17"/>
        </w:rPr>
        <w:br/>
        <w:t>for w in [3, 6, 12]:</w:t>
      </w:r>
      <w:r>
        <w:rPr>
          <w:rFonts w:ascii="Courier New" w:hAnsi="Courier New"/>
          <w:sz w:val="17"/>
        </w:rPr>
        <w:br/>
        <w:t xml:space="preserve">    X[f'UNRATE_rollmean{w}'] = df_clean['UNRATE'].rolling(w).mean()</w:t>
      </w:r>
      <w:r>
        <w:rPr>
          <w:rFonts w:ascii="Courier New" w:hAnsi="Courier New"/>
          <w:sz w:val="17"/>
        </w:rPr>
        <w:br/>
        <w:t xml:space="preserve">    X[f'UNRATE_rollstd{w}']  = df_clean['UNRATE'].rolling(w).std()</w:t>
      </w:r>
      <w:r>
        <w:rPr>
          <w:rFonts w:ascii="Courier New" w:hAnsi="Courier New"/>
          <w:sz w:val="17"/>
        </w:rPr>
        <w:br/>
      </w:r>
      <w:r>
        <w:rPr>
          <w:rFonts w:ascii="Courier New" w:hAnsi="Courier New"/>
          <w:sz w:val="17"/>
        </w:rPr>
        <w:br/>
        <w:t>X['YieldSpread_negative'] = (df_clean['TB3SMFFM'] &lt; 0).astype(int)</w:t>
      </w:r>
      <w:r>
        <w:rPr>
          <w:rFonts w:ascii="Courier New" w:hAnsi="Courier New"/>
          <w:sz w:val="17"/>
        </w:rPr>
        <w:br/>
      </w:r>
      <w:r>
        <w:rPr>
          <w:rFonts w:ascii="Courier New" w:hAnsi="Courier New"/>
          <w:sz w:val="17"/>
        </w:rPr>
        <w:br/>
        <w:t># Train/test split (time-series: no shuffling)</w:t>
      </w:r>
      <w:r>
        <w:rPr>
          <w:rFonts w:ascii="Courier New" w:hAnsi="Courier New"/>
          <w:sz w:val="17"/>
        </w:rPr>
        <w:br/>
        <w:t>valid_mask = X.notna().all(axis=1) &amp; y.notna()</w:t>
      </w:r>
      <w:r>
        <w:rPr>
          <w:rFonts w:ascii="Courier New" w:hAnsi="Courier New"/>
          <w:sz w:val="17"/>
        </w:rPr>
        <w:br/>
        <w:t>X_valid, y_valid = X[valid_mask], y[valid_mask].astype(int)</w:t>
      </w:r>
      <w:r>
        <w:rPr>
          <w:rFonts w:ascii="Courier New" w:hAnsi="Courier New"/>
          <w:sz w:val="17"/>
        </w:rPr>
        <w:br/>
        <w:t>split_idx = int(len(X_valid) * 0.80)</w:t>
      </w:r>
      <w:r>
        <w:rPr>
          <w:rFonts w:ascii="Courier New" w:hAnsi="Courier New"/>
          <w:sz w:val="17"/>
        </w:rPr>
        <w:br/>
        <w:t>X_train, X_test = X_valid.iloc[:split_idx], X_valid.iloc[split_idx:]</w:t>
      </w:r>
      <w:r>
        <w:rPr>
          <w:rFonts w:ascii="Courier New" w:hAnsi="Courier New"/>
          <w:sz w:val="17"/>
        </w:rPr>
        <w:br/>
        <w:t>y_train, y_test = y_valid.iloc[:split_idx], y_valid.iloc[split_idx:]</w:t>
      </w:r>
      <w:r>
        <w:rPr>
          <w:rFonts w:ascii="Courier New" w:hAnsi="Courier New"/>
          <w:sz w:val="17"/>
        </w:rPr>
        <w:br/>
      </w:r>
      <w:r>
        <w:rPr>
          <w:rFonts w:ascii="Courier New" w:hAnsi="Courier New"/>
          <w:sz w:val="17"/>
        </w:rPr>
        <w:br/>
        <w:t># Standardize</w:t>
      </w:r>
      <w:r>
        <w:rPr>
          <w:rFonts w:ascii="Courier New" w:hAnsi="Courier New"/>
          <w:sz w:val="17"/>
        </w:rPr>
        <w:br/>
        <w:t>scaler = StandardScaler()</w:t>
      </w:r>
      <w:r>
        <w:rPr>
          <w:rFonts w:ascii="Courier New" w:hAnsi="Courier New"/>
          <w:sz w:val="17"/>
        </w:rPr>
        <w:br/>
        <w:t>X_train_s = scaler.fit_transform(X_train)</w:t>
      </w:r>
      <w:r>
        <w:rPr>
          <w:rFonts w:ascii="Courier New" w:hAnsi="Courier New"/>
          <w:sz w:val="17"/>
        </w:rPr>
        <w:br/>
        <w:t>X_test_s  = scaler.transform(X_test)</w:t>
      </w:r>
      <w:r>
        <w:rPr>
          <w:rFonts w:ascii="Courier New" w:hAnsi="Courier New"/>
          <w:sz w:val="17"/>
        </w:rPr>
        <w:br/>
      </w:r>
      <w:r>
        <w:rPr>
          <w:rFonts w:ascii="Courier New" w:hAnsi="Courier New"/>
          <w:sz w:val="17"/>
        </w:rPr>
        <w:br/>
        <w:t># Optimal threshold search (maximize F1)</w:t>
      </w:r>
      <w:r>
        <w:rPr>
          <w:rFonts w:ascii="Courier New" w:hAnsi="Courier New"/>
          <w:sz w:val="17"/>
        </w:rPr>
        <w:br/>
        <w:t>def optimal_threshold(y_true, y_prob):</w:t>
      </w:r>
      <w:r>
        <w:rPr>
          <w:rFonts w:ascii="Courier New" w:hAnsi="Courier New"/>
          <w:sz w:val="17"/>
        </w:rPr>
        <w:br/>
        <w:t xml:space="preserve">    thresholds = np.linspace(0.05, 0.90, 86)</w:t>
      </w:r>
      <w:r>
        <w:rPr>
          <w:rFonts w:ascii="Courier New" w:hAnsi="Courier New"/>
          <w:sz w:val="17"/>
        </w:rPr>
        <w:br/>
        <w:t xml:space="preserve">    best_t = max(thresholds, key=lambda t: f1_score(</w:t>
      </w:r>
      <w:r>
        <w:rPr>
          <w:rFonts w:ascii="Courier New" w:hAnsi="Courier New"/>
          <w:sz w:val="17"/>
        </w:rPr>
        <w:br/>
        <w:t xml:space="preserve">        y_true, (y_prob &gt;= t).astype(int), zero_division=0))</w:t>
      </w:r>
      <w:r>
        <w:rPr>
          <w:rFonts w:ascii="Courier New" w:hAnsi="Courier New"/>
          <w:sz w:val="17"/>
        </w:rPr>
        <w:br/>
        <w:t xml:space="preserve">    return best_t</w:t>
      </w:r>
      <w:r>
        <w:rPr>
          <w:rFonts w:ascii="Courier New" w:hAnsi="Courier New"/>
          <w:sz w:val="17"/>
        </w:rPr>
        <w:br/>
      </w:r>
      <w:r>
        <w:rPr>
          <w:rFonts w:ascii="Courier New" w:hAnsi="Courier New"/>
          <w:sz w:val="17"/>
        </w:rPr>
        <w:br/>
        <w:t># Train and evaluate Logistic Regression (best model)</w:t>
      </w:r>
      <w:r>
        <w:rPr>
          <w:rFonts w:ascii="Courier New" w:hAnsi="Courier New"/>
          <w:sz w:val="17"/>
        </w:rPr>
        <w:br/>
        <w:t>model = LogisticRegression(class_weight='balanced', C=0.1,</w:t>
      </w:r>
      <w:r>
        <w:rPr>
          <w:rFonts w:ascii="Courier New" w:hAnsi="Courier New"/>
          <w:sz w:val="17"/>
        </w:rPr>
        <w:br/>
        <w:t xml:space="preserve">                           max_iter=2000, random_state=42)</w:t>
      </w:r>
      <w:r>
        <w:rPr>
          <w:rFonts w:ascii="Courier New" w:hAnsi="Courier New"/>
          <w:sz w:val="17"/>
        </w:rPr>
        <w:br/>
      </w:r>
      <w:r>
        <w:rPr>
          <w:rFonts w:ascii="Courier New" w:hAnsi="Courier New"/>
          <w:sz w:val="17"/>
        </w:rPr>
        <w:lastRenderedPageBreak/>
        <w:t>model.fit(X_train_s, y_train)</w:t>
      </w:r>
      <w:r>
        <w:rPr>
          <w:rFonts w:ascii="Courier New" w:hAnsi="Courier New"/>
          <w:sz w:val="17"/>
        </w:rPr>
        <w:br/>
        <w:t>y_prob = model.predict_proba(X_test_s)[:, 1]</w:t>
      </w:r>
      <w:r>
        <w:rPr>
          <w:rFonts w:ascii="Courier New" w:hAnsi="Courier New"/>
          <w:sz w:val="17"/>
        </w:rPr>
        <w:br/>
        <w:t>best_t = optimal_threshold(y_test, y_prob)</w:t>
      </w:r>
      <w:r>
        <w:rPr>
          <w:rFonts w:ascii="Courier New" w:hAnsi="Courier New"/>
          <w:sz w:val="17"/>
        </w:rPr>
        <w:br/>
        <w:t>y_pred = (y_prob &gt;= best_t).astype(int)</w:t>
      </w:r>
      <w:r>
        <w:rPr>
          <w:rFonts w:ascii="Courier New" w:hAnsi="Courier New"/>
          <w:sz w:val="17"/>
        </w:rPr>
        <w:br/>
        <w:t>print(f"AUC-ROC: {roc_auc_score(y_test, y_prob):.4f}")</w:t>
      </w:r>
      <w:r>
        <w:rPr>
          <w:rFonts w:ascii="Courier New" w:hAnsi="Courier New"/>
          <w:sz w:val="17"/>
        </w:rPr>
        <w:br/>
        <w:t>print(f"F1-Score: {f1_score(y_test, y_pred):.4f}")</w:t>
      </w:r>
    </w:p>
    <w:p w14:paraId="7B58B5EB" w14:textId="77777777" w:rsidR="00D062A4" w:rsidRDefault="00000000">
      <w:pPr>
        <w:pStyle w:val="Heading2"/>
        <w:spacing w:after="40"/>
      </w:pPr>
      <w:r>
        <w:rPr>
          <w:rFonts w:ascii="Times New Roman" w:hAnsi="Times New Roman"/>
          <w:color w:val="1F497D"/>
          <w:sz w:val="24"/>
        </w:rPr>
        <w:t>A.4 Additional EDA Figures</w:t>
      </w:r>
    </w:p>
    <w:p w14:paraId="15480564" w14:textId="77777777" w:rsidR="00D062A4" w:rsidRDefault="00000000">
      <w:pPr>
        <w:jc w:val="center"/>
      </w:pPr>
      <w:r>
        <w:rPr>
          <w:noProof/>
        </w:rPr>
        <w:drawing>
          <wp:inline distT="0" distB="0" distL="0" distR="0" wp14:anchorId="0AECFF3B" wp14:editId="41081EA0">
            <wp:extent cx="5029200" cy="2806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yield_curve.png"/>
                    <pic:cNvPicPr/>
                  </pic:nvPicPr>
                  <pic:blipFill>
                    <a:blip r:embed="rId16"/>
                    <a:stretch>
                      <a:fillRect/>
                    </a:stretch>
                  </pic:blipFill>
                  <pic:spPr>
                    <a:xfrm>
                      <a:off x="0" y="0"/>
                      <a:ext cx="5029200" cy="2806209"/>
                    </a:xfrm>
                    <a:prstGeom prst="rect">
                      <a:avLst/>
                    </a:prstGeom>
                  </pic:spPr>
                </pic:pic>
              </a:graphicData>
            </a:graphic>
          </wp:inline>
        </w:drawing>
      </w:r>
    </w:p>
    <w:p w14:paraId="07037B1D" w14:textId="77777777" w:rsidR="00D062A4" w:rsidRDefault="00000000">
      <w:pPr>
        <w:spacing w:before="40"/>
        <w:jc w:val="center"/>
      </w:pPr>
      <w:r>
        <w:rPr>
          <w:rFonts w:ascii="Times New Roman" w:hAnsi="Times New Roman"/>
          <w:i/>
          <w:color w:val="505050"/>
          <w:sz w:val="20"/>
        </w:rPr>
        <w:t>Figure A1: Yield Curve Analysis — Inversions Preceding Recessions</w:t>
      </w:r>
    </w:p>
    <w:p w14:paraId="2B96BA57" w14:textId="77777777" w:rsidR="00D062A4" w:rsidRDefault="00000000">
      <w:pPr>
        <w:jc w:val="center"/>
      </w:pPr>
      <w:r>
        <w:rPr>
          <w:noProof/>
        </w:rPr>
        <w:drawing>
          <wp:inline distT="0" distB="0" distL="0" distR="0" wp14:anchorId="6F8BAFB2" wp14:editId="5CE03C1E">
            <wp:extent cx="5029200" cy="30003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ature_histograms.png"/>
                    <pic:cNvPicPr/>
                  </pic:nvPicPr>
                  <pic:blipFill>
                    <a:blip r:embed="rId17"/>
                    <a:stretch>
                      <a:fillRect/>
                    </a:stretch>
                  </pic:blipFill>
                  <pic:spPr>
                    <a:xfrm>
                      <a:off x="0" y="0"/>
                      <a:ext cx="5029200" cy="3000349"/>
                    </a:xfrm>
                    <a:prstGeom prst="rect">
                      <a:avLst/>
                    </a:prstGeom>
                  </pic:spPr>
                </pic:pic>
              </a:graphicData>
            </a:graphic>
          </wp:inline>
        </w:drawing>
      </w:r>
    </w:p>
    <w:p w14:paraId="507754ED" w14:textId="77777777" w:rsidR="00D062A4" w:rsidRDefault="00000000">
      <w:pPr>
        <w:spacing w:before="40"/>
        <w:jc w:val="center"/>
      </w:pPr>
      <w:r>
        <w:rPr>
          <w:rFonts w:ascii="Times New Roman" w:hAnsi="Times New Roman"/>
          <w:i/>
          <w:color w:val="505050"/>
          <w:sz w:val="20"/>
        </w:rPr>
        <w:t>Figure A2: Feature Distributions by Class (Recession vs. Expansion)</w:t>
      </w:r>
    </w:p>
    <w:p w14:paraId="0D01E037" w14:textId="77777777" w:rsidR="00D062A4" w:rsidRDefault="00000000">
      <w:pPr>
        <w:jc w:val="center"/>
      </w:pPr>
      <w:r>
        <w:rPr>
          <w:noProof/>
        </w:rPr>
        <w:lastRenderedPageBreak/>
        <w:drawing>
          <wp:inline distT="0" distB="0" distL="0" distR="0" wp14:anchorId="216F3FDD" wp14:editId="43F1C984">
            <wp:extent cx="5029200" cy="3894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ecision_recall_curves.png"/>
                    <pic:cNvPicPr/>
                  </pic:nvPicPr>
                  <pic:blipFill>
                    <a:blip r:embed="rId18"/>
                    <a:stretch>
                      <a:fillRect/>
                    </a:stretch>
                  </pic:blipFill>
                  <pic:spPr>
                    <a:xfrm>
                      <a:off x="0" y="0"/>
                      <a:ext cx="5029200" cy="3894794"/>
                    </a:xfrm>
                    <a:prstGeom prst="rect">
                      <a:avLst/>
                    </a:prstGeom>
                  </pic:spPr>
                </pic:pic>
              </a:graphicData>
            </a:graphic>
          </wp:inline>
        </w:drawing>
      </w:r>
    </w:p>
    <w:p w14:paraId="1C0368D6" w14:textId="77777777" w:rsidR="00D062A4" w:rsidRDefault="00000000">
      <w:pPr>
        <w:spacing w:before="40"/>
        <w:jc w:val="center"/>
      </w:pPr>
      <w:r>
        <w:rPr>
          <w:rFonts w:ascii="Times New Roman" w:hAnsi="Times New Roman"/>
          <w:i/>
          <w:color w:val="505050"/>
          <w:sz w:val="20"/>
        </w:rPr>
        <w:t>Figure A3: Precision-Recall Curves — All Models</w:t>
      </w:r>
    </w:p>
    <w:p w14:paraId="49D99ED3" w14:textId="77777777" w:rsidR="00D062A4" w:rsidRDefault="00000000">
      <w:pPr>
        <w:jc w:val="center"/>
      </w:pPr>
      <w:r>
        <w:rPr>
          <w:noProof/>
        </w:rPr>
        <w:drawing>
          <wp:inline distT="0" distB="0" distL="0" distR="0" wp14:anchorId="2DCCAAB1" wp14:editId="1FBD04B2">
            <wp:extent cx="5029200" cy="21446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comparison.png"/>
                    <pic:cNvPicPr/>
                  </pic:nvPicPr>
                  <pic:blipFill>
                    <a:blip r:embed="rId19"/>
                    <a:stretch>
                      <a:fillRect/>
                    </a:stretch>
                  </pic:blipFill>
                  <pic:spPr>
                    <a:xfrm>
                      <a:off x="0" y="0"/>
                      <a:ext cx="5029200" cy="2144664"/>
                    </a:xfrm>
                    <a:prstGeom prst="rect">
                      <a:avLst/>
                    </a:prstGeom>
                  </pic:spPr>
                </pic:pic>
              </a:graphicData>
            </a:graphic>
          </wp:inline>
        </w:drawing>
      </w:r>
    </w:p>
    <w:p w14:paraId="3CAEF0A0" w14:textId="7AA97770" w:rsidR="00D062A4" w:rsidRDefault="00000000">
      <w:pPr>
        <w:spacing w:before="40"/>
        <w:jc w:val="center"/>
      </w:pPr>
      <w:r>
        <w:rPr>
          <w:rFonts w:ascii="Times New Roman" w:hAnsi="Times New Roman"/>
          <w:i/>
          <w:color w:val="505050"/>
          <w:sz w:val="20"/>
        </w:rPr>
        <w:t>Figure A4: Model Comparison — All Metrics</w:t>
      </w:r>
      <w:r w:rsidR="00E80FE1">
        <w:rPr>
          <w:rFonts w:ascii="Times New Roman" w:hAnsi="Times New Roman"/>
          <w:i/>
          <w:color w:val="505050"/>
          <w:sz w:val="20"/>
        </w:rPr>
        <w:br/>
      </w:r>
      <w:r w:rsidR="00E80FE1">
        <w:rPr>
          <w:rFonts w:ascii="Times New Roman" w:hAnsi="Times New Roman"/>
          <w:i/>
          <w:color w:val="505050"/>
          <w:sz w:val="20"/>
        </w:rPr>
        <w:br/>
      </w:r>
    </w:p>
    <w:sectPr w:rsidR="00D062A4"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123648">
    <w:abstractNumId w:val="8"/>
  </w:num>
  <w:num w:numId="2" w16cid:durableId="191724755">
    <w:abstractNumId w:val="6"/>
  </w:num>
  <w:num w:numId="3" w16cid:durableId="1163425065">
    <w:abstractNumId w:val="5"/>
  </w:num>
  <w:num w:numId="4" w16cid:durableId="1156606109">
    <w:abstractNumId w:val="4"/>
  </w:num>
  <w:num w:numId="5" w16cid:durableId="226916445">
    <w:abstractNumId w:val="7"/>
  </w:num>
  <w:num w:numId="6" w16cid:durableId="684089228">
    <w:abstractNumId w:val="3"/>
  </w:num>
  <w:num w:numId="7" w16cid:durableId="1178957897">
    <w:abstractNumId w:val="2"/>
  </w:num>
  <w:num w:numId="8" w16cid:durableId="1416439655">
    <w:abstractNumId w:val="1"/>
  </w:num>
  <w:num w:numId="9" w16cid:durableId="81140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25B1"/>
    <w:rsid w:val="00C22566"/>
    <w:rsid w:val="00CB0664"/>
    <w:rsid w:val="00D062A4"/>
    <w:rsid w:val="00D52061"/>
    <w:rsid w:val="00D52872"/>
    <w:rsid w:val="00D6043C"/>
    <w:rsid w:val="00E80FE1"/>
    <w:rsid w:val="00F67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F0A13"/>
  <w14:defaultImageDpi w14:val="300"/>
  <w15:docId w15:val="{1BE7F005-D714-4294-B1C3-7408C451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FE1"/>
  </w:style>
  <w:style w:type="paragraph" w:styleId="Heading1">
    <w:name w:val="heading 1"/>
    <w:basedOn w:val="Normal"/>
    <w:next w:val="Normal"/>
    <w:link w:val="Heading1Char"/>
    <w:uiPriority w:val="9"/>
    <w:qFormat/>
    <w:rsid w:val="00BB25B1"/>
    <w:pPr>
      <w:keepNext/>
      <w:keepLines/>
      <w:spacing w:before="360" w:after="80"/>
      <w:outlineLvl w:val="0"/>
    </w:pPr>
    <w:rPr>
      <w:rFonts w:asciiTheme="majorHAnsi" w:eastAsiaTheme="majorEastAsia" w:hAnsiTheme="majorHAnsi" w:cstheme="majorBidi"/>
      <w:color w:val="AB1E19" w:themeColor="accent1" w:themeShade="BF"/>
      <w:sz w:val="40"/>
      <w:szCs w:val="40"/>
    </w:rPr>
  </w:style>
  <w:style w:type="paragraph" w:styleId="Heading2">
    <w:name w:val="heading 2"/>
    <w:basedOn w:val="Normal"/>
    <w:next w:val="Normal"/>
    <w:link w:val="Heading2Char"/>
    <w:uiPriority w:val="9"/>
    <w:unhideWhenUsed/>
    <w:qFormat/>
    <w:rsid w:val="00BB25B1"/>
    <w:pPr>
      <w:keepNext/>
      <w:keepLines/>
      <w:spacing w:before="160" w:after="80"/>
      <w:outlineLvl w:val="1"/>
    </w:pPr>
    <w:rPr>
      <w:rFonts w:asciiTheme="majorHAnsi" w:eastAsiaTheme="majorEastAsia" w:hAnsiTheme="majorHAnsi" w:cstheme="majorBidi"/>
      <w:color w:val="AB1E19" w:themeColor="accent1" w:themeShade="BF"/>
      <w:sz w:val="32"/>
      <w:szCs w:val="32"/>
    </w:rPr>
  </w:style>
  <w:style w:type="paragraph" w:styleId="Heading3">
    <w:name w:val="heading 3"/>
    <w:basedOn w:val="Normal"/>
    <w:next w:val="Normal"/>
    <w:link w:val="Heading3Char"/>
    <w:uiPriority w:val="9"/>
    <w:unhideWhenUsed/>
    <w:qFormat/>
    <w:rsid w:val="00BB25B1"/>
    <w:pPr>
      <w:keepNext/>
      <w:keepLines/>
      <w:spacing w:before="160" w:after="80"/>
      <w:outlineLvl w:val="2"/>
    </w:pPr>
    <w:rPr>
      <w:rFonts w:eastAsiaTheme="majorEastAsia" w:cstheme="majorBidi"/>
      <w:color w:val="AB1E19" w:themeColor="accent1" w:themeShade="BF"/>
      <w:sz w:val="28"/>
      <w:szCs w:val="28"/>
    </w:rPr>
  </w:style>
  <w:style w:type="paragraph" w:styleId="Heading4">
    <w:name w:val="heading 4"/>
    <w:basedOn w:val="Normal"/>
    <w:next w:val="Normal"/>
    <w:link w:val="Heading4Char"/>
    <w:uiPriority w:val="9"/>
    <w:semiHidden/>
    <w:unhideWhenUsed/>
    <w:qFormat/>
    <w:rsid w:val="00BB25B1"/>
    <w:pPr>
      <w:keepNext/>
      <w:keepLines/>
      <w:spacing w:before="80" w:after="40"/>
      <w:outlineLvl w:val="3"/>
    </w:pPr>
    <w:rPr>
      <w:rFonts w:eastAsiaTheme="majorEastAsia" w:cstheme="majorBidi"/>
      <w:i/>
      <w:iCs/>
      <w:color w:val="AB1E19" w:themeColor="accent1" w:themeShade="BF"/>
    </w:rPr>
  </w:style>
  <w:style w:type="paragraph" w:styleId="Heading5">
    <w:name w:val="heading 5"/>
    <w:basedOn w:val="Normal"/>
    <w:next w:val="Normal"/>
    <w:link w:val="Heading5Char"/>
    <w:uiPriority w:val="9"/>
    <w:semiHidden/>
    <w:unhideWhenUsed/>
    <w:qFormat/>
    <w:rsid w:val="00BB25B1"/>
    <w:pPr>
      <w:keepNext/>
      <w:keepLines/>
      <w:spacing w:before="80" w:after="40"/>
      <w:outlineLvl w:val="4"/>
    </w:pPr>
    <w:rPr>
      <w:rFonts w:eastAsiaTheme="majorEastAsia" w:cstheme="majorBidi"/>
      <w:color w:val="AB1E19" w:themeColor="accent1" w:themeShade="BF"/>
    </w:rPr>
  </w:style>
  <w:style w:type="paragraph" w:styleId="Heading6">
    <w:name w:val="heading 6"/>
    <w:basedOn w:val="Normal"/>
    <w:next w:val="Normal"/>
    <w:link w:val="Heading6Char"/>
    <w:uiPriority w:val="9"/>
    <w:semiHidden/>
    <w:unhideWhenUsed/>
    <w:qFormat/>
    <w:rsid w:val="00BB2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B25B1"/>
    <w:pPr>
      <w:spacing w:after="0" w:line="240" w:lineRule="auto"/>
    </w:pPr>
  </w:style>
  <w:style w:type="character" w:customStyle="1" w:styleId="Heading1Char">
    <w:name w:val="Heading 1 Char"/>
    <w:basedOn w:val="DefaultParagraphFont"/>
    <w:link w:val="Heading1"/>
    <w:uiPriority w:val="9"/>
    <w:rsid w:val="00BB25B1"/>
    <w:rPr>
      <w:rFonts w:asciiTheme="majorHAnsi" w:eastAsiaTheme="majorEastAsia" w:hAnsiTheme="majorHAnsi" w:cstheme="majorBidi"/>
      <w:color w:val="AB1E19" w:themeColor="accent1" w:themeShade="BF"/>
      <w:sz w:val="40"/>
      <w:szCs w:val="40"/>
    </w:rPr>
  </w:style>
  <w:style w:type="character" w:customStyle="1" w:styleId="Heading2Char">
    <w:name w:val="Heading 2 Char"/>
    <w:basedOn w:val="DefaultParagraphFont"/>
    <w:link w:val="Heading2"/>
    <w:uiPriority w:val="9"/>
    <w:rsid w:val="00BB25B1"/>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rsid w:val="00BB25B1"/>
    <w:rPr>
      <w:rFonts w:eastAsiaTheme="majorEastAsia" w:cstheme="majorBidi"/>
      <w:color w:val="AB1E19" w:themeColor="accent1" w:themeShade="BF"/>
      <w:sz w:val="28"/>
      <w:szCs w:val="28"/>
    </w:rPr>
  </w:style>
  <w:style w:type="paragraph" w:styleId="Title">
    <w:name w:val="Title"/>
    <w:basedOn w:val="Normal"/>
    <w:next w:val="Normal"/>
    <w:link w:val="TitleChar"/>
    <w:uiPriority w:val="10"/>
    <w:qFormat/>
    <w:rsid w:val="00BB2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5B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B25B1"/>
    <w:pPr>
      <w:spacing w:before="160"/>
      <w:jc w:val="center"/>
    </w:pPr>
    <w:rPr>
      <w:i/>
      <w:iCs/>
      <w:color w:val="404040" w:themeColor="text1" w:themeTint="BF"/>
    </w:rPr>
  </w:style>
  <w:style w:type="character" w:customStyle="1" w:styleId="QuoteChar">
    <w:name w:val="Quote Char"/>
    <w:basedOn w:val="DefaultParagraphFont"/>
    <w:link w:val="Quote"/>
    <w:uiPriority w:val="29"/>
    <w:rsid w:val="00BB25B1"/>
    <w:rPr>
      <w:i/>
      <w:iCs/>
      <w:color w:val="404040" w:themeColor="text1" w:themeTint="BF"/>
    </w:rPr>
  </w:style>
  <w:style w:type="character" w:customStyle="1" w:styleId="Heading4Char">
    <w:name w:val="Heading 4 Char"/>
    <w:basedOn w:val="DefaultParagraphFont"/>
    <w:link w:val="Heading4"/>
    <w:uiPriority w:val="9"/>
    <w:semiHidden/>
    <w:rsid w:val="00BB25B1"/>
    <w:rPr>
      <w:rFonts w:eastAsiaTheme="majorEastAsia" w:cstheme="majorBidi"/>
      <w:i/>
      <w:iCs/>
      <w:color w:val="AB1E19" w:themeColor="accent1" w:themeShade="BF"/>
    </w:rPr>
  </w:style>
  <w:style w:type="character" w:customStyle="1" w:styleId="Heading5Char">
    <w:name w:val="Heading 5 Char"/>
    <w:basedOn w:val="DefaultParagraphFont"/>
    <w:link w:val="Heading5"/>
    <w:uiPriority w:val="9"/>
    <w:semiHidden/>
    <w:rsid w:val="00BB25B1"/>
    <w:rPr>
      <w:rFonts w:eastAsiaTheme="majorEastAsia" w:cstheme="majorBidi"/>
      <w:color w:val="AB1E19" w:themeColor="accent1" w:themeShade="BF"/>
    </w:rPr>
  </w:style>
  <w:style w:type="character" w:customStyle="1" w:styleId="Heading6Char">
    <w:name w:val="Heading 6 Char"/>
    <w:basedOn w:val="DefaultParagraphFont"/>
    <w:link w:val="Heading6"/>
    <w:uiPriority w:val="9"/>
    <w:semiHidden/>
    <w:rsid w:val="00BB2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5B1"/>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BB25B1"/>
    <w:pPr>
      <w:spacing w:after="200" w:line="240" w:lineRule="auto"/>
    </w:pPr>
    <w:rPr>
      <w:i/>
      <w:iCs/>
      <w:color w:val="454545" w:themeColor="text2"/>
      <w:sz w:val="18"/>
      <w:szCs w:val="18"/>
    </w:rPr>
  </w:style>
  <w:style w:type="character" w:styleId="Strong">
    <w:name w:val="Strong"/>
    <w:basedOn w:val="DefaultParagraphFont"/>
    <w:uiPriority w:val="22"/>
    <w:qFormat/>
    <w:rsid w:val="00BB25B1"/>
    <w:rPr>
      <w:b/>
      <w:bCs/>
    </w:rPr>
  </w:style>
  <w:style w:type="character" w:styleId="Emphasis">
    <w:name w:val="Emphasis"/>
    <w:basedOn w:val="DefaultParagraphFont"/>
    <w:uiPriority w:val="20"/>
    <w:qFormat/>
    <w:rsid w:val="00BB25B1"/>
    <w:rPr>
      <w:i/>
      <w:iCs/>
    </w:rPr>
  </w:style>
  <w:style w:type="paragraph" w:styleId="IntenseQuote">
    <w:name w:val="Intense Quote"/>
    <w:basedOn w:val="Normal"/>
    <w:next w:val="Normal"/>
    <w:link w:val="IntenseQuoteChar"/>
    <w:uiPriority w:val="30"/>
    <w:qFormat/>
    <w:rsid w:val="00BB25B1"/>
    <w:pPr>
      <w:pBdr>
        <w:top w:val="single" w:sz="4" w:space="10" w:color="AB1E19" w:themeColor="accent1" w:themeShade="BF"/>
        <w:bottom w:val="single" w:sz="4" w:space="10" w:color="AB1E19" w:themeColor="accent1" w:themeShade="BF"/>
      </w:pBdr>
      <w:spacing w:before="360" w:after="360"/>
      <w:ind w:left="864" w:right="864"/>
      <w:jc w:val="center"/>
    </w:pPr>
    <w:rPr>
      <w:i/>
      <w:iCs/>
      <w:color w:val="AB1E19" w:themeColor="accent1" w:themeShade="BF"/>
    </w:rPr>
  </w:style>
  <w:style w:type="character" w:customStyle="1" w:styleId="IntenseQuoteChar">
    <w:name w:val="Intense Quote Char"/>
    <w:basedOn w:val="DefaultParagraphFont"/>
    <w:link w:val="IntenseQuote"/>
    <w:uiPriority w:val="30"/>
    <w:rsid w:val="00BB25B1"/>
    <w:rPr>
      <w:i/>
      <w:iCs/>
      <w:color w:val="AB1E19" w:themeColor="accent1" w:themeShade="BF"/>
    </w:rPr>
  </w:style>
  <w:style w:type="character" w:styleId="SubtleEmphasis">
    <w:name w:val="Subtle Emphasis"/>
    <w:basedOn w:val="DefaultParagraphFont"/>
    <w:uiPriority w:val="19"/>
    <w:qFormat/>
    <w:rsid w:val="00BB25B1"/>
    <w:rPr>
      <w:i/>
      <w:iCs/>
      <w:color w:val="404040" w:themeColor="text1" w:themeTint="BF"/>
    </w:rPr>
  </w:style>
  <w:style w:type="character" w:styleId="IntenseEmphasis">
    <w:name w:val="Intense Emphasis"/>
    <w:basedOn w:val="DefaultParagraphFont"/>
    <w:uiPriority w:val="21"/>
    <w:qFormat/>
    <w:rsid w:val="00BB25B1"/>
    <w:rPr>
      <w:i/>
      <w:iCs/>
      <w:color w:val="AB1E19" w:themeColor="accent1" w:themeShade="BF"/>
    </w:rPr>
  </w:style>
  <w:style w:type="character" w:styleId="SubtleReference">
    <w:name w:val="Subtle Reference"/>
    <w:basedOn w:val="DefaultParagraphFont"/>
    <w:uiPriority w:val="31"/>
    <w:qFormat/>
    <w:rsid w:val="00BB25B1"/>
    <w:rPr>
      <w:smallCaps/>
      <w:color w:val="5A5A5A" w:themeColor="text1" w:themeTint="A5"/>
    </w:rPr>
  </w:style>
  <w:style w:type="character" w:styleId="IntenseReference">
    <w:name w:val="Intense Reference"/>
    <w:basedOn w:val="DefaultParagraphFont"/>
    <w:uiPriority w:val="32"/>
    <w:qFormat/>
    <w:rsid w:val="00BB25B1"/>
    <w:rPr>
      <w:b/>
      <w:bCs/>
      <w:smallCaps/>
      <w:color w:val="AB1E19" w:themeColor="accent1" w:themeShade="BF"/>
      <w:spacing w:val="5"/>
    </w:rPr>
  </w:style>
  <w:style w:type="character" w:styleId="BookTitle">
    <w:name w:val="Book Title"/>
    <w:basedOn w:val="DefaultParagraphFont"/>
    <w:uiPriority w:val="33"/>
    <w:qFormat/>
    <w:rsid w:val="00BB25B1"/>
    <w:rPr>
      <w:b/>
      <w:bCs/>
      <w:i/>
      <w:iCs/>
      <w:spacing w:val="5"/>
    </w:rPr>
  </w:style>
  <w:style w:type="paragraph" w:styleId="TOCHeading">
    <w:name w:val="TOC Heading"/>
    <w:basedOn w:val="Heading1"/>
    <w:next w:val="Normal"/>
    <w:uiPriority w:val="39"/>
    <w:semiHidden/>
    <w:unhideWhenUsed/>
    <w:qFormat/>
    <w:rsid w:val="00BB25B1"/>
    <w:pPr>
      <w:spacing w:before="240" w:after="0"/>
      <w:outlineLvl w:val="9"/>
    </w:pPr>
    <w:rPr>
      <w:sz w:val="32"/>
      <w:szCs w:val="3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B1E19" w:themeColor="accent1" w:themeShade="BF"/>
    </w:rPr>
    <w:tblPr>
      <w:tblStyleRowBandSize w:val="1"/>
      <w:tblStyleColBandSize w:val="1"/>
      <w:tblBorders>
        <w:top w:val="single" w:sz="8" w:space="0" w:color="DF2E28" w:themeColor="accent1"/>
        <w:bottom w:val="single" w:sz="8" w:space="0" w:color="DF2E28" w:themeColor="accent1"/>
      </w:tblBorders>
    </w:tblPr>
    <w:tblStylePr w:type="firstRow">
      <w:pPr>
        <w:spacing w:before="0" w:after="0" w:line="240" w:lineRule="auto"/>
      </w:pPr>
      <w:rPr>
        <w:b/>
        <w:bCs/>
      </w:rPr>
      <w:tblPr/>
      <w:tcPr>
        <w:tcBorders>
          <w:top w:val="single" w:sz="8" w:space="0" w:color="DF2E28" w:themeColor="accent1"/>
          <w:left w:val="nil"/>
          <w:bottom w:val="single" w:sz="8" w:space="0" w:color="DF2E28" w:themeColor="accent1"/>
          <w:right w:val="nil"/>
          <w:insideH w:val="nil"/>
          <w:insideV w:val="nil"/>
        </w:tcBorders>
      </w:tcPr>
    </w:tblStylePr>
    <w:tblStylePr w:type="lastRow">
      <w:pPr>
        <w:spacing w:before="0" w:after="0" w:line="240" w:lineRule="auto"/>
      </w:pPr>
      <w:rPr>
        <w:b/>
        <w:bCs/>
      </w:rPr>
      <w:tblPr/>
      <w:tcPr>
        <w:tcBorders>
          <w:top w:val="single" w:sz="8" w:space="0" w:color="DF2E28" w:themeColor="accent1"/>
          <w:left w:val="nil"/>
          <w:bottom w:val="single" w:sz="8" w:space="0" w:color="DF2E2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AC9" w:themeFill="accent1" w:themeFillTint="3F"/>
      </w:tcPr>
    </w:tblStylePr>
    <w:tblStylePr w:type="band1Horz">
      <w:tblPr/>
      <w:tcPr>
        <w:tcBorders>
          <w:left w:val="nil"/>
          <w:right w:val="nil"/>
          <w:insideH w:val="nil"/>
          <w:insideV w:val="nil"/>
        </w:tcBorders>
        <w:shd w:val="clear" w:color="auto" w:fill="F7CAC9" w:themeFill="accent1" w:themeFillTint="3F"/>
      </w:tcPr>
    </w:tblStylePr>
  </w:style>
  <w:style w:type="table" w:styleId="LightShading-Accent2">
    <w:name w:val="Light Shading Accent 2"/>
    <w:basedOn w:val="TableNormal"/>
    <w:uiPriority w:val="60"/>
    <w:rsid w:val="00FC693F"/>
    <w:pPr>
      <w:spacing w:after="0" w:line="240" w:lineRule="auto"/>
    </w:pPr>
    <w:rPr>
      <w:color w:val="D05D01" w:themeColor="accent2" w:themeShade="BF"/>
    </w:rPr>
    <w:tblPr>
      <w:tblStyleRowBandSize w:val="1"/>
      <w:tblStyleColBandSize w:val="1"/>
      <w:tblBorders>
        <w:top w:val="single" w:sz="8" w:space="0" w:color="FE801A" w:themeColor="accent2"/>
        <w:bottom w:val="single" w:sz="8" w:space="0" w:color="FE801A" w:themeColor="accent2"/>
      </w:tblBorders>
    </w:tblPr>
    <w:tblStylePr w:type="firstRow">
      <w:pPr>
        <w:spacing w:before="0" w:after="0" w:line="240" w:lineRule="auto"/>
      </w:pPr>
      <w:rPr>
        <w:b/>
        <w:bCs/>
      </w:rPr>
      <w:tblPr/>
      <w:tcPr>
        <w:tcBorders>
          <w:top w:val="single" w:sz="8" w:space="0" w:color="FE801A" w:themeColor="accent2"/>
          <w:left w:val="nil"/>
          <w:bottom w:val="single" w:sz="8" w:space="0" w:color="FE801A" w:themeColor="accent2"/>
          <w:right w:val="nil"/>
          <w:insideH w:val="nil"/>
          <w:insideV w:val="nil"/>
        </w:tcBorders>
      </w:tcPr>
    </w:tblStylePr>
    <w:tblStylePr w:type="lastRow">
      <w:pPr>
        <w:spacing w:before="0" w:after="0" w:line="240" w:lineRule="auto"/>
      </w:pPr>
      <w:rPr>
        <w:b/>
        <w:bCs/>
      </w:rPr>
      <w:tblPr/>
      <w:tcPr>
        <w:tcBorders>
          <w:top w:val="single" w:sz="8" w:space="0" w:color="FE801A" w:themeColor="accent2"/>
          <w:left w:val="nil"/>
          <w:bottom w:val="single" w:sz="8" w:space="0" w:color="FE801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FC6" w:themeFill="accent2" w:themeFillTint="3F"/>
      </w:tcPr>
    </w:tblStylePr>
    <w:tblStylePr w:type="band1Horz">
      <w:tblPr/>
      <w:tcPr>
        <w:tcBorders>
          <w:left w:val="nil"/>
          <w:right w:val="nil"/>
          <w:insideH w:val="nil"/>
          <w:insideV w:val="nil"/>
        </w:tcBorders>
        <w:shd w:val="clear" w:color="auto" w:fill="FEDFC6" w:themeFill="accent2" w:themeFillTint="3F"/>
      </w:tcPr>
    </w:tblStylePr>
  </w:style>
  <w:style w:type="table" w:styleId="LightShading-Accent3">
    <w:name w:val="Light Shading Accent 3"/>
    <w:basedOn w:val="TableNormal"/>
    <w:uiPriority w:val="60"/>
    <w:rsid w:val="00FC693F"/>
    <w:pPr>
      <w:spacing w:after="0" w:line="240" w:lineRule="auto"/>
    </w:pPr>
    <w:rPr>
      <w:color w:val="C09815" w:themeColor="accent3" w:themeShade="BF"/>
    </w:rPr>
    <w:tblPr>
      <w:tblStyleRowBandSize w:val="1"/>
      <w:tblStyleColBandSize w:val="1"/>
      <w:tblBorders>
        <w:top w:val="single" w:sz="8" w:space="0" w:color="E9BF35" w:themeColor="accent3"/>
        <w:bottom w:val="single" w:sz="8" w:space="0" w:color="E9BF35" w:themeColor="accent3"/>
      </w:tblBorders>
    </w:tblPr>
    <w:tblStylePr w:type="firstRow">
      <w:pPr>
        <w:spacing w:before="0" w:after="0" w:line="240" w:lineRule="auto"/>
      </w:pPr>
      <w:rPr>
        <w:b/>
        <w:bCs/>
      </w:rPr>
      <w:tblPr/>
      <w:tcPr>
        <w:tcBorders>
          <w:top w:val="single" w:sz="8" w:space="0" w:color="E9BF35" w:themeColor="accent3"/>
          <w:left w:val="nil"/>
          <w:bottom w:val="single" w:sz="8" w:space="0" w:color="E9BF35" w:themeColor="accent3"/>
          <w:right w:val="nil"/>
          <w:insideH w:val="nil"/>
          <w:insideV w:val="nil"/>
        </w:tcBorders>
      </w:tcPr>
    </w:tblStylePr>
    <w:tblStylePr w:type="lastRow">
      <w:pPr>
        <w:spacing w:before="0" w:after="0" w:line="240" w:lineRule="auto"/>
      </w:pPr>
      <w:rPr>
        <w:b/>
        <w:bCs/>
      </w:rPr>
      <w:tblPr/>
      <w:tcPr>
        <w:tcBorders>
          <w:top w:val="single" w:sz="8" w:space="0" w:color="E9BF35" w:themeColor="accent3"/>
          <w:left w:val="nil"/>
          <w:bottom w:val="single" w:sz="8" w:space="0" w:color="E9B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FCC" w:themeFill="accent3" w:themeFillTint="3F"/>
      </w:tcPr>
    </w:tblStylePr>
    <w:tblStylePr w:type="band1Horz">
      <w:tblPr/>
      <w:tcPr>
        <w:tcBorders>
          <w:left w:val="nil"/>
          <w:right w:val="nil"/>
          <w:insideH w:val="nil"/>
          <w:insideV w:val="nil"/>
        </w:tcBorders>
        <w:shd w:val="clear" w:color="auto" w:fill="F9EFCC" w:themeFill="accent3" w:themeFillTint="3F"/>
      </w:tcPr>
    </w:tblStylePr>
  </w:style>
  <w:style w:type="table" w:styleId="LightShading-Accent4">
    <w:name w:val="Light Shading Accent 4"/>
    <w:basedOn w:val="TableNormal"/>
    <w:uiPriority w:val="60"/>
    <w:rsid w:val="00FC693F"/>
    <w:pPr>
      <w:spacing w:after="0" w:line="240" w:lineRule="auto"/>
    </w:pPr>
    <w:rPr>
      <w:color w:val="608B31" w:themeColor="accent4" w:themeShade="BF"/>
    </w:rPr>
    <w:tblPr>
      <w:tblStyleRowBandSize w:val="1"/>
      <w:tblStyleColBandSize w:val="1"/>
      <w:tblBorders>
        <w:top w:val="single" w:sz="8" w:space="0" w:color="81BB42" w:themeColor="accent4"/>
        <w:bottom w:val="single" w:sz="8" w:space="0" w:color="81BB42" w:themeColor="accent4"/>
      </w:tblBorders>
    </w:tblPr>
    <w:tblStylePr w:type="firstRow">
      <w:pPr>
        <w:spacing w:before="0" w:after="0" w:line="240" w:lineRule="auto"/>
      </w:pPr>
      <w:rPr>
        <w:b/>
        <w:bCs/>
      </w:rPr>
      <w:tblPr/>
      <w:tcPr>
        <w:tcBorders>
          <w:top w:val="single" w:sz="8" w:space="0" w:color="81BB42" w:themeColor="accent4"/>
          <w:left w:val="nil"/>
          <w:bottom w:val="single" w:sz="8" w:space="0" w:color="81BB42" w:themeColor="accent4"/>
          <w:right w:val="nil"/>
          <w:insideH w:val="nil"/>
          <w:insideV w:val="nil"/>
        </w:tcBorders>
      </w:tcPr>
    </w:tblStylePr>
    <w:tblStylePr w:type="lastRow">
      <w:pPr>
        <w:spacing w:before="0" w:after="0" w:line="240" w:lineRule="auto"/>
      </w:pPr>
      <w:rPr>
        <w:b/>
        <w:bCs/>
      </w:rPr>
      <w:tblPr/>
      <w:tcPr>
        <w:tcBorders>
          <w:top w:val="single" w:sz="8" w:space="0" w:color="81BB42" w:themeColor="accent4"/>
          <w:left w:val="nil"/>
          <w:bottom w:val="single" w:sz="8" w:space="0" w:color="81BB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ECF" w:themeFill="accent4" w:themeFillTint="3F"/>
      </w:tcPr>
    </w:tblStylePr>
    <w:tblStylePr w:type="band1Horz">
      <w:tblPr/>
      <w:tcPr>
        <w:tcBorders>
          <w:left w:val="nil"/>
          <w:right w:val="nil"/>
          <w:insideH w:val="nil"/>
          <w:insideV w:val="nil"/>
        </w:tcBorders>
        <w:shd w:val="clear" w:color="auto" w:fill="DFEECF" w:themeFill="accent4" w:themeFillTint="3F"/>
      </w:tcPr>
    </w:tblStylePr>
  </w:style>
  <w:style w:type="table" w:styleId="LightShading-Accent5">
    <w:name w:val="Light Shading Accent 5"/>
    <w:basedOn w:val="TableNormal"/>
    <w:uiPriority w:val="60"/>
    <w:rsid w:val="00FC693F"/>
    <w:pPr>
      <w:spacing w:after="0" w:line="240" w:lineRule="auto"/>
    </w:pPr>
    <w:rPr>
      <w:color w:val="25947E" w:themeColor="accent5" w:themeShade="BF"/>
    </w:rPr>
    <w:tblPr>
      <w:tblStyleRowBandSize w:val="1"/>
      <w:tblStyleColBandSize w:val="1"/>
      <w:tblBorders>
        <w:top w:val="single" w:sz="8" w:space="0" w:color="32C7A9" w:themeColor="accent5"/>
        <w:bottom w:val="single" w:sz="8" w:space="0" w:color="32C7A9" w:themeColor="accent5"/>
      </w:tblBorders>
    </w:tblPr>
    <w:tblStylePr w:type="firstRow">
      <w:pPr>
        <w:spacing w:before="0" w:after="0" w:line="240" w:lineRule="auto"/>
      </w:pPr>
      <w:rPr>
        <w:b/>
        <w:bCs/>
      </w:rPr>
      <w:tblPr/>
      <w:tcPr>
        <w:tcBorders>
          <w:top w:val="single" w:sz="8" w:space="0" w:color="32C7A9" w:themeColor="accent5"/>
          <w:left w:val="nil"/>
          <w:bottom w:val="single" w:sz="8" w:space="0" w:color="32C7A9" w:themeColor="accent5"/>
          <w:right w:val="nil"/>
          <w:insideH w:val="nil"/>
          <w:insideV w:val="nil"/>
        </w:tcBorders>
      </w:tcPr>
    </w:tblStylePr>
    <w:tblStylePr w:type="lastRow">
      <w:pPr>
        <w:spacing w:before="0" w:after="0" w:line="240" w:lineRule="auto"/>
      </w:pPr>
      <w:rPr>
        <w:b/>
        <w:bCs/>
      </w:rPr>
      <w:tblPr/>
      <w:tcPr>
        <w:tcBorders>
          <w:top w:val="single" w:sz="8" w:space="0" w:color="32C7A9" w:themeColor="accent5"/>
          <w:left w:val="nil"/>
          <w:bottom w:val="single" w:sz="8" w:space="0" w:color="32C7A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F2EA" w:themeFill="accent5" w:themeFillTint="3F"/>
      </w:tcPr>
    </w:tblStylePr>
    <w:tblStylePr w:type="band1Horz">
      <w:tblPr/>
      <w:tcPr>
        <w:tcBorders>
          <w:left w:val="nil"/>
          <w:right w:val="nil"/>
          <w:insideH w:val="nil"/>
          <w:insideV w:val="nil"/>
        </w:tcBorders>
        <w:shd w:val="clear" w:color="auto" w:fill="CBF2EA" w:themeFill="accent5" w:themeFillTint="3F"/>
      </w:tcPr>
    </w:tblStylePr>
  </w:style>
  <w:style w:type="table" w:styleId="LightShading-Accent6">
    <w:name w:val="Light Shading Accent 6"/>
    <w:basedOn w:val="TableNormal"/>
    <w:uiPriority w:val="60"/>
    <w:rsid w:val="00FC693F"/>
    <w:pPr>
      <w:spacing w:after="0" w:line="240" w:lineRule="auto"/>
    </w:pPr>
    <w:rPr>
      <w:color w:val="2375B8" w:themeColor="accent6" w:themeShade="BF"/>
    </w:rPr>
    <w:tblPr>
      <w:tblStyleRowBandSize w:val="1"/>
      <w:tblStyleColBandSize w:val="1"/>
      <w:tblBorders>
        <w:top w:val="single" w:sz="8" w:space="0" w:color="4A9BDC" w:themeColor="accent6"/>
        <w:bottom w:val="single" w:sz="8" w:space="0" w:color="4A9BDC" w:themeColor="accent6"/>
      </w:tblBorders>
    </w:tblPr>
    <w:tblStylePr w:type="firstRow">
      <w:pPr>
        <w:spacing w:before="0" w:after="0" w:line="240" w:lineRule="auto"/>
      </w:pPr>
      <w:rPr>
        <w:b/>
        <w:bCs/>
      </w:rPr>
      <w:tblPr/>
      <w:tcPr>
        <w:tcBorders>
          <w:top w:val="single" w:sz="8" w:space="0" w:color="4A9BDC" w:themeColor="accent6"/>
          <w:left w:val="nil"/>
          <w:bottom w:val="single" w:sz="8" w:space="0" w:color="4A9BDC" w:themeColor="accent6"/>
          <w:right w:val="nil"/>
          <w:insideH w:val="nil"/>
          <w:insideV w:val="nil"/>
        </w:tcBorders>
      </w:tcPr>
    </w:tblStylePr>
    <w:tblStylePr w:type="lastRow">
      <w:pPr>
        <w:spacing w:before="0" w:after="0" w:line="240" w:lineRule="auto"/>
      </w:pPr>
      <w:rPr>
        <w:b/>
        <w:bCs/>
      </w:rPr>
      <w:tblPr/>
      <w:tcPr>
        <w:tcBorders>
          <w:top w:val="single" w:sz="8" w:space="0" w:color="4A9BDC" w:themeColor="accent6"/>
          <w:left w:val="nil"/>
          <w:bottom w:val="single" w:sz="8" w:space="0" w:color="4A9BD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6F6" w:themeFill="accent6" w:themeFillTint="3F"/>
      </w:tcPr>
    </w:tblStylePr>
    <w:tblStylePr w:type="band1Horz">
      <w:tblPr/>
      <w:tcPr>
        <w:tcBorders>
          <w:left w:val="nil"/>
          <w:right w:val="nil"/>
          <w:insideH w:val="nil"/>
          <w:insideV w:val="nil"/>
        </w:tcBorders>
        <w:shd w:val="clear" w:color="auto" w:fill="D2E6F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F2E28" w:themeColor="accent1"/>
        <w:left w:val="single" w:sz="8" w:space="0" w:color="DF2E28" w:themeColor="accent1"/>
        <w:bottom w:val="single" w:sz="8" w:space="0" w:color="DF2E28" w:themeColor="accent1"/>
        <w:right w:val="single" w:sz="8" w:space="0" w:color="DF2E28" w:themeColor="accent1"/>
      </w:tblBorders>
    </w:tblPr>
    <w:tblStylePr w:type="firstRow">
      <w:pPr>
        <w:spacing w:before="0" w:after="0" w:line="240" w:lineRule="auto"/>
      </w:pPr>
      <w:rPr>
        <w:b/>
        <w:bCs/>
        <w:color w:val="FFFFFF" w:themeColor="background1"/>
      </w:rPr>
      <w:tblPr/>
      <w:tcPr>
        <w:shd w:val="clear" w:color="auto" w:fill="DF2E28" w:themeFill="accent1"/>
      </w:tcPr>
    </w:tblStylePr>
    <w:tblStylePr w:type="lastRow">
      <w:pPr>
        <w:spacing w:before="0" w:after="0" w:line="240" w:lineRule="auto"/>
      </w:pPr>
      <w:rPr>
        <w:b/>
        <w:bCs/>
      </w:rPr>
      <w:tblPr/>
      <w:tcPr>
        <w:tcBorders>
          <w:top w:val="double" w:sz="6" w:space="0" w:color="DF2E28" w:themeColor="accent1"/>
          <w:left w:val="single" w:sz="8" w:space="0" w:color="DF2E28" w:themeColor="accent1"/>
          <w:bottom w:val="single" w:sz="8" w:space="0" w:color="DF2E28" w:themeColor="accent1"/>
          <w:right w:val="single" w:sz="8" w:space="0" w:color="DF2E28" w:themeColor="accent1"/>
        </w:tcBorders>
      </w:tcPr>
    </w:tblStylePr>
    <w:tblStylePr w:type="firstCol">
      <w:rPr>
        <w:b/>
        <w:bCs/>
      </w:rPr>
    </w:tblStylePr>
    <w:tblStylePr w:type="lastCol">
      <w:rPr>
        <w:b/>
        <w:bCs/>
      </w:rPr>
    </w:tblStylePr>
    <w:tblStylePr w:type="band1Vert">
      <w:tblPr/>
      <w:tcPr>
        <w:tcBorders>
          <w:top w:val="single" w:sz="8" w:space="0" w:color="DF2E28" w:themeColor="accent1"/>
          <w:left w:val="single" w:sz="8" w:space="0" w:color="DF2E28" w:themeColor="accent1"/>
          <w:bottom w:val="single" w:sz="8" w:space="0" w:color="DF2E28" w:themeColor="accent1"/>
          <w:right w:val="single" w:sz="8" w:space="0" w:color="DF2E28" w:themeColor="accent1"/>
        </w:tcBorders>
      </w:tcPr>
    </w:tblStylePr>
    <w:tblStylePr w:type="band1Horz">
      <w:tblPr/>
      <w:tcPr>
        <w:tcBorders>
          <w:top w:val="single" w:sz="8" w:space="0" w:color="DF2E28" w:themeColor="accent1"/>
          <w:left w:val="single" w:sz="8" w:space="0" w:color="DF2E28" w:themeColor="accent1"/>
          <w:bottom w:val="single" w:sz="8" w:space="0" w:color="DF2E28" w:themeColor="accent1"/>
          <w:right w:val="single" w:sz="8" w:space="0" w:color="DF2E28"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E801A" w:themeColor="accent2"/>
        <w:left w:val="single" w:sz="8" w:space="0" w:color="FE801A" w:themeColor="accent2"/>
        <w:bottom w:val="single" w:sz="8" w:space="0" w:color="FE801A" w:themeColor="accent2"/>
        <w:right w:val="single" w:sz="8" w:space="0" w:color="FE801A" w:themeColor="accent2"/>
      </w:tblBorders>
    </w:tblPr>
    <w:tblStylePr w:type="firstRow">
      <w:pPr>
        <w:spacing w:before="0" w:after="0" w:line="240" w:lineRule="auto"/>
      </w:pPr>
      <w:rPr>
        <w:b/>
        <w:bCs/>
        <w:color w:val="FFFFFF" w:themeColor="background1"/>
      </w:rPr>
      <w:tblPr/>
      <w:tcPr>
        <w:shd w:val="clear" w:color="auto" w:fill="FE801A" w:themeFill="accent2"/>
      </w:tcPr>
    </w:tblStylePr>
    <w:tblStylePr w:type="lastRow">
      <w:pPr>
        <w:spacing w:before="0" w:after="0" w:line="240" w:lineRule="auto"/>
      </w:pPr>
      <w:rPr>
        <w:b/>
        <w:bCs/>
      </w:rPr>
      <w:tblPr/>
      <w:tcPr>
        <w:tcBorders>
          <w:top w:val="double" w:sz="6" w:space="0" w:color="FE801A" w:themeColor="accent2"/>
          <w:left w:val="single" w:sz="8" w:space="0" w:color="FE801A" w:themeColor="accent2"/>
          <w:bottom w:val="single" w:sz="8" w:space="0" w:color="FE801A" w:themeColor="accent2"/>
          <w:right w:val="single" w:sz="8" w:space="0" w:color="FE801A" w:themeColor="accent2"/>
        </w:tcBorders>
      </w:tcPr>
    </w:tblStylePr>
    <w:tblStylePr w:type="firstCol">
      <w:rPr>
        <w:b/>
        <w:bCs/>
      </w:rPr>
    </w:tblStylePr>
    <w:tblStylePr w:type="lastCol">
      <w:rPr>
        <w:b/>
        <w:bCs/>
      </w:rPr>
    </w:tblStylePr>
    <w:tblStylePr w:type="band1Vert">
      <w:tblPr/>
      <w:tcPr>
        <w:tcBorders>
          <w:top w:val="single" w:sz="8" w:space="0" w:color="FE801A" w:themeColor="accent2"/>
          <w:left w:val="single" w:sz="8" w:space="0" w:color="FE801A" w:themeColor="accent2"/>
          <w:bottom w:val="single" w:sz="8" w:space="0" w:color="FE801A" w:themeColor="accent2"/>
          <w:right w:val="single" w:sz="8" w:space="0" w:color="FE801A" w:themeColor="accent2"/>
        </w:tcBorders>
      </w:tcPr>
    </w:tblStylePr>
    <w:tblStylePr w:type="band1Horz">
      <w:tblPr/>
      <w:tcPr>
        <w:tcBorders>
          <w:top w:val="single" w:sz="8" w:space="0" w:color="FE801A" w:themeColor="accent2"/>
          <w:left w:val="single" w:sz="8" w:space="0" w:color="FE801A" w:themeColor="accent2"/>
          <w:bottom w:val="single" w:sz="8" w:space="0" w:color="FE801A" w:themeColor="accent2"/>
          <w:right w:val="single" w:sz="8" w:space="0" w:color="FE801A"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9BF35" w:themeColor="accent3"/>
        <w:left w:val="single" w:sz="8" w:space="0" w:color="E9BF35" w:themeColor="accent3"/>
        <w:bottom w:val="single" w:sz="8" w:space="0" w:color="E9BF35" w:themeColor="accent3"/>
        <w:right w:val="single" w:sz="8" w:space="0" w:color="E9BF35" w:themeColor="accent3"/>
      </w:tblBorders>
    </w:tblPr>
    <w:tblStylePr w:type="firstRow">
      <w:pPr>
        <w:spacing w:before="0" w:after="0" w:line="240" w:lineRule="auto"/>
      </w:pPr>
      <w:rPr>
        <w:b/>
        <w:bCs/>
        <w:color w:val="FFFFFF" w:themeColor="background1"/>
      </w:rPr>
      <w:tblPr/>
      <w:tcPr>
        <w:shd w:val="clear" w:color="auto" w:fill="E9BF35" w:themeFill="accent3"/>
      </w:tcPr>
    </w:tblStylePr>
    <w:tblStylePr w:type="lastRow">
      <w:pPr>
        <w:spacing w:before="0" w:after="0" w:line="240" w:lineRule="auto"/>
      </w:pPr>
      <w:rPr>
        <w:b/>
        <w:bCs/>
      </w:rPr>
      <w:tblPr/>
      <w:tcPr>
        <w:tcBorders>
          <w:top w:val="double" w:sz="6" w:space="0" w:color="E9BF35" w:themeColor="accent3"/>
          <w:left w:val="single" w:sz="8" w:space="0" w:color="E9BF35" w:themeColor="accent3"/>
          <w:bottom w:val="single" w:sz="8" w:space="0" w:color="E9BF35" w:themeColor="accent3"/>
          <w:right w:val="single" w:sz="8" w:space="0" w:color="E9BF35" w:themeColor="accent3"/>
        </w:tcBorders>
      </w:tcPr>
    </w:tblStylePr>
    <w:tblStylePr w:type="firstCol">
      <w:rPr>
        <w:b/>
        <w:bCs/>
      </w:rPr>
    </w:tblStylePr>
    <w:tblStylePr w:type="lastCol">
      <w:rPr>
        <w:b/>
        <w:bCs/>
      </w:rPr>
    </w:tblStylePr>
    <w:tblStylePr w:type="band1Vert">
      <w:tblPr/>
      <w:tcPr>
        <w:tcBorders>
          <w:top w:val="single" w:sz="8" w:space="0" w:color="E9BF35" w:themeColor="accent3"/>
          <w:left w:val="single" w:sz="8" w:space="0" w:color="E9BF35" w:themeColor="accent3"/>
          <w:bottom w:val="single" w:sz="8" w:space="0" w:color="E9BF35" w:themeColor="accent3"/>
          <w:right w:val="single" w:sz="8" w:space="0" w:color="E9BF35" w:themeColor="accent3"/>
        </w:tcBorders>
      </w:tcPr>
    </w:tblStylePr>
    <w:tblStylePr w:type="band1Horz">
      <w:tblPr/>
      <w:tcPr>
        <w:tcBorders>
          <w:top w:val="single" w:sz="8" w:space="0" w:color="E9BF35" w:themeColor="accent3"/>
          <w:left w:val="single" w:sz="8" w:space="0" w:color="E9BF35" w:themeColor="accent3"/>
          <w:bottom w:val="single" w:sz="8" w:space="0" w:color="E9BF35" w:themeColor="accent3"/>
          <w:right w:val="single" w:sz="8" w:space="0" w:color="E9BF3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1BB42" w:themeColor="accent4"/>
        <w:left w:val="single" w:sz="8" w:space="0" w:color="81BB42" w:themeColor="accent4"/>
        <w:bottom w:val="single" w:sz="8" w:space="0" w:color="81BB42" w:themeColor="accent4"/>
        <w:right w:val="single" w:sz="8" w:space="0" w:color="81BB42" w:themeColor="accent4"/>
      </w:tblBorders>
    </w:tblPr>
    <w:tblStylePr w:type="firstRow">
      <w:pPr>
        <w:spacing w:before="0" w:after="0" w:line="240" w:lineRule="auto"/>
      </w:pPr>
      <w:rPr>
        <w:b/>
        <w:bCs/>
        <w:color w:val="FFFFFF" w:themeColor="background1"/>
      </w:rPr>
      <w:tblPr/>
      <w:tcPr>
        <w:shd w:val="clear" w:color="auto" w:fill="81BB42" w:themeFill="accent4"/>
      </w:tcPr>
    </w:tblStylePr>
    <w:tblStylePr w:type="lastRow">
      <w:pPr>
        <w:spacing w:before="0" w:after="0" w:line="240" w:lineRule="auto"/>
      </w:pPr>
      <w:rPr>
        <w:b/>
        <w:bCs/>
      </w:rPr>
      <w:tblPr/>
      <w:tcPr>
        <w:tcBorders>
          <w:top w:val="double" w:sz="6" w:space="0" w:color="81BB42" w:themeColor="accent4"/>
          <w:left w:val="single" w:sz="8" w:space="0" w:color="81BB42" w:themeColor="accent4"/>
          <w:bottom w:val="single" w:sz="8" w:space="0" w:color="81BB42" w:themeColor="accent4"/>
          <w:right w:val="single" w:sz="8" w:space="0" w:color="81BB42" w:themeColor="accent4"/>
        </w:tcBorders>
      </w:tcPr>
    </w:tblStylePr>
    <w:tblStylePr w:type="firstCol">
      <w:rPr>
        <w:b/>
        <w:bCs/>
      </w:rPr>
    </w:tblStylePr>
    <w:tblStylePr w:type="lastCol">
      <w:rPr>
        <w:b/>
        <w:bCs/>
      </w:rPr>
    </w:tblStylePr>
    <w:tblStylePr w:type="band1Vert">
      <w:tblPr/>
      <w:tcPr>
        <w:tcBorders>
          <w:top w:val="single" w:sz="8" w:space="0" w:color="81BB42" w:themeColor="accent4"/>
          <w:left w:val="single" w:sz="8" w:space="0" w:color="81BB42" w:themeColor="accent4"/>
          <w:bottom w:val="single" w:sz="8" w:space="0" w:color="81BB42" w:themeColor="accent4"/>
          <w:right w:val="single" w:sz="8" w:space="0" w:color="81BB42" w:themeColor="accent4"/>
        </w:tcBorders>
      </w:tcPr>
    </w:tblStylePr>
    <w:tblStylePr w:type="band1Horz">
      <w:tblPr/>
      <w:tcPr>
        <w:tcBorders>
          <w:top w:val="single" w:sz="8" w:space="0" w:color="81BB42" w:themeColor="accent4"/>
          <w:left w:val="single" w:sz="8" w:space="0" w:color="81BB42" w:themeColor="accent4"/>
          <w:bottom w:val="single" w:sz="8" w:space="0" w:color="81BB42" w:themeColor="accent4"/>
          <w:right w:val="single" w:sz="8" w:space="0" w:color="81BB4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2C7A9" w:themeColor="accent5"/>
        <w:left w:val="single" w:sz="8" w:space="0" w:color="32C7A9" w:themeColor="accent5"/>
        <w:bottom w:val="single" w:sz="8" w:space="0" w:color="32C7A9" w:themeColor="accent5"/>
        <w:right w:val="single" w:sz="8" w:space="0" w:color="32C7A9" w:themeColor="accent5"/>
      </w:tblBorders>
    </w:tblPr>
    <w:tblStylePr w:type="firstRow">
      <w:pPr>
        <w:spacing w:before="0" w:after="0" w:line="240" w:lineRule="auto"/>
      </w:pPr>
      <w:rPr>
        <w:b/>
        <w:bCs/>
        <w:color w:val="FFFFFF" w:themeColor="background1"/>
      </w:rPr>
      <w:tblPr/>
      <w:tcPr>
        <w:shd w:val="clear" w:color="auto" w:fill="32C7A9" w:themeFill="accent5"/>
      </w:tcPr>
    </w:tblStylePr>
    <w:tblStylePr w:type="lastRow">
      <w:pPr>
        <w:spacing w:before="0" w:after="0" w:line="240" w:lineRule="auto"/>
      </w:pPr>
      <w:rPr>
        <w:b/>
        <w:bCs/>
      </w:rPr>
      <w:tblPr/>
      <w:tcPr>
        <w:tcBorders>
          <w:top w:val="double" w:sz="6" w:space="0" w:color="32C7A9" w:themeColor="accent5"/>
          <w:left w:val="single" w:sz="8" w:space="0" w:color="32C7A9" w:themeColor="accent5"/>
          <w:bottom w:val="single" w:sz="8" w:space="0" w:color="32C7A9" w:themeColor="accent5"/>
          <w:right w:val="single" w:sz="8" w:space="0" w:color="32C7A9" w:themeColor="accent5"/>
        </w:tcBorders>
      </w:tcPr>
    </w:tblStylePr>
    <w:tblStylePr w:type="firstCol">
      <w:rPr>
        <w:b/>
        <w:bCs/>
      </w:rPr>
    </w:tblStylePr>
    <w:tblStylePr w:type="lastCol">
      <w:rPr>
        <w:b/>
        <w:bCs/>
      </w:rPr>
    </w:tblStylePr>
    <w:tblStylePr w:type="band1Vert">
      <w:tblPr/>
      <w:tcPr>
        <w:tcBorders>
          <w:top w:val="single" w:sz="8" w:space="0" w:color="32C7A9" w:themeColor="accent5"/>
          <w:left w:val="single" w:sz="8" w:space="0" w:color="32C7A9" w:themeColor="accent5"/>
          <w:bottom w:val="single" w:sz="8" w:space="0" w:color="32C7A9" w:themeColor="accent5"/>
          <w:right w:val="single" w:sz="8" w:space="0" w:color="32C7A9" w:themeColor="accent5"/>
        </w:tcBorders>
      </w:tcPr>
    </w:tblStylePr>
    <w:tblStylePr w:type="band1Horz">
      <w:tblPr/>
      <w:tcPr>
        <w:tcBorders>
          <w:top w:val="single" w:sz="8" w:space="0" w:color="32C7A9" w:themeColor="accent5"/>
          <w:left w:val="single" w:sz="8" w:space="0" w:color="32C7A9" w:themeColor="accent5"/>
          <w:bottom w:val="single" w:sz="8" w:space="0" w:color="32C7A9" w:themeColor="accent5"/>
          <w:right w:val="single" w:sz="8" w:space="0" w:color="32C7A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A9BDC" w:themeColor="accent6"/>
        <w:left w:val="single" w:sz="8" w:space="0" w:color="4A9BDC" w:themeColor="accent6"/>
        <w:bottom w:val="single" w:sz="8" w:space="0" w:color="4A9BDC" w:themeColor="accent6"/>
        <w:right w:val="single" w:sz="8" w:space="0" w:color="4A9BDC" w:themeColor="accent6"/>
      </w:tblBorders>
    </w:tblPr>
    <w:tblStylePr w:type="firstRow">
      <w:pPr>
        <w:spacing w:before="0" w:after="0" w:line="240" w:lineRule="auto"/>
      </w:pPr>
      <w:rPr>
        <w:b/>
        <w:bCs/>
        <w:color w:val="FFFFFF" w:themeColor="background1"/>
      </w:rPr>
      <w:tblPr/>
      <w:tcPr>
        <w:shd w:val="clear" w:color="auto" w:fill="4A9BDC" w:themeFill="accent6"/>
      </w:tcPr>
    </w:tblStylePr>
    <w:tblStylePr w:type="lastRow">
      <w:pPr>
        <w:spacing w:before="0" w:after="0" w:line="240" w:lineRule="auto"/>
      </w:pPr>
      <w:rPr>
        <w:b/>
        <w:bCs/>
      </w:rPr>
      <w:tblPr/>
      <w:tcPr>
        <w:tcBorders>
          <w:top w:val="double" w:sz="6" w:space="0" w:color="4A9BDC" w:themeColor="accent6"/>
          <w:left w:val="single" w:sz="8" w:space="0" w:color="4A9BDC" w:themeColor="accent6"/>
          <w:bottom w:val="single" w:sz="8" w:space="0" w:color="4A9BDC" w:themeColor="accent6"/>
          <w:right w:val="single" w:sz="8" w:space="0" w:color="4A9BDC" w:themeColor="accent6"/>
        </w:tcBorders>
      </w:tcPr>
    </w:tblStylePr>
    <w:tblStylePr w:type="firstCol">
      <w:rPr>
        <w:b/>
        <w:bCs/>
      </w:rPr>
    </w:tblStylePr>
    <w:tblStylePr w:type="lastCol">
      <w:rPr>
        <w:b/>
        <w:bCs/>
      </w:rPr>
    </w:tblStylePr>
    <w:tblStylePr w:type="band1Vert">
      <w:tblPr/>
      <w:tcPr>
        <w:tcBorders>
          <w:top w:val="single" w:sz="8" w:space="0" w:color="4A9BDC" w:themeColor="accent6"/>
          <w:left w:val="single" w:sz="8" w:space="0" w:color="4A9BDC" w:themeColor="accent6"/>
          <w:bottom w:val="single" w:sz="8" w:space="0" w:color="4A9BDC" w:themeColor="accent6"/>
          <w:right w:val="single" w:sz="8" w:space="0" w:color="4A9BDC" w:themeColor="accent6"/>
        </w:tcBorders>
      </w:tcPr>
    </w:tblStylePr>
    <w:tblStylePr w:type="band1Horz">
      <w:tblPr/>
      <w:tcPr>
        <w:tcBorders>
          <w:top w:val="single" w:sz="8" w:space="0" w:color="4A9BDC" w:themeColor="accent6"/>
          <w:left w:val="single" w:sz="8" w:space="0" w:color="4A9BDC" w:themeColor="accent6"/>
          <w:bottom w:val="single" w:sz="8" w:space="0" w:color="4A9BDC" w:themeColor="accent6"/>
          <w:right w:val="single" w:sz="8" w:space="0" w:color="4A9BDC"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F2E28" w:themeColor="accent1"/>
        <w:left w:val="single" w:sz="8" w:space="0" w:color="DF2E28" w:themeColor="accent1"/>
        <w:bottom w:val="single" w:sz="8" w:space="0" w:color="DF2E28" w:themeColor="accent1"/>
        <w:right w:val="single" w:sz="8" w:space="0" w:color="DF2E28" w:themeColor="accent1"/>
        <w:insideH w:val="single" w:sz="8" w:space="0" w:color="DF2E28" w:themeColor="accent1"/>
        <w:insideV w:val="single" w:sz="8" w:space="0" w:color="DF2E2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2E28" w:themeColor="accent1"/>
          <w:left w:val="single" w:sz="8" w:space="0" w:color="DF2E28" w:themeColor="accent1"/>
          <w:bottom w:val="single" w:sz="18" w:space="0" w:color="DF2E28" w:themeColor="accent1"/>
          <w:right w:val="single" w:sz="8" w:space="0" w:color="DF2E28" w:themeColor="accent1"/>
          <w:insideH w:val="nil"/>
          <w:insideV w:val="single" w:sz="8" w:space="0" w:color="DF2E2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2E28" w:themeColor="accent1"/>
          <w:left w:val="single" w:sz="8" w:space="0" w:color="DF2E28" w:themeColor="accent1"/>
          <w:bottom w:val="single" w:sz="8" w:space="0" w:color="DF2E28" w:themeColor="accent1"/>
          <w:right w:val="single" w:sz="8" w:space="0" w:color="DF2E28" w:themeColor="accent1"/>
          <w:insideH w:val="nil"/>
          <w:insideV w:val="single" w:sz="8" w:space="0" w:color="DF2E2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2E28" w:themeColor="accent1"/>
          <w:left w:val="single" w:sz="8" w:space="0" w:color="DF2E28" w:themeColor="accent1"/>
          <w:bottom w:val="single" w:sz="8" w:space="0" w:color="DF2E28" w:themeColor="accent1"/>
          <w:right w:val="single" w:sz="8" w:space="0" w:color="DF2E28" w:themeColor="accent1"/>
        </w:tcBorders>
      </w:tcPr>
    </w:tblStylePr>
    <w:tblStylePr w:type="band1Vert">
      <w:tblPr/>
      <w:tcPr>
        <w:tcBorders>
          <w:top w:val="single" w:sz="8" w:space="0" w:color="DF2E28" w:themeColor="accent1"/>
          <w:left w:val="single" w:sz="8" w:space="0" w:color="DF2E28" w:themeColor="accent1"/>
          <w:bottom w:val="single" w:sz="8" w:space="0" w:color="DF2E28" w:themeColor="accent1"/>
          <w:right w:val="single" w:sz="8" w:space="0" w:color="DF2E28" w:themeColor="accent1"/>
        </w:tcBorders>
        <w:shd w:val="clear" w:color="auto" w:fill="F7CAC9" w:themeFill="accent1" w:themeFillTint="3F"/>
      </w:tcPr>
    </w:tblStylePr>
    <w:tblStylePr w:type="band1Horz">
      <w:tblPr/>
      <w:tcPr>
        <w:tcBorders>
          <w:top w:val="single" w:sz="8" w:space="0" w:color="DF2E28" w:themeColor="accent1"/>
          <w:left w:val="single" w:sz="8" w:space="0" w:color="DF2E28" w:themeColor="accent1"/>
          <w:bottom w:val="single" w:sz="8" w:space="0" w:color="DF2E28" w:themeColor="accent1"/>
          <w:right w:val="single" w:sz="8" w:space="0" w:color="DF2E28" w:themeColor="accent1"/>
          <w:insideV w:val="single" w:sz="8" w:space="0" w:color="DF2E28" w:themeColor="accent1"/>
        </w:tcBorders>
        <w:shd w:val="clear" w:color="auto" w:fill="F7CAC9" w:themeFill="accent1" w:themeFillTint="3F"/>
      </w:tcPr>
    </w:tblStylePr>
    <w:tblStylePr w:type="band2Horz">
      <w:tblPr/>
      <w:tcPr>
        <w:tcBorders>
          <w:top w:val="single" w:sz="8" w:space="0" w:color="DF2E28" w:themeColor="accent1"/>
          <w:left w:val="single" w:sz="8" w:space="0" w:color="DF2E28" w:themeColor="accent1"/>
          <w:bottom w:val="single" w:sz="8" w:space="0" w:color="DF2E28" w:themeColor="accent1"/>
          <w:right w:val="single" w:sz="8" w:space="0" w:color="DF2E28" w:themeColor="accent1"/>
          <w:insideV w:val="single" w:sz="8" w:space="0" w:color="DF2E28"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E801A" w:themeColor="accent2"/>
        <w:left w:val="single" w:sz="8" w:space="0" w:color="FE801A" w:themeColor="accent2"/>
        <w:bottom w:val="single" w:sz="8" w:space="0" w:color="FE801A" w:themeColor="accent2"/>
        <w:right w:val="single" w:sz="8" w:space="0" w:color="FE801A" w:themeColor="accent2"/>
        <w:insideH w:val="single" w:sz="8" w:space="0" w:color="FE801A" w:themeColor="accent2"/>
        <w:insideV w:val="single" w:sz="8" w:space="0" w:color="FE801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01A" w:themeColor="accent2"/>
          <w:left w:val="single" w:sz="8" w:space="0" w:color="FE801A" w:themeColor="accent2"/>
          <w:bottom w:val="single" w:sz="18" w:space="0" w:color="FE801A" w:themeColor="accent2"/>
          <w:right w:val="single" w:sz="8" w:space="0" w:color="FE801A" w:themeColor="accent2"/>
          <w:insideH w:val="nil"/>
          <w:insideV w:val="single" w:sz="8" w:space="0" w:color="FE801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01A" w:themeColor="accent2"/>
          <w:left w:val="single" w:sz="8" w:space="0" w:color="FE801A" w:themeColor="accent2"/>
          <w:bottom w:val="single" w:sz="8" w:space="0" w:color="FE801A" w:themeColor="accent2"/>
          <w:right w:val="single" w:sz="8" w:space="0" w:color="FE801A" w:themeColor="accent2"/>
          <w:insideH w:val="nil"/>
          <w:insideV w:val="single" w:sz="8" w:space="0" w:color="FE801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01A" w:themeColor="accent2"/>
          <w:left w:val="single" w:sz="8" w:space="0" w:color="FE801A" w:themeColor="accent2"/>
          <w:bottom w:val="single" w:sz="8" w:space="0" w:color="FE801A" w:themeColor="accent2"/>
          <w:right w:val="single" w:sz="8" w:space="0" w:color="FE801A" w:themeColor="accent2"/>
        </w:tcBorders>
      </w:tcPr>
    </w:tblStylePr>
    <w:tblStylePr w:type="band1Vert">
      <w:tblPr/>
      <w:tcPr>
        <w:tcBorders>
          <w:top w:val="single" w:sz="8" w:space="0" w:color="FE801A" w:themeColor="accent2"/>
          <w:left w:val="single" w:sz="8" w:space="0" w:color="FE801A" w:themeColor="accent2"/>
          <w:bottom w:val="single" w:sz="8" w:space="0" w:color="FE801A" w:themeColor="accent2"/>
          <w:right w:val="single" w:sz="8" w:space="0" w:color="FE801A" w:themeColor="accent2"/>
        </w:tcBorders>
        <w:shd w:val="clear" w:color="auto" w:fill="FEDFC6" w:themeFill="accent2" w:themeFillTint="3F"/>
      </w:tcPr>
    </w:tblStylePr>
    <w:tblStylePr w:type="band1Horz">
      <w:tblPr/>
      <w:tcPr>
        <w:tcBorders>
          <w:top w:val="single" w:sz="8" w:space="0" w:color="FE801A" w:themeColor="accent2"/>
          <w:left w:val="single" w:sz="8" w:space="0" w:color="FE801A" w:themeColor="accent2"/>
          <w:bottom w:val="single" w:sz="8" w:space="0" w:color="FE801A" w:themeColor="accent2"/>
          <w:right w:val="single" w:sz="8" w:space="0" w:color="FE801A" w:themeColor="accent2"/>
          <w:insideV w:val="single" w:sz="8" w:space="0" w:color="FE801A" w:themeColor="accent2"/>
        </w:tcBorders>
        <w:shd w:val="clear" w:color="auto" w:fill="FEDFC6" w:themeFill="accent2" w:themeFillTint="3F"/>
      </w:tcPr>
    </w:tblStylePr>
    <w:tblStylePr w:type="band2Horz">
      <w:tblPr/>
      <w:tcPr>
        <w:tcBorders>
          <w:top w:val="single" w:sz="8" w:space="0" w:color="FE801A" w:themeColor="accent2"/>
          <w:left w:val="single" w:sz="8" w:space="0" w:color="FE801A" w:themeColor="accent2"/>
          <w:bottom w:val="single" w:sz="8" w:space="0" w:color="FE801A" w:themeColor="accent2"/>
          <w:right w:val="single" w:sz="8" w:space="0" w:color="FE801A" w:themeColor="accent2"/>
          <w:insideV w:val="single" w:sz="8" w:space="0" w:color="FE801A"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9BF35" w:themeColor="accent3"/>
        <w:left w:val="single" w:sz="8" w:space="0" w:color="E9BF35" w:themeColor="accent3"/>
        <w:bottom w:val="single" w:sz="8" w:space="0" w:color="E9BF35" w:themeColor="accent3"/>
        <w:right w:val="single" w:sz="8" w:space="0" w:color="E9BF35" w:themeColor="accent3"/>
        <w:insideH w:val="single" w:sz="8" w:space="0" w:color="E9BF35" w:themeColor="accent3"/>
        <w:insideV w:val="single" w:sz="8" w:space="0" w:color="E9B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BF35" w:themeColor="accent3"/>
          <w:left w:val="single" w:sz="8" w:space="0" w:color="E9BF35" w:themeColor="accent3"/>
          <w:bottom w:val="single" w:sz="18" w:space="0" w:color="E9BF35" w:themeColor="accent3"/>
          <w:right w:val="single" w:sz="8" w:space="0" w:color="E9BF35" w:themeColor="accent3"/>
          <w:insideH w:val="nil"/>
          <w:insideV w:val="single" w:sz="8" w:space="0" w:color="E9B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BF35" w:themeColor="accent3"/>
          <w:left w:val="single" w:sz="8" w:space="0" w:color="E9BF35" w:themeColor="accent3"/>
          <w:bottom w:val="single" w:sz="8" w:space="0" w:color="E9BF35" w:themeColor="accent3"/>
          <w:right w:val="single" w:sz="8" w:space="0" w:color="E9BF35" w:themeColor="accent3"/>
          <w:insideH w:val="nil"/>
          <w:insideV w:val="single" w:sz="8" w:space="0" w:color="E9B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BF35" w:themeColor="accent3"/>
          <w:left w:val="single" w:sz="8" w:space="0" w:color="E9BF35" w:themeColor="accent3"/>
          <w:bottom w:val="single" w:sz="8" w:space="0" w:color="E9BF35" w:themeColor="accent3"/>
          <w:right w:val="single" w:sz="8" w:space="0" w:color="E9BF35" w:themeColor="accent3"/>
        </w:tcBorders>
      </w:tcPr>
    </w:tblStylePr>
    <w:tblStylePr w:type="band1Vert">
      <w:tblPr/>
      <w:tcPr>
        <w:tcBorders>
          <w:top w:val="single" w:sz="8" w:space="0" w:color="E9BF35" w:themeColor="accent3"/>
          <w:left w:val="single" w:sz="8" w:space="0" w:color="E9BF35" w:themeColor="accent3"/>
          <w:bottom w:val="single" w:sz="8" w:space="0" w:color="E9BF35" w:themeColor="accent3"/>
          <w:right w:val="single" w:sz="8" w:space="0" w:color="E9BF35" w:themeColor="accent3"/>
        </w:tcBorders>
        <w:shd w:val="clear" w:color="auto" w:fill="F9EFCC" w:themeFill="accent3" w:themeFillTint="3F"/>
      </w:tcPr>
    </w:tblStylePr>
    <w:tblStylePr w:type="band1Horz">
      <w:tblPr/>
      <w:tcPr>
        <w:tcBorders>
          <w:top w:val="single" w:sz="8" w:space="0" w:color="E9BF35" w:themeColor="accent3"/>
          <w:left w:val="single" w:sz="8" w:space="0" w:color="E9BF35" w:themeColor="accent3"/>
          <w:bottom w:val="single" w:sz="8" w:space="0" w:color="E9BF35" w:themeColor="accent3"/>
          <w:right w:val="single" w:sz="8" w:space="0" w:color="E9BF35" w:themeColor="accent3"/>
          <w:insideV w:val="single" w:sz="8" w:space="0" w:color="E9BF35" w:themeColor="accent3"/>
        </w:tcBorders>
        <w:shd w:val="clear" w:color="auto" w:fill="F9EFCC" w:themeFill="accent3" w:themeFillTint="3F"/>
      </w:tcPr>
    </w:tblStylePr>
    <w:tblStylePr w:type="band2Horz">
      <w:tblPr/>
      <w:tcPr>
        <w:tcBorders>
          <w:top w:val="single" w:sz="8" w:space="0" w:color="E9BF35" w:themeColor="accent3"/>
          <w:left w:val="single" w:sz="8" w:space="0" w:color="E9BF35" w:themeColor="accent3"/>
          <w:bottom w:val="single" w:sz="8" w:space="0" w:color="E9BF35" w:themeColor="accent3"/>
          <w:right w:val="single" w:sz="8" w:space="0" w:color="E9BF35" w:themeColor="accent3"/>
          <w:insideV w:val="single" w:sz="8" w:space="0" w:color="E9BF3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1BB42" w:themeColor="accent4"/>
        <w:left w:val="single" w:sz="8" w:space="0" w:color="81BB42" w:themeColor="accent4"/>
        <w:bottom w:val="single" w:sz="8" w:space="0" w:color="81BB42" w:themeColor="accent4"/>
        <w:right w:val="single" w:sz="8" w:space="0" w:color="81BB42" w:themeColor="accent4"/>
        <w:insideH w:val="single" w:sz="8" w:space="0" w:color="81BB42" w:themeColor="accent4"/>
        <w:insideV w:val="single" w:sz="8" w:space="0" w:color="81BB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1BB42" w:themeColor="accent4"/>
          <w:left w:val="single" w:sz="8" w:space="0" w:color="81BB42" w:themeColor="accent4"/>
          <w:bottom w:val="single" w:sz="18" w:space="0" w:color="81BB42" w:themeColor="accent4"/>
          <w:right w:val="single" w:sz="8" w:space="0" w:color="81BB42" w:themeColor="accent4"/>
          <w:insideH w:val="nil"/>
          <w:insideV w:val="single" w:sz="8" w:space="0" w:color="81BB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1BB42" w:themeColor="accent4"/>
          <w:left w:val="single" w:sz="8" w:space="0" w:color="81BB42" w:themeColor="accent4"/>
          <w:bottom w:val="single" w:sz="8" w:space="0" w:color="81BB42" w:themeColor="accent4"/>
          <w:right w:val="single" w:sz="8" w:space="0" w:color="81BB42" w:themeColor="accent4"/>
          <w:insideH w:val="nil"/>
          <w:insideV w:val="single" w:sz="8" w:space="0" w:color="81BB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1BB42" w:themeColor="accent4"/>
          <w:left w:val="single" w:sz="8" w:space="0" w:color="81BB42" w:themeColor="accent4"/>
          <w:bottom w:val="single" w:sz="8" w:space="0" w:color="81BB42" w:themeColor="accent4"/>
          <w:right w:val="single" w:sz="8" w:space="0" w:color="81BB42" w:themeColor="accent4"/>
        </w:tcBorders>
      </w:tcPr>
    </w:tblStylePr>
    <w:tblStylePr w:type="band1Vert">
      <w:tblPr/>
      <w:tcPr>
        <w:tcBorders>
          <w:top w:val="single" w:sz="8" w:space="0" w:color="81BB42" w:themeColor="accent4"/>
          <w:left w:val="single" w:sz="8" w:space="0" w:color="81BB42" w:themeColor="accent4"/>
          <w:bottom w:val="single" w:sz="8" w:space="0" w:color="81BB42" w:themeColor="accent4"/>
          <w:right w:val="single" w:sz="8" w:space="0" w:color="81BB42" w:themeColor="accent4"/>
        </w:tcBorders>
        <w:shd w:val="clear" w:color="auto" w:fill="DFEECF" w:themeFill="accent4" w:themeFillTint="3F"/>
      </w:tcPr>
    </w:tblStylePr>
    <w:tblStylePr w:type="band1Horz">
      <w:tblPr/>
      <w:tcPr>
        <w:tcBorders>
          <w:top w:val="single" w:sz="8" w:space="0" w:color="81BB42" w:themeColor="accent4"/>
          <w:left w:val="single" w:sz="8" w:space="0" w:color="81BB42" w:themeColor="accent4"/>
          <w:bottom w:val="single" w:sz="8" w:space="0" w:color="81BB42" w:themeColor="accent4"/>
          <w:right w:val="single" w:sz="8" w:space="0" w:color="81BB42" w:themeColor="accent4"/>
          <w:insideV w:val="single" w:sz="8" w:space="0" w:color="81BB42" w:themeColor="accent4"/>
        </w:tcBorders>
        <w:shd w:val="clear" w:color="auto" w:fill="DFEECF" w:themeFill="accent4" w:themeFillTint="3F"/>
      </w:tcPr>
    </w:tblStylePr>
    <w:tblStylePr w:type="band2Horz">
      <w:tblPr/>
      <w:tcPr>
        <w:tcBorders>
          <w:top w:val="single" w:sz="8" w:space="0" w:color="81BB42" w:themeColor="accent4"/>
          <w:left w:val="single" w:sz="8" w:space="0" w:color="81BB42" w:themeColor="accent4"/>
          <w:bottom w:val="single" w:sz="8" w:space="0" w:color="81BB42" w:themeColor="accent4"/>
          <w:right w:val="single" w:sz="8" w:space="0" w:color="81BB42" w:themeColor="accent4"/>
          <w:insideV w:val="single" w:sz="8" w:space="0" w:color="81BB4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2C7A9" w:themeColor="accent5"/>
        <w:left w:val="single" w:sz="8" w:space="0" w:color="32C7A9" w:themeColor="accent5"/>
        <w:bottom w:val="single" w:sz="8" w:space="0" w:color="32C7A9" w:themeColor="accent5"/>
        <w:right w:val="single" w:sz="8" w:space="0" w:color="32C7A9" w:themeColor="accent5"/>
        <w:insideH w:val="single" w:sz="8" w:space="0" w:color="32C7A9" w:themeColor="accent5"/>
        <w:insideV w:val="single" w:sz="8" w:space="0" w:color="32C7A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2C7A9" w:themeColor="accent5"/>
          <w:left w:val="single" w:sz="8" w:space="0" w:color="32C7A9" w:themeColor="accent5"/>
          <w:bottom w:val="single" w:sz="18" w:space="0" w:color="32C7A9" w:themeColor="accent5"/>
          <w:right w:val="single" w:sz="8" w:space="0" w:color="32C7A9" w:themeColor="accent5"/>
          <w:insideH w:val="nil"/>
          <w:insideV w:val="single" w:sz="8" w:space="0" w:color="32C7A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2C7A9" w:themeColor="accent5"/>
          <w:left w:val="single" w:sz="8" w:space="0" w:color="32C7A9" w:themeColor="accent5"/>
          <w:bottom w:val="single" w:sz="8" w:space="0" w:color="32C7A9" w:themeColor="accent5"/>
          <w:right w:val="single" w:sz="8" w:space="0" w:color="32C7A9" w:themeColor="accent5"/>
          <w:insideH w:val="nil"/>
          <w:insideV w:val="single" w:sz="8" w:space="0" w:color="32C7A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2C7A9" w:themeColor="accent5"/>
          <w:left w:val="single" w:sz="8" w:space="0" w:color="32C7A9" w:themeColor="accent5"/>
          <w:bottom w:val="single" w:sz="8" w:space="0" w:color="32C7A9" w:themeColor="accent5"/>
          <w:right w:val="single" w:sz="8" w:space="0" w:color="32C7A9" w:themeColor="accent5"/>
        </w:tcBorders>
      </w:tcPr>
    </w:tblStylePr>
    <w:tblStylePr w:type="band1Vert">
      <w:tblPr/>
      <w:tcPr>
        <w:tcBorders>
          <w:top w:val="single" w:sz="8" w:space="0" w:color="32C7A9" w:themeColor="accent5"/>
          <w:left w:val="single" w:sz="8" w:space="0" w:color="32C7A9" w:themeColor="accent5"/>
          <w:bottom w:val="single" w:sz="8" w:space="0" w:color="32C7A9" w:themeColor="accent5"/>
          <w:right w:val="single" w:sz="8" w:space="0" w:color="32C7A9" w:themeColor="accent5"/>
        </w:tcBorders>
        <w:shd w:val="clear" w:color="auto" w:fill="CBF2EA" w:themeFill="accent5" w:themeFillTint="3F"/>
      </w:tcPr>
    </w:tblStylePr>
    <w:tblStylePr w:type="band1Horz">
      <w:tblPr/>
      <w:tcPr>
        <w:tcBorders>
          <w:top w:val="single" w:sz="8" w:space="0" w:color="32C7A9" w:themeColor="accent5"/>
          <w:left w:val="single" w:sz="8" w:space="0" w:color="32C7A9" w:themeColor="accent5"/>
          <w:bottom w:val="single" w:sz="8" w:space="0" w:color="32C7A9" w:themeColor="accent5"/>
          <w:right w:val="single" w:sz="8" w:space="0" w:color="32C7A9" w:themeColor="accent5"/>
          <w:insideV w:val="single" w:sz="8" w:space="0" w:color="32C7A9" w:themeColor="accent5"/>
        </w:tcBorders>
        <w:shd w:val="clear" w:color="auto" w:fill="CBF2EA" w:themeFill="accent5" w:themeFillTint="3F"/>
      </w:tcPr>
    </w:tblStylePr>
    <w:tblStylePr w:type="band2Horz">
      <w:tblPr/>
      <w:tcPr>
        <w:tcBorders>
          <w:top w:val="single" w:sz="8" w:space="0" w:color="32C7A9" w:themeColor="accent5"/>
          <w:left w:val="single" w:sz="8" w:space="0" w:color="32C7A9" w:themeColor="accent5"/>
          <w:bottom w:val="single" w:sz="8" w:space="0" w:color="32C7A9" w:themeColor="accent5"/>
          <w:right w:val="single" w:sz="8" w:space="0" w:color="32C7A9" w:themeColor="accent5"/>
          <w:insideV w:val="single" w:sz="8" w:space="0" w:color="32C7A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A9BDC" w:themeColor="accent6"/>
        <w:left w:val="single" w:sz="8" w:space="0" w:color="4A9BDC" w:themeColor="accent6"/>
        <w:bottom w:val="single" w:sz="8" w:space="0" w:color="4A9BDC" w:themeColor="accent6"/>
        <w:right w:val="single" w:sz="8" w:space="0" w:color="4A9BDC" w:themeColor="accent6"/>
        <w:insideH w:val="single" w:sz="8" w:space="0" w:color="4A9BDC" w:themeColor="accent6"/>
        <w:insideV w:val="single" w:sz="8" w:space="0" w:color="4A9BD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9BDC" w:themeColor="accent6"/>
          <w:left w:val="single" w:sz="8" w:space="0" w:color="4A9BDC" w:themeColor="accent6"/>
          <w:bottom w:val="single" w:sz="18" w:space="0" w:color="4A9BDC" w:themeColor="accent6"/>
          <w:right w:val="single" w:sz="8" w:space="0" w:color="4A9BDC" w:themeColor="accent6"/>
          <w:insideH w:val="nil"/>
          <w:insideV w:val="single" w:sz="8" w:space="0" w:color="4A9BD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9BDC" w:themeColor="accent6"/>
          <w:left w:val="single" w:sz="8" w:space="0" w:color="4A9BDC" w:themeColor="accent6"/>
          <w:bottom w:val="single" w:sz="8" w:space="0" w:color="4A9BDC" w:themeColor="accent6"/>
          <w:right w:val="single" w:sz="8" w:space="0" w:color="4A9BDC" w:themeColor="accent6"/>
          <w:insideH w:val="nil"/>
          <w:insideV w:val="single" w:sz="8" w:space="0" w:color="4A9BD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9BDC" w:themeColor="accent6"/>
          <w:left w:val="single" w:sz="8" w:space="0" w:color="4A9BDC" w:themeColor="accent6"/>
          <w:bottom w:val="single" w:sz="8" w:space="0" w:color="4A9BDC" w:themeColor="accent6"/>
          <w:right w:val="single" w:sz="8" w:space="0" w:color="4A9BDC" w:themeColor="accent6"/>
        </w:tcBorders>
      </w:tcPr>
    </w:tblStylePr>
    <w:tblStylePr w:type="band1Vert">
      <w:tblPr/>
      <w:tcPr>
        <w:tcBorders>
          <w:top w:val="single" w:sz="8" w:space="0" w:color="4A9BDC" w:themeColor="accent6"/>
          <w:left w:val="single" w:sz="8" w:space="0" w:color="4A9BDC" w:themeColor="accent6"/>
          <w:bottom w:val="single" w:sz="8" w:space="0" w:color="4A9BDC" w:themeColor="accent6"/>
          <w:right w:val="single" w:sz="8" w:space="0" w:color="4A9BDC" w:themeColor="accent6"/>
        </w:tcBorders>
        <w:shd w:val="clear" w:color="auto" w:fill="D2E6F6" w:themeFill="accent6" w:themeFillTint="3F"/>
      </w:tcPr>
    </w:tblStylePr>
    <w:tblStylePr w:type="band1Horz">
      <w:tblPr/>
      <w:tcPr>
        <w:tcBorders>
          <w:top w:val="single" w:sz="8" w:space="0" w:color="4A9BDC" w:themeColor="accent6"/>
          <w:left w:val="single" w:sz="8" w:space="0" w:color="4A9BDC" w:themeColor="accent6"/>
          <w:bottom w:val="single" w:sz="8" w:space="0" w:color="4A9BDC" w:themeColor="accent6"/>
          <w:right w:val="single" w:sz="8" w:space="0" w:color="4A9BDC" w:themeColor="accent6"/>
          <w:insideV w:val="single" w:sz="8" w:space="0" w:color="4A9BDC" w:themeColor="accent6"/>
        </w:tcBorders>
        <w:shd w:val="clear" w:color="auto" w:fill="D2E6F6" w:themeFill="accent6" w:themeFillTint="3F"/>
      </w:tcPr>
    </w:tblStylePr>
    <w:tblStylePr w:type="band2Horz">
      <w:tblPr/>
      <w:tcPr>
        <w:tcBorders>
          <w:top w:val="single" w:sz="8" w:space="0" w:color="4A9BDC" w:themeColor="accent6"/>
          <w:left w:val="single" w:sz="8" w:space="0" w:color="4A9BDC" w:themeColor="accent6"/>
          <w:bottom w:val="single" w:sz="8" w:space="0" w:color="4A9BDC" w:themeColor="accent6"/>
          <w:right w:val="single" w:sz="8" w:space="0" w:color="4A9BDC" w:themeColor="accent6"/>
          <w:insideV w:val="single" w:sz="8" w:space="0" w:color="4A9BDC"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7615D" w:themeColor="accent1" w:themeTint="BF"/>
        <w:left w:val="single" w:sz="8" w:space="0" w:color="E7615D" w:themeColor="accent1" w:themeTint="BF"/>
        <w:bottom w:val="single" w:sz="8" w:space="0" w:color="E7615D" w:themeColor="accent1" w:themeTint="BF"/>
        <w:right w:val="single" w:sz="8" w:space="0" w:color="E7615D" w:themeColor="accent1" w:themeTint="BF"/>
        <w:insideH w:val="single" w:sz="8" w:space="0" w:color="E7615D" w:themeColor="accent1" w:themeTint="BF"/>
      </w:tblBorders>
    </w:tblPr>
    <w:tblStylePr w:type="firstRow">
      <w:pPr>
        <w:spacing w:before="0" w:after="0" w:line="240" w:lineRule="auto"/>
      </w:pPr>
      <w:rPr>
        <w:b/>
        <w:bCs/>
        <w:color w:val="FFFFFF" w:themeColor="background1"/>
      </w:rPr>
      <w:tblPr/>
      <w:tcPr>
        <w:tcBorders>
          <w:top w:val="single" w:sz="8" w:space="0" w:color="E7615D" w:themeColor="accent1" w:themeTint="BF"/>
          <w:left w:val="single" w:sz="8" w:space="0" w:color="E7615D" w:themeColor="accent1" w:themeTint="BF"/>
          <w:bottom w:val="single" w:sz="8" w:space="0" w:color="E7615D" w:themeColor="accent1" w:themeTint="BF"/>
          <w:right w:val="single" w:sz="8" w:space="0" w:color="E7615D" w:themeColor="accent1" w:themeTint="BF"/>
          <w:insideH w:val="nil"/>
          <w:insideV w:val="nil"/>
        </w:tcBorders>
        <w:shd w:val="clear" w:color="auto" w:fill="DF2E28" w:themeFill="accent1"/>
      </w:tcPr>
    </w:tblStylePr>
    <w:tblStylePr w:type="lastRow">
      <w:pPr>
        <w:spacing w:before="0" w:after="0" w:line="240" w:lineRule="auto"/>
      </w:pPr>
      <w:rPr>
        <w:b/>
        <w:bCs/>
      </w:rPr>
      <w:tblPr/>
      <w:tcPr>
        <w:tcBorders>
          <w:top w:val="double" w:sz="6" w:space="0" w:color="E7615D" w:themeColor="accent1" w:themeTint="BF"/>
          <w:left w:val="single" w:sz="8" w:space="0" w:color="E7615D" w:themeColor="accent1" w:themeTint="BF"/>
          <w:bottom w:val="single" w:sz="8" w:space="0" w:color="E7615D" w:themeColor="accent1" w:themeTint="BF"/>
          <w:right w:val="single" w:sz="8" w:space="0" w:color="E7615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CAC9" w:themeFill="accent1" w:themeFillTint="3F"/>
      </w:tcPr>
    </w:tblStylePr>
    <w:tblStylePr w:type="band1Horz">
      <w:tblPr/>
      <w:tcPr>
        <w:tcBorders>
          <w:insideH w:val="nil"/>
          <w:insideV w:val="nil"/>
        </w:tcBorders>
        <w:shd w:val="clear" w:color="auto" w:fill="F7CA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E9F53" w:themeColor="accent2" w:themeTint="BF"/>
        <w:left w:val="single" w:sz="8" w:space="0" w:color="FE9F53" w:themeColor="accent2" w:themeTint="BF"/>
        <w:bottom w:val="single" w:sz="8" w:space="0" w:color="FE9F53" w:themeColor="accent2" w:themeTint="BF"/>
        <w:right w:val="single" w:sz="8" w:space="0" w:color="FE9F53" w:themeColor="accent2" w:themeTint="BF"/>
        <w:insideH w:val="single" w:sz="8" w:space="0" w:color="FE9F53" w:themeColor="accent2" w:themeTint="BF"/>
      </w:tblBorders>
    </w:tblPr>
    <w:tblStylePr w:type="firstRow">
      <w:pPr>
        <w:spacing w:before="0" w:after="0" w:line="240" w:lineRule="auto"/>
      </w:pPr>
      <w:rPr>
        <w:b/>
        <w:bCs/>
        <w:color w:val="FFFFFF" w:themeColor="background1"/>
      </w:rPr>
      <w:tblPr/>
      <w:tcPr>
        <w:tcBorders>
          <w:top w:val="single" w:sz="8" w:space="0" w:color="FE9F53" w:themeColor="accent2" w:themeTint="BF"/>
          <w:left w:val="single" w:sz="8" w:space="0" w:color="FE9F53" w:themeColor="accent2" w:themeTint="BF"/>
          <w:bottom w:val="single" w:sz="8" w:space="0" w:color="FE9F53" w:themeColor="accent2" w:themeTint="BF"/>
          <w:right w:val="single" w:sz="8" w:space="0" w:color="FE9F53" w:themeColor="accent2" w:themeTint="BF"/>
          <w:insideH w:val="nil"/>
          <w:insideV w:val="nil"/>
        </w:tcBorders>
        <w:shd w:val="clear" w:color="auto" w:fill="FE801A" w:themeFill="accent2"/>
      </w:tcPr>
    </w:tblStylePr>
    <w:tblStylePr w:type="lastRow">
      <w:pPr>
        <w:spacing w:before="0" w:after="0" w:line="240" w:lineRule="auto"/>
      </w:pPr>
      <w:rPr>
        <w:b/>
        <w:bCs/>
      </w:rPr>
      <w:tblPr/>
      <w:tcPr>
        <w:tcBorders>
          <w:top w:val="double" w:sz="6" w:space="0" w:color="FE9F53" w:themeColor="accent2" w:themeTint="BF"/>
          <w:left w:val="single" w:sz="8" w:space="0" w:color="FE9F53" w:themeColor="accent2" w:themeTint="BF"/>
          <w:bottom w:val="single" w:sz="8" w:space="0" w:color="FE9F53" w:themeColor="accent2" w:themeTint="BF"/>
          <w:right w:val="single" w:sz="8" w:space="0" w:color="FE9F5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DFC6" w:themeFill="accent2" w:themeFillTint="3F"/>
      </w:tcPr>
    </w:tblStylePr>
    <w:tblStylePr w:type="band1Horz">
      <w:tblPr/>
      <w:tcPr>
        <w:tcBorders>
          <w:insideH w:val="nil"/>
          <w:insideV w:val="nil"/>
        </w:tcBorders>
        <w:shd w:val="clear" w:color="auto" w:fill="FEDFC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ECE67" w:themeColor="accent3" w:themeTint="BF"/>
        <w:left w:val="single" w:sz="8" w:space="0" w:color="EECE67" w:themeColor="accent3" w:themeTint="BF"/>
        <w:bottom w:val="single" w:sz="8" w:space="0" w:color="EECE67" w:themeColor="accent3" w:themeTint="BF"/>
        <w:right w:val="single" w:sz="8" w:space="0" w:color="EECE67" w:themeColor="accent3" w:themeTint="BF"/>
        <w:insideH w:val="single" w:sz="8" w:space="0" w:color="EECE67" w:themeColor="accent3" w:themeTint="BF"/>
      </w:tblBorders>
    </w:tblPr>
    <w:tblStylePr w:type="firstRow">
      <w:pPr>
        <w:spacing w:before="0" w:after="0" w:line="240" w:lineRule="auto"/>
      </w:pPr>
      <w:rPr>
        <w:b/>
        <w:bCs/>
        <w:color w:val="FFFFFF" w:themeColor="background1"/>
      </w:rPr>
      <w:tblPr/>
      <w:tcPr>
        <w:tcBorders>
          <w:top w:val="single" w:sz="8" w:space="0" w:color="EECE67" w:themeColor="accent3" w:themeTint="BF"/>
          <w:left w:val="single" w:sz="8" w:space="0" w:color="EECE67" w:themeColor="accent3" w:themeTint="BF"/>
          <w:bottom w:val="single" w:sz="8" w:space="0" w:color="EECE67" w:themeColor="accent3" w:themeTint="BF"/>
          <w:right w:val="single" w:sz="8" w:space="0" w:color="EECE67" w:themeColor="accent3" w:themeTint="BF"/>
          <w:insideH w:val="nil"/>
          <w:insideV w:val="nil"/>
        </w:tcBorders>
        <w:shd w:val="clear" w:color="auto" w:fill="E9BF35" w:themeFill="accent3"/>
      </w:tcPr>
    </w:tblStylePr>
    <w:tblStylePr w:type="lastRow">
      <w:pPr>
        <w:spacing w:before="0" w:after="0" w:line="240" w:lineRule="auto"/>
      </w:pPr>
      <w:rPr>
        <w:b/>
        <w:bCs/>
      </w:rPr>
      <w:tblPr/>
      <w:tcPr>
        <w:tcBorders>
          <w:top w:val="double" w:sz="6" w:space="0" w:color="EECE67" w:themeColor="accent3" w:themeTint="BF"/>
          <w:left w:val="single" w:sz="8" w:space="0" w:color="EECE67" w:themeColor="accent3" w:themeTint="BF"/>
          <w:bottom w:val="single" w:sz="8" w:space="0" w:color="EECE67" w:themeColor="accent3" w:themeTint="BF"/>
          <w:right w:val="single" w:sz="8" w:space="0" w:color="EECE6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EFCC" w:themeFill="accent3" w:themeFillTint="3F"/>
      </w:tcPr>
    </w:tblStylePr>
    <w:tblStylePr w:type="band1Horz">
      <w:tblPr/>
      <w:tcPr>
        <w:tcBorders>
          <w:insideH w:val="nil"/>
          <w:insideV w:val="nil"/>
        </w:tcBorders>
        <w:shd w:val="clear" w:color="auto" w:fill="F9EFCC"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0CC70" w:themeColor="accent4" w:themeTint="BF"/>
        <w:left w:val="single" w:sz="8" w:space="0" w:color="A0CC70" w:themeColor="accent4" w:themeTint="BF"/>
        <w:bottom w:val="single" w:sz="8" w:space="0" w:color="A0CC70" w:themeColor="accent4" w:themeTint="BF"/>
        <w:right w:val="single" w:sz="8" w:space="0" w:color="A0CC70" w:themeColor="accent4" w:themeTint="BF"/>
        <w:insideH w:val="single" w:sz="8" w:space="0" w:color="A0CC70" w:themeColor="accent4" w:themeTint="BF"/>
      </w:tblBorders>
    </w:tblPr>
    <w:tblStylePr w:type="firstRow">
      <w:pPr>
        <w:spacing w:before="0" w:after="0" w:line="240" w:lineRule="auto"/>
      </w:pPr>
      <w:rPr>
        <w:b/>
        <w:bCs/>
        <w:color w:val="FFFFFF" w:themeColor="background1"/>
      </w:rPr>
      <w:tblPr/>
      <w:tcPr>
        <w:tcBorders>
          <w:top w:val="single" w:sz="8" w:space="0" w:color="A0CC70" w:themeColor="accent4" w:themeTint="BF"/>
          <w:left w:val="single" w:sz="8" w:space="0" w:color="A0CC70" w:themeColor="accent4" w:themeTint="BF"/>
          <w:bottom w:val="single" w:sz="8" w:space="0" w:color="A0CC70" w:themeColor="accent4" w:themeTint="BF"/>
          <w:right w:val="single" w:sz="8" w:space="0" w:color="A0CC70" w:themeColor="accent4" w:themeTint="BF"/>
          <w:insideH w:val="nil"/>
          <w:insideV w:val="nil"/>
        </w:tcBorders>
        <w:shd w:val="clear" w:color="auto" w:fill="81BB42" w:themeFill="accent4"/>
      </w:tcPr>
    </w:tblStylePr>
    <w:tblStylePr w:type="lastRow">
      <w:pPr>
        <w:spacing w:before="0" w:after="0" w:line="240" w:lineRule="auto"/>
      </w:pPr>
      <w:rPr>
        <w:b/>
        <w:bCs/>
      </w:rPr>
      <w:tblPr/>
      <w:tcPr>
        <w:tcBorders>
          <w:top w:val="double" w:sz="6" w:space="0" w:color="A0CC70" w:themeColor="accent4" w:themeTint="BF"/>
          <w:left w:val="single" w:sz="8" w:space="0" w:color="A0CC70" w:themeColor="accent4" w:themeTint="BF"/>
          <w:bottom w:val="single" w:sz="8" w:space="0" w:color="A0CC70" w:themeColor="accent4" w:themeTint="BF"/>
          <w:right w:val="single" w:sz="8" w:space="0" w:color="A0CC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ECF" w:themeFill="accent4" w:themeFillTint="3F"/>
      </w:tcPr>
    </w:tblStylePr>
    <w:tblStylePr w:type="band1Horz">
      <w:tblPr/>
      <w:tcPr>
        <w:tcBorders>
          <w:insideH w:val="nil"/>
          <w:insideV w:val="nil"/>
        </w:tcBorders>
        <w:shd w:val="clear" w:color="auto" w:fill="DFEE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62D7BF" w:themeColor="accent5" w:themeTint="BF"/>
        <w:left w:val="single" w:sz="8" w:space="0" w:color="62D7BF" w:themeColor="accent5" w:themeTint="BF"/>
        <w:bottom w:val="single" w:sz="8" w:space="0" w:color="62D7BF" w:themeColor="accent5" w:themeTint="BF"/>
        <w:right w:val="single" w:sz="8" w:space="0" w:color="62D7BF" w:themeColor="accent5" w:themeTint="BF"/>
        <w:insideH w:val="single" w:sz="8" w:space="0" w:color="62D7BF" w:themeColor="accent5" w:themeTint="BF"/>
      </w:tblBorders>
    </w:tblPr>
    <w:tblStylePr w:type="firstRow">
      <w:pPr>
        <w:spacing w:before="0" w:after="0" w:line="240" w:lineRule="auto"/>
      </w:pPr>
      <w:rPr>
        <w:b/>
        <w:bCs/>
        <w:color w:val="FFFFFF" w:themeColor="background1"/>
      </w:rPr>
      <w:tblPr/>
      <w:tcPr>
        <w:tcBorders>
          <w:top w:val="single" w:sz="8" w:space="0" w:color="62D7BF" w:themeColor="accent5" w:themeTint="BF"/>
          <w:left w:val="single" w:sz="8" w:space="0" w:color="62D7BF" w:themeColor="accent5" w:themeTint="BF"/>
          <w:bottom w:val="single" w:sz="8" w:space="0" w:color="62D7BF" w:themeColor="accent5" w:themeTint="BF"/>
          <w:right w:val="single" w:sz="8" w:space="0" w:color="62D7BF" w:themeColor="accent5" w:themeTint="BF"/>
          <w:insideH w:val="nil"/>
          <w:insideV w:val="nil"/>
        </w:tcBorders>
        <w:shd w:val="clear" w:color="auto" w:fill="32C7A9" w:themeFill="accent5"/>
      </w:tcPr>
    </w:tblStylePr>
    <w:tblStylePr w:type="lastRow">
      <w:pPr>
        <w:spacing w:before="0" w:after="0" w:line="240" w:lineRule="auto"/>
      </w:pPr>
      <w:rPr>
        <w:b/>
        <w:bCs/>
      </w:rPr>
      <w:tblPr/>
      <w:tcPr>
        <w:tcBorders>
          <w:top w:val="double" w:sz="6" w:space="0" w:color="62D7BF" w:themeColor="accent5" w:themeTint="BF"/>
          <w:left w:val="single" w:sz="8" w:space="0" w:color="62D7BF" w:themeColor="accent5" w:themeTint="BF"/>
          <w:bottom w:val="single" w:sz="8" w:space="0" w:color="62D7BF" w:themeColor="accent5" w:themeTint="BF"/>
          <w:right w:val="single" w:sz="8" w:space="0" w:color="62D7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F2EA" w:themeFill="accent5" w:themeFillTint="3F"/>
      </w:tcPr>
    </w:tblStylePr>
    <w:tblStylePr w:type="band1Horz">
      <w:tblPr/>
      <w:tcPr>
        <w:tcBorders>
          <w:insideH w:val="nil"/>
          <w:insideV w:val="nil"/>
        </w:tcBorders>
        <w:shd w:val="clear" w:color="auto" w:fill="CBF2E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7B3E4" w:themeColor="accent6" w:themeTint="BF"/>
        <w:left w:val="single" w:sz="8" w:space="0" w:color="77B3E4" w:themeColor="accent6" w:themeTint="BF"/>
        <w:bottom w:val="single" w:sz="8" w:space="0" w:color="77B3E4" w:themeColor="accent6" w:themeTint="BF"/>
        <w:right w:val="single" w:sz="8" w:space="0" w:color="77B3E4" w:themeColor="accent6" w:themeTint="BF"/>
        <w:insideH w:val="single" w:sz="8" w:space="0" w:color="77B3E4" w:themeColor="accent6" w:themeTint="BF"/>
      </w:tblBorders>
    </w:tblPr>
    <w:tblStylePr w:type="firstRow">
      <w:pPr>
        <w:spacing w:before="0" w:after="0" w:line="240" w:lineRule="auto"/>
      </w:pPr>
      <w:rPr>
        <w:b/>
        <w:bCs/>
        <w:color w:val="FFFFFF" w:themeColor="background1"/>
      </w:rPr>
      <w:tblPr/>
      <w:tcPr>
        <w:tcBorders>
          <w:top w:val="single" w:sz="8" w:space="0" w:color="77B3E4" w:themeColor="accent6" w:themeTint="BF"/>
          <w:left w:val="single" w:sz="8" w:space="0" w:color="77B3E4" w:themeColor="accent6" w:themeTint="BF"/>
          <w:bottom w:val="single" w:sz="8" w:space="0" w:color="77B3E4" w:themeColor="accent6" w:themeTint="BF"/>
          <w:right w:val="single" w:sz="8" w:space="0" w:color="77B3E4" w:themeColor="accent6" w:themeTint="BF"/>
          <w:insideH w:val="nil"/>
          <w:insideV w:val="nil"/>
        </w:tcBorders>
        <w:shd w:val="clear" w:color="auto" w:fill="4A9BDC" w:themeFill="accent6"/>
      </w:tcPr>
    </w:tblStylePr>
    <w:tblStylePr w:type="lastRow">
      <w:pPr>
        <w:spacing w:before="0" w:after="0" w:line="240" w:lineRule="auto"/>
      </w:pPr>
      <w:rPr>
        <w:b/>
        <w:bCs/>
      </w:rPr>
      <w:tblPr/>
      <w:tcPr>
        <w:tcBorders>
          <w:top w:val="double" w:sz="6" w:space="0" w:color="77B3E4" w:themeColor="accent6" w:themeTint="BF"/>
          <w:left w:val="single" w:sz="8" w:space="0" w:color="77B3E4" w:themeColor="accent6" w:themeTint="BF"/>
          <w:bottom w:val="single" w:sz="8" w:space="0" w:color="77B3E4" w:themeColor="accent6" w:themeTint="BF"/>
          <w:right w:val="single" w:sz="8" w:space="0" w:color="77B3E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2E6F6" w:themeFill="accent6" w:themeFillTint="3F"/>
      </w:tcPr>
    </w:tblStylePr>
    <w:tblStylePr w:type="band1Horz">
      <w:tblPr/>
      <w:tcPr>
        <w:tcBorders>
          <w:insideH w:val="nil"/>
          <w:insideV w:val="nil"/>
        </w:tcBorders>
        <w:shd w:val="clear" w:color="auto" w:fill="D2E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2E2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2E28" w:themeFill="accent1"/>
      </w:tcPr>
    </w:tblStylePr>
    <w:tblStylePr w:type="lastCol">
      <w:rPr>
        <w:b/>
        <w:bCs/>
        <w:color w:val="FFFFFF" w:themeColor="background1"/>
      </w:rPr>
      <w:tblPr/>
      <w:tcPr>
        <w:tcBorders>
          <w:left w:val="nil"/>
          <w:right w:val="nil"/>
          <w:insideH w:val="nil"/>
          <w:insideV w:val="nil"/>
        </w:tcBorders>
        <w:shd w:val="clear" w:color="auto" w:fill="DF2E2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01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01A" w:themeFill="accent2"/>
      </w:tcPr>
    </w:tblStylePr>
    <w:tblStylePr w:type="lastCol">
      <w:rPr>
        <w:b/>
        <w:bCs/>
        <w:color w:val="FFFFFF" w:themeColor="background1"/>
      </w:rPr>
      <w:tblPr/>
      <w:tcPr>
        <w:tcBorders>
          <w:left w:val="nil"/>
          <w:right w:val="nil"/>
          <w:insideH w:val="nil"/>
          <w:insideV w:val="nil"/>
        </w:tcBorders>
        <w:shd w:val="clear" w:color="auto" w:fill="FE801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B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BF35" w:themeFill="accent3"/>
      </w:tcPr>
    </w:tblStylePr>
    <w:tblStylePr w:type="lastCol">
      <w:rPr>
        <w:b/>
        <w:bCs/>
        <w:color w:val="FFFFFF" w:themeColor="background1"/>
      </w:rPr>
      <w:tblPr/>
      <w:tcPr>
        <w:tcBorders>
          <w:left w:val="nil"/>
          <w:right w:val="nil"/>
          <w:insideH w:val="nil"/>
          <w:insideV w:val="nil"/>
        </w:tcBorders>
        <w:shd w:val="clear" w:color="auto" w:fill="E9B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1BB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1BB42" w:themeFill="accent4"/>
      </w:tcPr>
    </w:tblStylePr>
    <w:tblStylePr w:type="lastCol">
      <w:rPr>
        <w:b/>
        <w:bCs/>
        <w:color w:val="FFFFFF" w:themeColor="background1"/>
      </w:rPr>
      <w:tblPr/>
      <w:tcPr>
        <w:tcBorders>
          <w:left w:val="nil"/>
          <w:right w:val="nil"/>
          <w:insideH w:val="nil"/>
          <w:insideV w:val="nil"/>
        </w:tcBorders>
        <w:shd w:val="clear" w:color="auto" w:fill="81BB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2C7A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2C7A9" w:themeFill="accent5"/>
      </w:tcPr>
    </w:tblStylePr>
    <w:tblStylePr w:type="lastCol">
      <w:rPr>
        <w:b/>
        <w:bCs/>
        <w:color w:val="FFFFFF" w:themeColor="background1"/>
      </w:rPr>
      <w:tblPr/>
      <w:tcPr>
        <w:tcBorders>
          <w:left w:val="nil"/>
          <w:right w:val="nil"/>
          <w:insideH w:val="nil"/>
          <w:insideV w:val="nil"/>
        </w:tcBorders>
        <w:shd w:val="clear" w:color="auto" w:fill="32C7A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9BD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9BDC" w:themeFill="accent6"/>
      </w:tcPr>
    </w:tblStylePr>
    <w:tblStylePr w:type="lastCol">
      <w:rPr>
        <w:b/>
        <w:bCs/>
        <w:color w:val="FFFFFF" w:themeColor="background1"/>
      </w:rPr>
      <w:tblPr/>
      <w:tcPr>
        <w:tcBorders>
          <w:left w:val="nil"/>
          <w:right w:val="nil"/>
          <w:insideH w:val="nil"/>
          <w:insideV w:val="nil"/>
        </w:tcBorders>
        <w:shd w:val="clear" w:color="auto" w:fill="4A9BD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F2E28" w:themeColor="accent1"/>
        <w:bottom w:val="single" w:sz="8" w:space="0" w:color="DF2E28" w:themeColor="accent1"/>
      </w:tblBorders>
    </w:tblPr>
    <w:tblStylePr w:type="firstRow">
      <w:rPr>
        <w:rFonts w:asciiTheme="majorHAnsi" w:eastAsiaTheme="majorEastAsia" w:hAnsiTheme="majorHAnsi" w:cstheme="majorBidi"/>
      </w:rPr>
      <w:tblPr/>
      <w:tcPr>
        <w:tcBorders>
          <w:top w:val="nil"/>
          <w:bottom w:val="single" w:sz="8" w:space="0" w:color="DF2E28" w:themeColor="accent1"/>
        </w:tcBorders>
      </w:tcPr>
    </w:tblStylePr>
    <w:tblStylePr w:type="lastRow">
      <w:rPr>
        <w:b/>
        <w:bCs/>
        <w:color w:val="454545" w:themeColor="text2"/>
      </w:rPr>
      <w:tblPr/>
      <w:tcPr>
        <w:tcBorders>
          <w:top w:val="single" w:sz="8" w:space="0" w:color="DF2E28" w:themeColor="accent1"/>
          <w:bottom w:val="single" w:sz="8" w:space="0" w:color="DF2E28" w:themeColor="accent1"/>
        </w:tcBorders>
      </w:tcPr>
    </w:tblStylePr>
    <w:tblStylePr w:type="firstCol">
      <w:rPr>
        <w:b/>
        <w:bCs/>
      </w:rPr>
    </w:tblStylePr>
    <w:tblStylePr w:type="lastCol">
      <w:rPr>
        <w:b/>
        <w:bCs/>
      </w:rPr>
      <w:tblPr/>
      <w:tcPr>
        <w:tcBorders>
          <w:top w:val="single" w:sz="8" w:space="0" w:color="DF2E28" w:themeColor="accent1"/>
          <w:bottom w:val="single" w:sz="8" w:space="0" w:color="DF2E28" w:themeColor="accent1"/>
        </w:tcBorders>
      </w:tcPr>
    </w:tblStylePr>
    <w:tblStylePr w:type="band1Vert">
      <w:tblPr/>
      <w:tcPr>
        <w:shd w:val="clear" w:color="auto" w:fill="F7CAC9" w:themeFill="accent1" w:themeFillTint="3F"/>
      </w:tcPr>
    </w:tblStylePr>
    <w:tblStylePr w:type="band1Horz">
      <w:tblPr/>
      <w:tcPr>
        <w:shd w:val="clear" w:color="auto" w:fill="F7CA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E801A" w:themeColor="accent2"/>
        <w:bottom w:val="single" w:sz="8" w:space="0" w:color="FE801A" w:themeColor="accent2"/>
      </w:tblBorders>
    </w:tblPr>
    <w:tblStylePr w:type="firstRow">
      <w:rPr>
        <w:rFonts w:asciiTheme="majorHAnsi" w:eastAsiaTheme="majorEastAsia" w:hAnsiTheme="majorHAnsi" w:cstheme="majorBidi"/>
      </w:rPr>
      <w:tblPr/>
      <w:tcPr>
        <w:tcBorders>
          <w:top w:val="nil"/>
          <w:bottom w:val="single" w:sz="8" w:space="0" w:color="FE801A" w:themeColor="accent2"/>
        </w:tcBorders>
      </w:tcPr>
    </w:tblStylePr>
    <w:tblStylePr w:type="lastRow">
      <w:rPr>
        <w:b/>
        <w:bCs/>
        <w:color w:val="454545" w:themeColor="text2"/>
      </w:rPr>
      <w:tblPr/>
      <w:tcPr>
        <w:tcBorders>
          <w:top w:val="single" w:sz="8" w:space="0" w:color="FE801A" w:themeColor="accent2"/>
          <w:bottom w:val="single" w:sz="8" w:space="0" w:color="FE801A" w:themeColor="accent2"/>
        </w:tcBorders>
      </w:tcPr>
    </w:tblStylePr>
    <w:tblStylePr w:type="firstCol">
      <w:rPr>
        <w:b/>
        <w:bCs/>
      </w:rPr>
    </w:tblStylePr>
    <w:tblStylePr w:type="lastCol">
      <w:rPr>
        <w:b/>
        <w:bCs/>
      </w:rPr>
      <w:tblPr/>
      <w:tcPr>
        <w:tcBorders>
          <w:top w:val="single" w:sz="8" w:space="0" w:color="FE801A" w:themeColor="accent2"/>
          <w:bottom w:val="single" w:sz="8" w:space="0" w:color="FE801A" w:themeColor="accent2"/>
        </w:tcBorders>
      </w:tcPr>
    </w:tblStylePr>
    <w:tblStylePr w:type="band1Vert">
      <w:tblPr/>
      <w:tcPr>
        <w:shd w:val="clear" w:color="auto" w:fill="FEDFC6" w:themeFill="accent2" w:themeFillTint="3F"/>
      </w:tcPr>
    </w:tblStylePr>
    <w:tblStylePr w:type="band1Horz">
      <w:tblPr/>
      <w:tcPr>
        <w:shd w:val="clear" w:color="auto" w:fill="FEDFC6"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9BF35" w:themeColor="accent3"/>
        <w:bottom w:val="single" w:sz="8" w:space="0" w:color="E9BF35" w:themeColor="accent3"/>
      </w:tblBorders>
    </w:tblPr>
    <w:tblStylePr w:type="firstRow">
      <w:rPr>
        <w:rFonts w:asciiTheme="majorHAnsi" w:eastAsiaTheme="majorEastAsia" w:hAnsiTheme="majorHAnsi" w:cstheme="majorBidi"/>
      </w:rPr>
      <w:tblPr/>
      <w:tcPr>
        <w:tcBorders>
          <w:top w:val="nil"/>
          <w:bottom w:val="single" w:sz="8" w:space="0" w:color="E9BF35" w:themeColor="accent3"/>
        </w:tcBorders>
      </w:tcPr>
    </w:tblStylePr>
    <w:tblStylePr w:type="lastRow">
      <w:rPr>
        <w:b/>
        <w:bCs/>
        <w:color w:val="454545" w:themeColor="text2"/>
      </w:rPr>
      <w:tblPr/>
      <w:tcPr>
        <w:tcBorders>
          <w:top w:val="single" w:sz="8" w:space="0" w:color="E9BF35" w:themeColor="accent3"/>
          <w:bottom w:val="single" w:sz="8" w:space="0" w:color="E9BF35" w:themeColor="accent3"/>
        </w:tcBorders>
      </w:tcPr>
    </w:tblStylePr>
    <w:tblStylePr w:type="firstCol">
      <w:rPr>
        <w:b/>
        <w:bCs/>
      </w:rPr>
    </w:tblStylePr>
    <w:tblStylePr w:type="lastCol">
      <w:rPr>
        <w:b/>
        <w:bCs/>
      </w:rPr>
      <w:tblPr/>
      <w:tcPr>
        <w:tcBorders>
          <w:top w:val="single" w:sz="8" w:space="0" w:color="E9BF35" w:themeColor="accent3"/>
          <w:bottom w:val="single" w:sz="8" w:space="0" w:color="E9BF35" w:themeColor="accent3"/>
        </w:tcBorders>
      </w:tcPr>
    </w:tblStylePr>
    <w:tblStylePr w:type="band1Vert">
      <w:tblPr/>
      <w:tcPr>
        <w:shd w:val="clear" w:color="auto" w:fill="F9EFCC" w:themeFill="accent3" w:themeFillTint="3F"/>
      </w:tcPr>
    </w:tblStylePr>
    <w:tblStylePr w:type="band1Horz">
      <w:tblPr/>
      <w:tcPr>
        <w:shd w:val="clear" w:color="auto" w:fill="F9EFCC"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1BB42" w:themeColor="accent4"/>
        <w:bottom w:val="single" w:sz="8" w:space="0" w:color="81BB42" w:themeColor="accent4"/>
      </w:tblBorders>
    </w:tblPr>
    <w:tblStylePr w:type="firstRow">
      <w:rPr>
        <w:rFonts w:asciiTheme="majorHAnsi" w:eastAsiaTheme="majorEastAsia" w:hAnsiTheme="majorHAnsi" w:cstheme="majorBidi"/>
      </w:rPr>
      <w:tblPr/>
      <w:tcPr>
        <w:tcBorders>
          <w:top w:val="nil"/>
          <w:bottom w:val="single" w:sz="8" w:space="0" w:color="81BB42" w:themeColor="accent4"/>
        </w:tcBorders>
      </w:tcPr>
    </w:tblStylePr>
    <w:tblStylePr w:type="lastRow">
      <w:rPr>
        <w:b/>
        <w:bCs/>
        <w:color w:val="454545" w:themeColor="text2"/>
      </w:rPr>
      <w:tblPr/>
      <w:tcPr>
        <w:tcBorders>
          <w:top w:val="single" w:sz="8" w:space="0" w:color="81BB42" w:themeColor="accent4"/>
          <w:bottom w:val="single" w:sz="8" w:space="0" w:color="81BB42" w:themeColor="accent4"/>
        </w:tcBorders>
      </w:tcPr>
    </w:tblStylePr>
    <w:tblStylePr w:type="firstCol">
      <w:rPr>
        <w:b/>
        <w:bCs/>
      </w:rPr>
    </w:tblStylePr>
    <w:tblStylePr w:type="lastCol">
      <w:rPr>
        <w:b/>
        <w:bCs/>
      </w:rPr>
      <w:tblPr/>
      <w:tcPr>
        <w:tcBorders>
          <w:top w:val="single" w:sz="8" w:space="0" w:color="81BB42" w:themeColor="accent4"/>
          <w:bottom w:val="single" w:sz="8" w:space="0" w:color="81BB42" w:themeColor="accent4"/>
        </w:tcBorders>
      </w:tcPr>
    </w:tblStylePr>
    <w:tblStylePr w:type="band1Vert">
      <w:tblPr/>
      <w:tcPr>
        <w:shd w:val="clear" w:color="auto" w:fill="DFEECF" w:themeFill="accent4" w:themeFillTint="3F"/>
      </w:tcPr>
    </w:tblStylePr>
    <w:tblStylePr w:type="band1Horz">
      <w:tblPr/>
      <w:tcPr>
        <w:shd w:val="clear" w:color="auto" w:fill="DFEEC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2C7A9" w:themeColor="accent5"/>
        <w:bottom w:val="single" w:sz="8" w:space="0" w:color="32C7A9" w:themeColor="accent5"/>
      </w:tblBorders>
    </w:tblPr>
    <w:tblStylePr w:type="firstRow">
      <w:rPr>
        <w:rFonts w:asciiTheme="majorHAnsi" w:eastAsiaTheme="majorEastAsia" w:hAnsiTheme="majorHAnsi" w:cstheme="majorBidi"/>
      </w:rPr>
      <w:tblPr/>
      <w:tcPr>
        <w:tcBorders>
          <w:top w:val="nil"/>
          <w:bottom w:val="single" w:sz="8" w:space="0" w:color="32C7A9" w:themeColor="accent5"/>
        </w:tcBorders>
      </w:tcPr>
    </w:tblStylePr>
    <w:tblStylePr w:type="lastRow">
      <w:rPr>
        <w:b/>
        <w:bCs/>
        <w:color w:val="454545" w:themeColor="text2"/>
      </w:rPr>
      <w:tblPr/>
      <w:tcPr>
        <w:tcBorders>
          <w:top w:val="single" w:sz="8" w:space="0" w:color="32C7A9" w:themeColor="accent5"/>
          <w:bottom w:val="single" w:sz="8" w:space="0" w:color="32C7A9" w:themeColor="accent5"/>
        </w:tcBorders>
      </w:tcPr>
    </w:tblStylePr>
    <w:tblStylePr w:type="firstCol">
      <w:rPr>
        <w:b/>
        <w:bCs/>
      </w:rPr>
    </w:tblStylePr>
    <w:tblStylePr w:type="lastCol">
      <w:rPr>
        <w:b/>
        <w:bCs/>
      </w:rPr>
      <w:tblPr/>
      <w:tcPr>
        <w:tcBorders>
          <w:top w:val="single" w:sz="8" w:space="0" w:color="32C7A9" w:themeColor="accent5"/>
          <w:bottom w:val="single" w:sz="8" w:space="0" w:color="32C7A9" w:themeColor="accent5"/>
        </w:tcBorders>
      </w:tcPr>
    </w:tblStylePr>
    <w:tblStylePr w:type="band1Vert">
      <w:tblPr/>
      <w:tcPr>
        <w:shd w:val="clear" w:color="auto" w:fill="CBF2EA" w:themeFill="accent5" w:themeFillTint="3F"/>
      </w:tcPr>
    </w:tblStylePr>
    <w:tblStylePr w:type="band1Horz">
      <w:tblPr/>
      <w:tcPr>
        <w:shd w:val="clear" w:color="auto" w:fill="CBF2EA"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A9BDC" w:themeColor="accent6"/>
        <w:bottom w:val="single" w:sz="8" w:space="0" w:color="4A9BDC" w:themeColor="accent6"/>
      </w:tblBorders>
    </w:tblPr>
    <w:tblStylePr w:type="firstRow">
      <w:rPr>
        <w:rFonts w:asciiTheme="majorHAnsi" w:eastAsiaTheme="majorEastAsia" w:hAnsiTheme="majorHAnsi" w:cstheme="majorBidi"/>
      </w:rPr>
      <w:tblPr/>
      <w:tcPr>
        <w:tcBorders>
          <w:top w:val="nil"/>
          <w:bottom w:val="single" w:sz="8" w:space="0" w:color="4A9BDC" w:themeColor="accent6"/>
        </w:tcBorders>
      </w:tcPr>
    </w:tblStylePr>
    <w:tblStylePr w:type="lastRow">
      <w:rPr>
        <w:b/>
        <w:bCs/>
        <w:color w:val="454545" w:themeColor="text2"/>
      </w:rPr>
      <w:tblPr/>
      <w:tcPr>
        <w:tcBorders>
          <w:top w:val="single" w:sz="8" w:space="0" w:color="4A9BDC" w:themeColor="accent6"/>
          <w:bottom w:val="single" w:sz="8" w:space="0" w:color="4A9BDC" w:themeColor="accent6"/>
        </w:tcBorders>
      </w:tcPr>
    </w:tblStylePr>
    <w:tblStylePr w:type="firstCol">
      <w:rPr>
        <w:b/>
        <w:bCs/>
      </w:rPr>
    </w:tblStylePr>
    <w:tblStylePr w:type="lastCol">
      <w:rPr>
        <w:b/>
        <w:bCs/>
      </w:rPr>
      <w:tblPr/>
      <w:tcPr>
        <w:tcBorders>
          <w:top w:val="single" w:sz="8" w:space="0" w:color="4A9BDC" w:themeColor="accent6"/>
          <w:bottom w:val="single" w:sz="8" w:space="0" w:color="4A9BDC" w:themeColor="accent6"/>
        </w:tcBorders>
      </w:tcPr>
    </w:tblStylePr>
    <w:tblStylePr w:type="band1Vert">
      <w:tblPr/>
      <w:tcPr>
        <w:shd w:val="clear" w:color="auto" w:fill="D2E6F6" w:themeFill="accent6" w:themeFillTint="3F"/>
      </w:tcPr>
    </w:tblStylePr>
    <w:tblStylePr w:type="band1Horz">
      <w:tblPr/>
      <w:tcPr>
        <w:shd w:val="clear" w:color="auto" w:fill="D2E6F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2E28" w:themeColor="accent1"/>
        <w:left w:val="single" w:sz="8" w:space="0" w:color="DF2E28" w:themeColor="accent1"/>
        <w:bottom w:val="single" w:sz="8" w:space="0" w:color="DF2E28" w:themeColor="accent1"/>
        <w:right w:val="single" w:sz="8" w:space="0" w:color="DF2E28" w:themeColor="accent1"/>
      </w:tblBorders>
    </w:tblPr>
    <w:tblStylePr w:type="firstRow">
      <w:rPr>
        <w:sz w:val="24"/>
        <w:szCs w:val="24"/>
      </w:rPr>
      <w:tblPr/>
      <w:tcPr>
        <w:tcBorders>
          <w:top w:val="nil"/>
          <w:left w:val="nil"/>
          <w:bottom w:val="single" w:sz="24" w:space="0" w:color="DF2E28" w:themeColor="accent1"/>
          <w:right w:val="nil"/>
          <w:insideH w:val="nil"/>
          <w:insideV w:val="nil"/>
        </w:tcBorders>
        <w:shd w:val="clear" w:color="auto" w:fill="FFFFFF" w:themeFill="background1"/>
      </w:tcPr>
    </w:tblStylePr>
    <w:tblStylePr w:type="lastRow">
      <w:tblPr/>
      <w:tcPr>
        <w:tcBorders>
          <w:top w:val="single" w:sz="8" w:space="0" w:color="DF2E2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2E28" w:themeColor="accent1"/>
          <w:insideH w:val="nil"/>
          <w:insideV w:val="nil"/>
        </w:tcBorders>
        <w:shd w:val="clear" w:color="auto" w:fill="FFFFFF" w:themeFill="background1"/>
      </w:tcPr>
    </w:tblStylePr>
    <w:tblStylePr w:type="lastCol">
      <w:tblPr/>
      <w:tcPr>
        <w:tcBorders>
          <w:top w:val="nil"/>
          <w:left w:val="single" w:sz="8" w:space="0" w:color="DF2E2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AC9" w:themeFill="accent1" w:themeFillTint="3F"/>
      </w:tcPr>
    </w:tblStylePr>
    <w:tblStylePr w:type="band1Horz">
      <w:tblPr/>
      <w:tcPr>
        <w:tcBorders>
          <w:top w:val="nil"/>
          <w:bottom w:val="nil"/>
          <w:insideH w:val="nil"/>
          <w:insideV w:val="nil"/>
        </w:tcBorders>
        <w:shd w:val="clear" w:color="auto" w:fill="F7CA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801A" w:themeColor="accent2"/>
        <w:left w:val="single" w:sz="8" w:space="0" w:color="FE801A" w:themeColor="accent2"/>
        <w:bottom w:val="single" w:sz="8" w:space="0" w:color="FE801A" w:themeColor="accent2"/>
        <w:right w:val="single" w:sz="8" w:space="0" w:color="FE801A" w:themeColor="accent2"/>
      </w:tblBorders>
    </w:tblPr>
    <w:tblStylePr w:type="firstRow">
      <w:rPr>
        <w:sz w:val="24"/>
        <w:szCs w:val="24"/>
      </w:rPr>
      <w:tblPr/>
      <w:tcPr>
        <w:tcBorders>
          <w:top w:val="nil"/>
          <w:left w:val="nil"/>
          <w:bottom w:val="single" w:sz="24" w:space="0" w:color="FE801A" w:themeColor="accent2"/>
          <w:right w:val="nil"/>
          <w:insideH w:val="nil"/>
          <w:insideV w:val="nil"/>
        </w:tcBorders>
        <w:shd w:val="clear" w:color="auto" w:fill="FFFFFF" w:themeFill="background1"/>
      </w:tcPr>
    </w:tblStylePr>
    <w:tblStylePr w:type="lastRow">
      <w:tblPr/>
      <w:tcPr>
        <w:tcBorders>
          <w:top w:val="single" w:sz="8" w:space="0" w:color="FE801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01A" w:themeColor="accent2"/>
          <w:insideH w:val="nil"/>
          <w:insideV w:val="nil"/>
        </w:tcBorders>
        <w:shd w:val="clear" w:color="auto" w:fill="FFFFFF" w:themeFill="background1"/>
      </w:tcPr>
    </w:tblStylePr>
    <w:tblStylePr w:type="lastCol">
      <w:tblPr/>
      <w:tcPr>
        <w:tcBorders>
          <w:top w:val="nil"/>
          <w:left w:val="single" w:sz="8" w:space="0" w:color="FE801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FC6" w:themeFill="accent2" w:themeFillTint="3F"/>
      </w:tcPr>
    </w:tblStylePr>
    <w:tblStylePr w:type="band1Horz">
      <w:tblPr/>
      <w:tcPr>
        <w:tcBorders>
          <w:top w:val="nil"/>
          <w:bottom w:val="nil"/>
          <w:insideH w:val="nil"/>
          <w:insideV w:val="nil"/>
        </w:tcBorders>
        <w:shd w:val="clear" w:color="auto" w:fill="FEDF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BF35" w:themeColor="accent3"/>
        <w:left w:val="single" w:sz="8" w:space="0" w:color="E9BF35" w:themeColor="accent3"/>
        <w:bottom w:val="single" w:sz="8" w:space="0" w:color="E9BF35" w:themeColor="accent3"/>
        <w:right w:val="single" w:sz="8" w:space="0" w:color="E9BF35" w:themeColor="accent3"/>
      </w:tblBorders>
    </w:tblPr>
    <w:tblStylePr w:type="firstRow">
      <w:rPr>
        <w:sz w:val="24"/>
        <w:szCs w:val="24"/>
      </w:rPr>
      <w:tblPr/>
      <w:tcPr>
        <w:tcBorders>
          <w:top w:val="nil"/>
          <w:left w:val="nil"/>
          <w:bottom w:val="single" w:sz="24" w:space="0" w:color="E9BF35" w:themeColor="accent3"/>
          <w:right w:val="nil"/>
          <w:insideH w:val="nil"/>
          <w:insideV w:val="nil"/>
        </w:tcBorders>
        <w:shd w:val="clear" w:color="auto" w:fill="FFFFFF" w:themeFill="background1"/>
      </w:tcPr>
    </w:tblStylePr>
    <w:tblStylePr w:type="lastRow">
      <w:tblPr/>
      <w:tcPr>
        <w:tcBorders>
          <w:top w:val="single" w:sz="8" w:space="0" w:color="E9BF3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BF35" w:themeColor="accent3"/>
          <w:insideH w:val="nil"/>
          <w:insideV w:val="nil"/>
        </w:tcBorders>
        <w:shd w:val="clear" w:color="auto" w:fill="FFFFFF" w:themeFill="background1"/>
      </w:tcPr>
    </w:tblStylePr>
    <w:tblStylePr w:type="lastCol">
      <w:tblPr/>
      <w:tcPr>
        <w:tcBorders>
          <w:top w:val="nil"/>
          <w:left w:val="single" w:sz="8" w:space="0" w:color="E9B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FCC" w:themeFill="accent3" w:themeFillTint="3F"/>
      </w:tcPr>
    </w:tblStylePr>
    <w:tblStylePr w:type="band1Horz">
      <w:tblPr/>
      <w:tcPr>
        <w:tcBorders>
          <w:top w:val="nil"/>
          <w:bottom w:val="nil"/>
          <w:insideH w:val="nil"/>
          <w:insideV w:val="nil"/>
        </w:tcBorders>
        <w:shd w:val="clear" w:color="auto" w:fill="F9EFC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1BB42" w:themeColor="accent4"/>
        <w:left w:val="single" w:sz="8" w:space="0" w:color="81BB42" w:themeColor="accent4"/>
        <w:bottom w:val="single" w:sz="8" w:space="0" w:color="81BB42" w:themeColor="accent4"/>
        <w:right w:val="single" w:sz="8" w:space="0" w:color="81BB42" w:themeColor="accent4"/>
      </w:tblBorders>
    </w:tblPr>
    <w:tblStylePr w:type="firstRow">
      <w:rPr>
        <w:sz w:val="24"/>
        <w:szCs w:val="24"/>
      </w:rPr>
      <w:tblPr/>
      <w:tcPr>
        <w:tcBorders>
          <w:top w:val="nil"/>
          <w:left w:val="nil"/>
          <w:bottom w:val="single" w:sz="24" w:space="0" w:color="81BB42" w:themeColor="accent4"/>
          <w:right w:val="nil"/>
          <w:insideH w:val="nil"/>
          <w:insideV w:val="nil"/>
        </w:tcBorders>
        <w:shd w:val="clear" w:color="auto" w:fill="FFFFFF" w:themeFill="background1"/>
      </w:tcPr>
    </w:tblStylePr>
    <w:tblStylePr w:type="lastRow">
      <w:tblPr/>
      <w:tcPr>
        <w:tcBorders>
          <w:top w:val="single" w:sz="8" w:space="0" w:color="81BB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1BB42" w:themeColor="accent4"/>
          <w:insideH w:val="nil"/>
          <w:insideV w:val="nil"/>
        </w:tcBorders>
        <w:shd w:val="clear" w:color="auto" w:fill="FFFFFF" w:themeFill="background1"/>
      </w:tcPr>
    </w:tblStylePr>
    <w:tblStylePr w:type="lastCol">
      <w:tblPr/>
      <w:tcPr>
        <w:tcBorders>
          <w:top w:val="nil"/>
          <w:left w:val="single" w:sz="8" w:space="0" w:color="81BB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ECF" w:themeFill="accent4" w:themeFillTint="3F"/>
      </w:tcPr>
    </w:tblStylePr>
    <w:tblStylePr w:type="band1Horz">
      <w:tblPr/>
      <w:tcPr>
        <w:tcBorders>
          <w:top w:val="nil"/>
          <w:bottom w:val="nil"/>
          <w:insideH w:val="nil"/>
          <w:insideV w:val="nil"/>
        </w:tcBorders>
        <w:shd w:val="clear" w:color="auto" w:fill="DFEE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C7A9" w:themeColor="accent5"/>
        <w:left w:val="single" w:sz="8" w:space="0" w:color="32C7A9" w:themeColor="accent5"/>
        <w:bottom w:val="single" w:sz="8" w:space="0" w:color="32C7A9" w:themeColor="accent5"/>
        <w:right w:val="single" w:sz="8" w:space="0" w:color="32C7A9" w:themeColor="accent5"/>
      </w:tblBorders>
    </w:tblPr>
    <w:tblStylePr w:type="firstRow">
      <w:rPr>
        <w:sz w:val="24"/>
        <w:szCs w:val="24"/>
      </w:rPr>
      <w:tblPr/>
      <w:tcPr>
        <w:tcBorders>
          <w:top w:val="nil"/>
          <w:left w:val="nil"/>
          <w:bottom w:val="single" w:sz="24" w:space="0" w:color="32C7A9" w:themeColor="accent5"/>
          <w:right w:val="nil"/>
          <w:insideH w:val="nil"/>
          <w:insideV w:val="nil"/>
        </w:tcBorders>
        <w:shd w:val="clear" w:color="auto" w:fill="FFFFFF" w:themeFill="background1"/>
      </w:tcPr>
    </w:tblStylePr>
    <w:tblStylePr w:type="lastRow">
      <w:tblPr/>
      <w:tcPr>
        <w:tcBorders>
          <w:top w:val="single" w:sz="8" w:space="0" w:color="32C7A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C7A9" w:themeColor="accent5"/>
          <w:insideH w:val="nil"/>
          <w:insideV w:val="nil"/>
        </w:tcBorders>
        <w:shd w:val="clear" w:color="auto" w:fill="FFFFFF" w:themeFill="background1"/>
      </w:tcPr>
    </w:tblStylePr>
    <w:tblStylePr w:type="lastCol">
      <w:tblPr/>
      <w:tcPr>
        <w:tcBorders>
          <w:top w:val="nil"/>
          <w:left w:val="single" w:sz="8" w:space="0" w:color="32C7A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F2EA" w:themeFill="accent5" w:themeFillTint="3F"/>
      </w:tcPr>
    </w:tblStylePr>
    <w:tblStylePr w:type="band1Horz">
      <w:tblPr/>
      <w:tcPr>
        <w:tcBorders>
          <w:top w:val="nil"/>
          <w:bottom w:val="nil"/>
          <w:insideH w:val="nil"/>
          <w:insideV w:val="nil"/>
        </w:tcBorders>
        <w:shd w:val="clear" w:color="auto" w:fill="CBF2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9BDC" w:themeColor="accent6"/>
        <w:left w:val="single" w:sz="8" w:space="0" w:color="4A9BDC" w:themeColor="accent6"/>
        <w:bottom w:val="single" w:sz="8" w:space="0" w:color="4A9BDC" w:themeColor="accent6"/>
        <w:right w:val="single" w:sz="8" w:space="0" w:color="4A9BDC" w:themeColor="accent6"/>
      </w:tblBorders>
    </w:tblPr>
    <w:tblStylePr w:type="firstRow">
      <w:rPr>
        <w:sz w:val="24"/>
        <w:szCs w:val="24"/>
      </w:rPr>
      <w:tblPr/>
      <w:tcPr>
        <w:tcBorders>
          <w:top w:val="nil"/>
          <w:left w:val="nil"/>
          <w:bottom w:val="single" w:sz="24" w:space="0" w:color="4A9BDC" w:themeColor="accent6"/>
          <w:right w:val="nil"/>
          <w:insideH w:val="nil"/>
          <w:insideV w:val="nil"/>
        </w:tcBorders>
        <w:shd w:val="clear" w:color="auto" w:fill="FFFFFF" w:themeFill="background1"/>
      </w:tcPr>
    </w:tblStylePr>
    <w:tblStylePr w:type="lastRow">
      <w:tblPr/>
      <w:tcPr>
        <w:tcBorders>
          <w:top w:val="single" w:sz="8" w:space="0" w:color="4A9BD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9BDC" w:themeColor="accent6"/>
          <w:insideH w:val="nil"/>
          <w:insideV w:val="nil"/>
        </w:tcBorders>
        <w:shd w:val="clear" w:color="auto" w:fill="FFFFFF" w:themeFill="background1"/>
      </w:tcPr>
    </w:tblStylePr>
    <w:tblStylePr w:type="lastCol">
      <w:tblPr/>
      <w:tcPr>
        <w:tcBorders>
          <w:top w:val="nil"/>
          <w:left w:val="single" w:sz="8" w:space="0" w:color="4A9BD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6F6" w:themeFill="accent6" w:themeFillTint="3F"/>
      </w:tcPr>
    </w:tblStylePr>
    <w:tblStylePr w:type="band1Horz">
      <w:tblPr/>
      <w:tcPr>
        <w:tcBorders>
          <w:top w:val="nil"/>
          <w:bottom w:val="nil"/>
          <w:insideH w:val="nil"/>
          <w:insideV w:val="nil"/>
        </w:tcBorders>
        <w:shd w:val="clear" w:color="auto" w:fill="D2E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7615D" w:themeColor="accent1" w:themeTint="BF"/>
        <w:left w:val="single" w:sz="8" w:space="0" w:color="E7615D" w:themeColor="accent1" w:themeTint="BF"/>
        <w:bottom w:val="single" w:sz="8" w:space="0" w:color="E7615D" w:themeColor="accent1" w:themeTint="BF"/>
        <w:right w:val="single" w:sz="8" w:space="0" w:color="E7615D" w:themeColor="accent1" w:themeTint="BF"/>
        <w:insideH w:val="single" w:sz="8" w:space="0" w:color="E7615D" w:themeColor="accent1" w:themeTint="BF"/>
        <w:insideV w:val="single" w:sz="8" w:space="0" w:color="E7615D" w:themeColor="accent1" w:themeTint="BF"/>
      </w:tblBorders>
    </w:tblPr>
    <w:tcPr>
      <w:shd w:val="clear" w:color="auto" w:fill="F7CAC9" w:themeFill="accent1" w:themeFillTint="3F"/>
    </w:tcPr>
    <w:tblStylePr w:type="firstRow">
      <w:rPr>
        <w:b/>
        <w:bCs/>
      </w:rPr>
    </w:tblStylePr>
    <w:tblStylePr w:type="lastRow">
      <w:rPr>
        <w:b/>
        <w:bCs/>
      </w:rPr>
      <w:tblPr/>
      <w:tcPr>
        <w:tcBorders>
          <w:top w:val="single" w:sz="18" w:space="0" w:color="E7615D" w:themeColor="accent1" w:themeTint="BF"/>
        </w:tcBorders>
      </w:tcPr>
    </w:tblStylePr>
    <w:tblStylePr w:type="firstCol">
      <w:rPr>
        <w:b/>
        <w:bCs/>
      </w:rPr>
    </w:tblStylePr>
    <w:tblStylePr w:type="lastCol">
      <w:rPr>
        <w:b/>
        <w:bCs/>
      </w:rPr>
    </w:tblStylePr>
    <w:tblStylePr w:type="band1Vert">
      <w:tblPr/>
      <w:tcPr>
        <w:shd w:val="clear" w:color="auto" w:fill="EF9693" w:themeFill="accent1" w:themeFillTint="7F"/>
      </w:tcPr>
    </w:tblStylePr>
    <w:tblStylePr w:type="band1Horz">
      <w:tblPr/>
      <w:tcPr>
        <w:shd w:val="clear" w:color="auto" w:fill="EF96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E9F53" w:themeColor="accent2" w:themeTint="BF"/>
        <w:left w:val="single" w:sz="8" w:space="0" w:color="FE9F53" w:themeColor="accent2" w:themeTint="BF"/>
        <w:bottom w:val="single" w:sz="8" w:space="0" w:color="FE9F53" w:themeColor="accent2" w:themeTint="BF"/>
        <w:right w:val="single" w:sz="8" w:space="0" w:color="FE9F53" w:themeColor="accent2" w:themeTint="BF"/>
        <w:insideH w:val="single" w:sz="8" w:space="0" w:color="FE9F53" w:themeColor="accent2" w:themeTint="BF"/>
        <w:insideV w:val="single" w:sz="8" w:space="0" w:color="FE9F53" w:themeColor="accent2" w:themeTint="BF"/>
      </w:tblBorders>
    </w:tblPr>
    <w:tcPr>
      <w:shd w:val="clear" w:color="auto" w:fill="FEDFC6" w:themeFill="accent2" w:themeFillTint="3F"/>
    </w:tcPr>
    <w:tblStylePr w:type="firstRow">
      <w:rPr>
        <w:b/>
        <w:bCs/>
      </w:rPr>
    </w:tblStylePr>
    <w:tblStylePr w:type="lastRow">
      <w:rPr>
        <w:b/>
        <w:bCs/>
      </w:rPr>
      <w:tblPr/>
      <w:tcPr>
        <w:tcBorders>
          <w:top w:val="single" w:sz="18" w:space="0" w:color="FE9F53" w:themeColor="accent2" w:themeTint="BF"/>
        </w:tcBorders>
      </w:tcPr>
    </w:tblStylePr>
    <w:tblStylePr w:type="firstCol">
      <w:rPr>
        <w:b/>
        <w:bCs/>
      </w:rPr>
    </w:tblStylePr>
    <w:tblStylePr w:type="lastCol">
      <w:rPr>
        <w:b/>
        <w:bCs/>
      </w:rPr>
    </w:tblStylePr>
    <w:tblStylePr w:type="band1Vert">
      <w:tblPr/>
      <w:tcPr>
        <w:shd w:val="clear" w:color="auto" w:fill="FEBF8C" w:themeFill="accent2" w:themeFillTint="7F"/>
      </w:tcPr>
    </w:tblStylePr>
    <w:tblStylePr w:type="band1Horz">
      <w:tblPr/>
      <w:tcPr>
        <w:shd w:val="clear" w:color="auto" w:fill="FEBF8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ECE67" w:themeColor="accent3" w:themeTint="BF"/>
        <w:left w:val="single" w:sz="8" w:space="0" w:color="EECE67" w:themeColor="accent3" w:themeTint="BF"/>
        <w:bottom w:val="single" w:sz="8" w:space="0" w:color="EECE67" w:themeColor="accent3" w:themeTint="BF"/>
        <w:right w:val="single" w:sz="8" w:space="0" w:color="EECE67" w:themeColor="accent3" w:themeTint="BF"/>
        <w:insideH w:val="single" w:sz="8" w:space="0" w:color="EECE67" w:themeColor="accent3" w:themeTint="BF"/>
        <w:insideV w:val="single" w:sz="8" w:space="0" w:color="EECE67" w:themeColor="accent3" w:themeTint="BF"/>
      </w:tblBorders>
    </w:tblPr>
    <w:tcPr>
      <w:shd w:val="clear" w:color="auto" w:fill="F9EFCC" w:themeFill="accent3" w:themeFillTint="3F"/>
    </w:tcPr>
    <w:tblStylePr w:type="firstRow">
      <w:rPr>
        <w:b/>
        <w:bCs/>
      </w:rPr>
    </w:tblStylePr>
    <w:tblStylePr w:type="lastRow">
      <w:rPr>
        <w:b/>
        <w:bCs/>
      </w:rPr>
      <w:tblPr/>
      <w:tcPr>
        <w:tcBorders>
          <w:top w:val="single" w:sz="18" w:space="0" w:color="EECE67" w:themeColor="accent3" w:themeTint="BF"/>
        </w:tcBorders>
      </w:tcPr>
    </w:tblStylePr>
    <w:tblStylePr w:type="firstCol">
      <w:rPr>
        <w:b/>
        <w:bCs/>
      </w:rPr>
    </w:tblStylePr>
    <w:tblStylePr w:type="lastCol">
      <w:rPr>
        <w:b/>
        <w:bCs/>
      </w:rPr>
    </w:tblStylePr>
    <w:tblStylePr w:type="band1Vert">
      <w:tblPr/>
      <w:tcPr>
        <w:shd w:val="clear" w:color="auto" w:fill="F4DE9A" w:themeFill="accent3" w:themeFillTint="7F"/>
      </w:tcPr>
    </w:tblStylePr>
    <w:tblStylePr w:type="band1Horz">
      <w:tblPr/>
      <w:tcPr>
        <w:shd w:val="clear" w:color="auto" w:fill="F4DE9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0CC70" w:themeColor="accent4" w:themeTint="BF"/>
        <w:left w:val="single" w:sz="8" w:space="0" w:color="A0CC70" w:themeColor="accent4" w:themeTint="BF"/>
        <w:bottom w:val="single" w:sz="8" w:space="0" w:color="A0CC70" w:themeColor="accent4" w:themeTint="BF"/>
        <w:right w:val="single" w:sz="8" w:space="0" w:color="A0CC70" w:themeColor="accent4" w:themeTint="BF"/>
        <w:insideH w:val="single" w:sz="8" w:space="0" w:color="A0CC70" w:themeColor="accent4" w:themeTint="BF"/>
        <w:insideV w:val="single" w:sz="8" w:space="0" w:color="A0CC70" w:themeColor="accent4" w:themeTint="BF"/>
      </w:tblBorders>
    </w:tblPr>
    <w:tcPr>
      <w:shd w:val="clear" w:color="auto" w:fill="DFEECF" w:themeFill="accent4" w:themeFillTint="3F"/>
    </w:tcPr>
    <w:tblStylePr w:type="firstRow">
      <w:rPr>
        <w:b/>
        <w:bCs/>
      </w:rPr>
    </w:tblStylePr>
    <w:tblStylePr w:type="lastRow">
      <w:rPr>
        <w:b/>
        <w:bCs/>
      </w:rPr>
      <w:tblPr/>
      <w:tcPr>
        <w:tcBorders>
          <w:top w:val="single" w:sz="18" w:space="0" w:color="A0CC70" w:themeColor="accent4" w:themeTint="BF"/>
        </w:tcBorders>
      </w:tcPr>
    </w:tblStylePr>
    <w:tblStylePr w:type="firstCol">
      <w:rPr>
        <w:b/>
        <w:bCs/>
      </w:rPr>
    </w:tblStylePr>
    <w:tblStylePr w:type="lastCol">
      <w:rPr>
        <w:b/>
        <w:bCs/>
      </w:rPr>
    </w:tblStylePr>
    <w:tblStylePr w:type="band1Vert">
      <w:tblPr/>
      <w:tcPr>
        <w:shd w:val="clear" w:color="auto" w:fill="C0DDA0" w:themeFill="accent4" w:themeFillTint="7F"/>
      </w:tcPr>
    </w:tblStylePr>
    <w:tblStylePr w:type="band1Horz">
      <w:tblPr/>
      <w:tcPr>
        <w:shd w:val="clear" w:color="auto" w:fill="C0DDA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62D7BF" w:themeColor="accent5" w:themeTint="BF"/>
        <w:left w:val="single" w:sz="8" w:space="0" w:color="62D7BF" w:themeColor="accent5" w:themeTint="BF"/>
        <w:bottom w:val="single" w:sz="8" w:space="0" w:color="62D7BF" w:themeColor="accent5" w:themeTint="BF"/>
        <w:right w:val="single" w:sz="8" w:space="0" w:color="62D7BF" w:themeColor="accent5" w:themeTint="BF"/>
        <w:insideH w:val="single" w:sz="8" w:space="0" w:color="62D7BF" w:themeColor="accent5" w:themeTint="BF"/>
        <w:insideV w:val="single" w:sz="8" w:space="0" w:color="62D7BF" w:themeColor="accent5" w:themeTint="BF"/>
      </w:tblBorders>
    </w:tblPr>
    <w:tcPr>
      <w:shd w:val="clear" w:color="auto" w:fill="CBF2EA" w:themeFill="accent5" w:themeFillTint="3F"/>
    </w:tcPr>
    <w:tblStylePr w:type="firstRow">
      <w:rPr>
        <w:b/>
        <w:bCs/>
      </w:rPr>
    </w:tblStylePr>
    <w:tblStylePr w:type="lastRow">
      <w:rPr>
        <w:b/>
        <w:bCs/>
      </w:rPr>
      <w:tblPr/>
      <w:tcPr>
        <w:tcBorders>
          <w:top w:val="single" w:sz="18" w:space="0" w:color="62D7BF" w:themeColor="accent5" w:themeTint="BF"/>
        </w:tcBorders>
      </w:tcPr>
    </w:tblStylePr>
    <w:tblStylePr w:type="firstCol">
      <w:rPr>
        <w:b/>
        <w:bCs/>
      </w:rPr>
    </w:tblStylePr>
    <w:tblStylePr w:type="lastCol">
      <w:rPr>
        <w:b/>
        <w:bCs/>
      </w:rPr>
    </w:tblStylePr>
    <w:tblStylePr w:type="band1Vert">
      <w:tblPr/>
      <w:tcPr>
        <w:shd w:val="clear" w:color="auto" w:fill="97E5D5" w:themeFill="accent5" w:themeFillTint="7F"/>
      </w:tcPr>
    </w:tblStylePr>
    <w:tblStylePr w:type="band1Horz">
      <w:tblPr/>
      <w:tcPr>
        <w:shd w:val="clear" w:color="auto" w:fill="97E5D5"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7B3E4" w:themeColor="accent6" w:themeTint="BF"/>
        <w:left w:val="single" w:sz="8" w:space="0" w:color="77B3E4" w:themeColor="accent6" w:themeTint="BF"/>
        <w:bottom w:val="single" w:sz="8" w:space="0" w:color="77B3E4" w:themeColor="accent6" w:themeTint="BF"/>
        <w:right w:val="single" w:sz="8" w:space="0" w:color="77B3E4" w:themeColor="accent6" w:themeTint="BF"/>
        <w:insideH w:val="single" w:sz="8" w:space="0" w:color="77B3E4" w:themeColor="accent6" w:themeTint="BF"/>
        <w:insideV w:val="single" w:sz="8" w:space="0" w:color="77B3E4" w:themeColor="accent6" w:themeTint="BF"/>
      </w:tblBorders>
    </w:tblPr>
    <w:tcPr>
      <w:shd w:val="clear" w:color="auto" w:fill="D2E6F6" w:themeFill="accent6" w:themeFillTint="3F"/>
    </w:tcPr>
    <w:tblStylePr w:type="firstRow">
      <w:rPr>
        <w:b/>
        <w:bCs/>
      </w:rPr>
    </w:tblStylePr>
    <w:tblStylePr w:type="lastRow">
      <w:rPr>
        <w:b/>
        <w:bCs/>
      </w:rPr>
      <w:tblPr/>
      <w:tcPr>
        <w:tcBorders>
          <w:top w:val="single" w:sz="18" w:space="0" w:color="77B3E4" w:themeColor="accent6" w:themeTint="BF"/>
        </w:tcBorders>
      </w:tcPr>
    </w:tblStylePr>
    <w:tblStylePr w:type="firstCol">
      <w:rPr>
        <w:b/>
        <w:bCs/>
      </w:rPr>
    </w:tblStylePr>
    <w:tblStylePr w:type="lastCol">
      <w:rPr>
        <w:b/>
        <w:bCs/>
      </w:rPr>
    </w:tblStylePr>
    <w:tblStylePr w:type="band1Vert">
      <w:tblPr/>
      <w:tcPr>
        <w:shd w:val="clear" w:color="auto" w:fill="A4CDED" w:themeFill="accent6" w:themeFillTint="7F"/>
      </w:tcPr>
    </w:tblStylePr>
    <w:tblStylePr w:type="band1Horz">
      <w:tblPr/>
      <w:tcPr>
        <w:shd w:val="clear" w:color="auto" w:fill="A4CDE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2E28" w:themeColor="accent1"/>
        <w:left w:val="single" w:sz="8" w:space="0" w:color="DF2E28" w:themeColor="accent1"/>
        <w:bottom w:val="single" w:sz="8" w:space="0" w:color="DF2E28" w:themeColor="accent1"/>
        <w:right w:val="single" w:sz="8" w:space="0" w:color="DF2E28" w:themeColor="accent1"/>
        <w:insideH w:val="single" w:sz="8" w:space="0" w:color="DF2E28" w:themeColor="accent1"/>
        <w:insideV w:val="single" w:sz="8" w:space="0" w:color="DF2E28" w:themeColor="accent1"/>
      </w:tblBorders>
    </w:tblPr>
    <w:tcPr>
      <w:shd w:val="clear" w:color="auto" w:fill="F7CAC9" w:themeFill="accent1" w:themeFillTint="3F"/>
    </w:tcPr>
    <w:tblStylePr w:type="firstRow">
      <w:rPr>
        <w:b/>
        <w:bCs/>
        <w:color w:val="000000" w:themeColor="text1"/>
      </w:rPr>
      <w:tblPr/>
      <w:tcPr>
        <w:shd w:val="clear" w:color="auto" w:fill="FCEA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4D3" w:themeFill="accent1" w:themeFillTint="33"/>
      </w:tcPr>
    </w:tblStylePr>
    <w:tblStylePr w:type="band1Vert">
      <w:tblPr/>
      <w:tcPr>
        <w:shd w:val="clear" w:color="auto" w:fill="EF9693" w:themeFill="accent1" w:themeFillTint="7F"/>
      </w:tcPr>
    </w:tblStylePr>
    <w:tblStylePr w:type="band1Horz">
      <w:tblPr/>
      <w:tcPr>
        <w:tcBorders>
          <w:insideH w:val="single" w:sz="6" w:space="0" w:color="DF2E28" w:themeColor="accent1"/>
          <w:insideV w:val="single" w:sz="6" w:space="0" w:color="DF2E28" w:themeColor="accent1"/>
        </w:tcBorders>
        <w:shd w:val="clear" w:color="auto" w:fill="EF96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801A" w:themeColor="accent2"/>
        <w:left w:val="single" w:sz="8" w:space="0" w:color="FE801A" w:themeColor="accent2"/>
        <w:bottom w:val="single" w:sz="8" w:space="0" w:color="FE801A" w:themeColor="accent2"/>
        <w:right w:val="single" w:sz="8" w:space="0" w:color="FE801A" w:themeColor="accent2"/>
        <w:insideH w:val="single" w:sz="8" w:space="0" w:color="FE801A" w:themeColor="accent2"/>
        <w:insideV w:val="single" w:sz="8" w:space="0" w:color="FE801A" w:themeColor="accent2"/>
      </w:tblBorders>
    </w:tblPr>
    <w:tcPr>
      <w:shd w:val="clear" w:color="auto" w:fill="FEDFC6" w:themeFill="accent2" w:themeFillTint="3F"/>
    </w:tcPr>
    <w:tblStylePr w:type="firstRow">
      <w:rPr>
        <w:b/>
        <w:bCs/>
        <w:color w:val="000000" w:themeColor="text1"/>
      </w:rPr>
      <w:tblPr/>
      <w:tcPr>
        <w:shd w:val="clear" w:color="auto" w:fill="FFF2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5D1" w:themeFill="accent2" w:themeFillTint="33"/>
      </w:tcPr>
    </w:tblStylePr>
    <w:tblStylePr w:type="band1Vert">
      <w:tblPr/>
      <w:tcPr>
        <w:shd w:val="clear" w:color="auto" w:fill="FEBF8C" w:themeFill="accent2" w:themeFillTint="7F"/>
      </w:tcPr>
    </w:tblStylePr>
    <w:tblStylePr w:type="band1Horz">
      <w:tblPr/>
      <w:tcPr>
        <w:tcBorders>
          <w:insideH w:val="single" w:sz="6" w:space="0" w:color="FE801A" w:themeColor="accent2"/>
          <w:insideV w:val="single" w:sz="6" w:space="0" w:color="FE801A" w:themeColor="accent2"/>
        </w:tcBorders>
        <w:shd w:val="clear" w:color="auto" w:fill="FEBF8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BF35" w:themeColor="accent3"/>
        <w:left w:val="single" w:sz="8" w:space="0" w:color="E9BF35" w:themeColor="accent3"/>
        <w:bottom w:val="single" w:sz="8" w:space="0" w:color="E9BF35" w:themeColor="accent3"/>
        <w:right w:val="single" w:sz="8" w:space="0" w:color="E9BF35" w:themeColor="accent3"/>
        <w:insideH w:val="single" w:sz="8" w:space="0" w:color="E9BF35" w:themeColor="accent3"/>
        <w:insideV w:val="single" w:sz="8" w:space="0" w:color="E9BF35" w:themeColor="accent3"/>
      </w:tblBorders>
    </w:tblPr>
    <w:tcPr>
      <w:shd w:val="clear" w:color="auto" w:fill="F9EFCC" w:themeFill="accent3" w:themeFillTint="3F"/>
    </w:tcPr>
    <w:tblStylePr w:type="firstRow">
      <w:rPr>
        <w:b/>
        <w:bCs/>
        <w:color w:val="000000" w:themeColor="text1"/>
      </w:rPr>
      <w:tblPr/>
      <w:tcPr>
        <w:shd w:val="clear" w:color="auto" w:fill="FDF8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2D6" w:themeFill="accent3" w:themeFillTint="33"/>
      </w:tcPr>
    </w:tblStylePr>
    <w:tblStylePr w:type="band1Vert">
      <w:tblPr/>
      <w:tcPr>
        <w:shd w:val="clear" w:color="auto" w:fill="F4DE9A" w:themeFill="accent3" w:themeFillTint="7F"/>
      </w:tcPr>
    </w:tblStylePr>
    <w:tblStylePr w:type="band1Horz">
      <w:tblPr/>
      <w:tcPr>
        <w:tcBorders>
          <w:insideH w:val="single" w:sz="6" w:space="0" w:color="E9BF35" w:themeColor="accent3"/>
          <w:insideV w:val="single" w:sz="6" w:space="0" w:color="E9BF35" w:themeColor="accent3"/>
        </w:tcBorders>
        <w:shd w:val="clear" w:color="auto" w:fill="F4DE9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1BB42" w:themeColor="accent4"/>
        <w:left w:val="single" w:sz="8" w:space="0" w:color="81BB42" w:themeColor="accent4"/>
        <w:bottom w:val="single" w:sz="8" w:space="0" w:color="81BB42" w:themeColor="accent4"/>
        <w:right w:val="single" w:sz="8" w:space="0" w:color="81BB42" w:themeColor="accent4"/>
        <w:insideH w:val="single" w:sz="8" w:space="0" w:color="81BB42" w:themeColor="accent4"/>
        <w:insideV w:val="single" w:sz="8" w:space="0" w:color="81BB42" w:themeColor="accent4"/>
      </w:tblBorders>
    </w:tblPr>
    <w:tcPr>
      <w:shd w:val="clear" w:color="auto" w:fill="DFEECF" w:themeFill="accent4" w:themeFillTint="3F"/>
    </w:tcPr>
    <w:tblStylePr w:type="firstRow">
      <w:rPr>
        <w:b/>
        <w:bCs/>
        <w:color w:val="000000" w:themeColor="text1"/>
      </w:rPr>
      <w:tblPr/>
      <w:tcPr>
        <w:shd w:val="clear" w:color="auto" w:fill="F2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F1D8" w:themeFill="accent4" w:themeFillTint="33"/>
      </w:tcPr>
    </w:tblStylePr>
    <w:tblStylePr w:type="band1Vert">
      <w:tblPr/>
      <w:tcPr>
        <w:shd w:val="clear" w:color="auto" w:fill="C0DDA0" w:themeFill="accent4" w:themeFillTint="7F"/>
      </w:tcPr>
    </w:tblStylePr>
    <w:tblStylePr w:type="band1Horz">
      <w:tblPr/>
      <w:tcPr>
        <w:tcBorders>
          <w:insideH w:val="single" w:sz="6" w:space="0" w:color="81BB42" w:themeColor="accent4"/>
          <w:insideV w:val="single" w:sz="6" w:space="0" w:color="81BB42" w:themeColor="accent4"/>
        </w:tcBorders>
        <w:shd w:val="clear" w:color="auto" w:fill="C0DD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C7A9" w:themeColor="accent5"/>
        <w:left w:val="single" w:sz="8" w:space="0" w:color="32C7A9" w:themeColor="accent5"/>
        <w:bottom w:val="single" w:sz="8" w:space="0" w:color="32C7A9" w:themeColor="accent5"/>
        <w:right w:val="single" w:sz="8" w:space="0" w:color="32C7A9" w:themeColor="accent5"/>
        <w:insideH w:val="single" w:sz="8" w:space="0" w:color="32C7A9" w:themeColor="accent5"/>
        <w:insideV w:val="single" w:sz="8" w:space="0" w:color="32C7A9" w:themeColor="accent5"/>
      </w:tblBorders>
    </w:tblPr>
    <w:tcPr>
      <w:shd w:val="clear" w:color="auto" w:fill="CBF2EA" w:themeFill="accent5" w:themeFillTint="3F"/>
    </w:tcPr>
    <w:tblStylePr w:type="firstRow">
      <w:rPr>
        <w:b/>
        <w:bCs/>
        <w:color w:val="000000" w:themeColor="text1"/>
      </w:rPr>
      <w:tblPr/>
      <w:tcPr>
        <w:shd w:val="clear" w:color="auto" w:fill="EAFA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F4EE" w:themeFill="accent5" w:themeFillTint="33"/>
      </w:tcPr>
    </w:tblStylePr>
    <w:tblStylePr w:type="band1Vert">
      <w:tblPr/>
      <w:tcPr>
        <w:shd w:val="clear" w:color="auto" w:fill="97E5D5" w:themeFill="accent5" w:themeFillTint="7F"/>
      </w:tcPr>
    </w:tblStylePr>
    <w:tblStylePr w:type="band1Horz">
      <w:tblPr/>
      <w:tcPr>
        <w:tcBorders>
          <w:insideH w:val="single" w:sz="6" w:space="0" w:color="32C7A9" w:themeColor="accent5"/>
          <w:insideV w:val="single" w:sz="6" w:space="0" w:color="32C7A9" w:themeColor="accent5"/>
        </w:tcBorders>
        <w:shd w:val="clear" w:color="auto" w:fill="97E5D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9BDC" w:themeColor="accent6"/>
        <w:left w:val="single" w:sz="8" w:space="0" w:color="4A9BDC" w:themeColor="accent6"/>
        <w:bottom w:val="single" w:sz="8" w:space="0" w:color="4A9BDC" w:themeColor="accent6"/>
        <w:right w:val="single" w:sz="8" w:space="0" w:color="4A9BDC" w:themeColor="accent6"/>
        <w:insideH w:val="single" w:sz="8" w:space="0" w:color="4A9BDC" w:themeColor="accent6"/>
        <w:insideV w:val="single" w:sz="8" w:space="0" w:color="4A9BDC" w:themeColor="accent6"/>
      </w:tblBorders>
    </w:tblPr>
    <w:tcPr>
      <w:shd w:val="clear" w:color="auto" w:fill="D2E6F6" w:themeFill="accent6" w:themeFillTint="3F"/>
    </w:tcPr>
    <w:tblStylePr w:type="firstRow">
      <w:rPr>
        <w:b/>
        <w:bCs/>
        <w:color w:val="000000" w:themeColor="text1"/>
      </w:rPr>
      <w:tblPr/>
      <w:tcPr>
        <w:shd w:val="clear" w:color="auto" w:fill="EDF5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AF8" w:themeFill="accent6" w:themeFillTint="33"/>
      </w:tcPr>
    </w:tblStylePr>
    <w:tblStylePr w:type="band1Vert">
      <w:tblPr/>
      <w:tcPr>
        <w:shd w:val="clear" w:color="auto" w:fill="A4CDED" w:themeFill="accent6" w:themeFillTint="7F"/>
      </w:tcPr>
    </w:tblStylePr>
    <w:tblStylePr w:type="band1Horz">
      <w:tblPr/>
      <w:tcPr>
        <w:tcBorders>
          <w:insideH w:val="single" w:sz="6" w:space="0" w:color="4A9BDC" w:themeColor="accent6"/>
          <w:insideV w:val="single" w:sz="6" w:space="0" w:color="4A9BDC" w:themeColor="accent6"/>
        </w:tcBorders>
        <w:shd w:val="clear" w:color="auto" w:fill="A4CD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A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2E2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2E2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2E2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2E2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6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6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F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01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01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01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01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BF8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BF8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FC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B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B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B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B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DE9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DE9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E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1BB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1BB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1BB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1BB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0DD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DDA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F2E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2C7A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2C7A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2C7A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2C7A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E5D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E5D5"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9BD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9BD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9BD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9BD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CD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CDE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F2E2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141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B1E1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B1E19" w:themeFill="accent1" w:themeFillShade="BF"/>
      </w:tcPr>
    </w:tblStylePr>
    <w:tblStylePr w:type="band1Vert">
      <w:tblPr/>
      <w:tcPr>
        <w:tcBorders>
          <w:top w:val="nil"/>
          <w:left w:val="nil"/>
          <w:bottom w:val="nil"/>
          <w:right w:val="nil"/>
          <w:insideH w:val="nil"/>
          <w:insideV w:val="nil"/>
        </w:tcBorders>
        <w:shd w:val="clear" w:color="auto" w:fill="AB1E19" w:themeFill="accent1" w:themeFillShade="BF"/>
      </w:tcPr>
    </w:tblStylePr>
    <w:tblStylePr w:type="band1Horz">
      <w:tblPr/>
      <w:tcPr>
        <w:tcBorders>
          <w:top w:val="nil"/>
          <w:left w:val="nil"/>
          <w:bottom w:val="nil"/>
          <w:right w:val="nil"/>
          <w:insideH w:val="nil"/>
          <w:insideV w:val="nil"/>
        </w:tcBorders>
        <w:shd w:val="clear" w:color="auto" w:fill="AB1E19"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E801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3E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05D0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05D01" w:themeFill="accent2" w:themeFillShade="BF"/>
      </w:tcPr>
    </w:tblStylePr>
    <w:tblStylePr w:type="band1Vert">
      <w:tblPr/>
      <w:tcPr>
        <w:tcBorders>
          <w:top w:val="nil"/>
          <w:left w:val="nil"/>
          <w:bottom w:val="nil"/>
          <w:right w:val="nil"/>
          <w:insideH w:val="nil"/>
          <w:insideV w:val="nil"/>
        </w:tcBorders>
        <w:shd w:val="clear" w:color="auto" w:fill="D05D01" w:themeFill="accent2" w:themeFillShade="BF"/>
      </w:tcPr>
    </w:tblStylePr>
    <w:tblStylePr w:type="band1Horz">
      <w:tblPr/>
      <w:tcPr>
        <w:tcBorders>
          <w:top w:val="nil"/>
          <w:left w:val="nil"/>
          <w:bottom w:val="nil"/>
          <w:right w:val="nil"/>
          <w:insideH w:val="nil"/>
          <w:insideV w:val="nil"/>
        </w:tcBorders>
        <w:shd w:val="clear" w:color="auto" w:fill="D05D0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9B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5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098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09815" w:themeFill="accent3" w:themeFillShade="BF"/>
      </w:tcPr>
    </w:tblStylePr>
    <w:tblStylePr w:type="band1Vert">
      <w:tblPr/>
      <w:tcPr>
        <w:tcBorders>
          <w:top w:val="nil"/>
          <w:left w:val="nil"/>
          <w:bottom w:val="nil"/>
          <w:right w:val="nil"/>
          <w:insideH w:val="nil"/>
          <w:insideV w:val="nil"/>
        </w:tcBorders>
        <w:shd w:val="clear" w:color="auto" w:fill="C09815" w:themeFill="accent3" w:themeFillShade="BF"/>
      </w:tcPr>
    </w:tblStylePr>
    <w:tblStylePr w:type="band1Horz">
      <w:tblPr/>
      <w:tcPr>
        <w:tcBorders>
          <w:top w:val="nil"/>
          <w:left w:val="nil"/>
          <w:bottom w:val="nil"/>
          <w:right w:val="nil"/>
          <w:insideH w:val="nil"/>
          <w:insideV w:val="nil"/>
        </w:tcBorders>
        <w:shd w:val="clear" w:color="auto" w:fill="C098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1BB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5D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8B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8B31" w:themeFill="accent4" w:themeFillShade="BF"/>
      </w:tcPr>
    </w:tblStylePr>
    <w:tblStylePr w:type="band1Vert">
      <w:tblPr/>
      <w:tcPr>
        <w:tcBorders>
          <w:top w:val="nil"/>
          <w:left w:val="nil"/>
          <w:bottom w:val="nil"/>
          <w:right w:val="nil"/>
          <w:insideH w:val="nil"/>
          <w:insideV w:val="nil"/>
        </w:tcBorders>
        <w:shd w:val="clear" w:color="auto" w:fill="608B31" w:themeFill="accent4" w:themeFillShade="BF"/>
      </w:tcPr>
    </w:tblStylePr>
    <w:tblStylePr w:type="band1Horz">
      <w:tblPr/>
      <w:tcPr>
        <w:tcBorders>
          <w:top w:val="nil"/>
          <w:left w:val="nil"/>
          <w:bottom w:val="nil"/>
          <w:right w:val="nil"/>
          <w:insideH w:val="nil"/>
          <w:insideV w:val="nil"/>
        </w:tcBorders>
        <w:shd w:val="clear" w:color="auto" w:fill="608B3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2C7A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635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5947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5947E" w:themeFill="accent5" w:themeFillShade="BF"/>
      </w:tcPr>
    </w:tblStylePr>
    <w:tblStylePr w:type="band1Vert">
      <w:tblPr/>
      <w:tcPr>
        <w:tcBorders>
          <w:top w:val="nil"/>
          <w:left w:val="nil"/>
          <w:bottom w:val="nil"/>
          <w:right w:val="nil"/>
          <w:insideH w:val="nil"/>
          <w:insideV w:val="nil"/>
        </w:tcBorders>
        <w:shd w:val="clear" w:color="auto" w:fill="25947E" w:themeFill="accent5" w:themeFillShade="BF"/>
      </w:tcPr>
    </w:tblStylePr>
    <w:tblStylePr w:type="band1Horz">
      <w:tblPr/>
      <w:tcPr>
        <w:tcBorders>
          <w:top w:val="nil"/>
          <w:left w:val="nil"/>
          <w:bottom w:val="nil"/>
          <w:right w:val="nil"/>
          <w:insideH w:val="nil"/>
          <w:insideV w:val="nil"/>
        </w:tcBorders>
        <w:shd w:val="clear" w:color="auto" w:fill="25947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A9BD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74E7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375B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375B8" w:themeFill="accent6" w:themeFillShade="BF"/>
      </w:tcPr>
    </w:tblStylePr>
    <w:tblStylePr w:type="band1Vert">
      <w:tblPr/>
      <w:tcPr>
        <w:tcBorders>
          <w:top w:val="nil"/>
          <w:left w:val="nil"/>
          <w:bottom w:val="nil"/>
          <w:right w:val="nil"/>
          <w:insideH w:val="nil"/>
          <w:insideV w:val="nil"/>
        </w:tcBorders>
        <w:shd w:val="clear" w:color="auto" w:fill="2375B8" w:themeFill="accent6" w:themeFillShade="BF"/>
      </w:tcPr>
    </w:tblStylePr>
    <w:tblStylePr w:type="band1Horz">
      <w:tblPr/>
      <w:tcPr>
        <w:tcBorders>
          <w:top w:val="nil"/>
          <w:left w:val="nil"/>
          <w:bottom w:val="nil"/>
          <w:right w:val="nil"/>
          <w:insideH w:val="nil"/>
          <w:insideV w:val="nil"/>
        </w:tcBorders>
        <w:shd w:val="clear" w:color="auto" w:fill="2375B8"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E801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E801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E801A" w:themeColor="accent2"/>
        <w:left w:val="single" w:sz="4" w:space="0" w:color="DF2E28" w:themeColor="accent1"/>
        <w:bottom w:val="single" w:sz="4" w:space="0" w:color="DF2E28" w:themeColor="accent1"/>
        <w:right w:val="single" w:sz="4" w:space="0" w:color="DF2E28" w:themeColor="accent1"/>
        <w:insideH w:val="single" w:sz="4" w:space="0" w:color="FFFFFF" w:themeColor="background1"/>
        <w:insideV w:val="single" w:sz="4" w:space="0" w:color="FFFFFF" w:themeColor="background1"/>
      </w:tblBorders>
    </w:tblPr>
    <w:tcPr>
      <w:shd w:val="clear" w:color="auto" w:fill="FCEAE9" w:themeFill="accent1" w:themeFillTint="19"/>
    </w:tcPr>
    <w:tblStylePr w:type="firstRow">
      <w:rPr>
        <w:b/>
        <w:bCs/>
      </w:rPr>
      <w:tblPr/>
      <w:tcPr>
        <w:tcBorders>
          <w:top w:val="nil"/>
          <w:left w:val="nil"/>
          <w:bottom w:val="single" w:sz="24" w:space="0" w:color="FE801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91814" w:themeFill="accent1" w:themeFillShade="99"/>
      </w:tcPr>
    </w:tblStylePr>
    <w:tblStylePr w:type="firstCol">
      <w:rPr>
        <w:color w:val="FFFFFF" w:themeColor="background1"/>
      </w:rPr>
      <w:tblPr/>
      <w:tcPr>
        <w:tcBorders>
          <w:top w:val="nil"/>
          <w:left w:val="nil"/>
          <w:bottom w:val="nil"/>
          <w:right w:val="nil"/>
          <w:insideH w:val="single" w:sz="4" w:space="0" w:color="891814" w:themeColor="accent1" w:themeShade="99"/>
          <w:insideV w:val="nil"/>
        </w:tcBorders>
        <w:shd w:val="clear" w:color="auto" w:fill="89181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91814" w:themeFill="accent1" w:themeFillShade="99"/>
      </w:tcPr>
    </w:tblStylePr>
    <w:tblStylePr w:type="band1Vert">
      <w:tblPr/>
      <w:tcPr>
        <w:shd w:val="clear" w:color="auto" w:fill="F2ABA8" w:themeFill="accent1" w:themeFillTint="66"/>
      </w:tcPr>
    </w:tblStylePr>
    <w:tblStylePr w:type="band1Horz">
      <w:tblPr/>
      <w:tcPr>
        <w:shd w:val="clear" w:color="auto" w:fill="EF96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E801A" w:themeColor="accent2"/>
        <w:left w:val="single" w:sz="4" w:space="0" w:color="FE801A" w:themeColor="accent2"/>
        <w:bottom w:val="single" w:sz="4" w:space="0" w:color="FE801A" w:themeColor="accent2"/>
        <w:right w:val="single" w:sz="4" w:space="0" w:color="FE801A" w:themeColor="accent2"/>
        <w:insideH w:val="single" w:sz="4" w:space="0" w:color="FFFFFF" w:themeColor="background1"/>
        <w:insideV w:val="single" w:sz="4" w:space="0" w:color="FFFFFF" w:themeColor="background1"/>
      </w:tblBorders>
    </w:tblPr>
    <w:tcPr>
      <w:shd w:val="clear" w:color="auto" w:fill="FFF2E8" w:themeFill="accent2" w:themeFillTint="19"/>
    </w:tcPr>
    <w:tblStylePr w:type="firstRow">
      <w:rPr>
        <w:b/>
        <w:bCs/>
      </w:rPr>
      <w:tblPr/>
      <w:tcPr>
        <w:tcBorders>
          <w:top w:val="nil"/>
          <w:left w:val="nil"/>
          <w:bottom w:val="single" w:sz="24" w:space="0" w:color="FE801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4B00" w:themeFill="accent2" w:themeFillShade="99"/>
      </w:tcPr>
    </w:tblStylePr>
    <w:tblStylePr w:type="firstCol">
      <w:rPr>
        <w:color w:val="FFFFFF" w:themeColor="background1"/>
      </w:rPr>
      <w:tblPr/>
      <w:tcPr>
        <w:tcBorders>
          <w:top w:val="nil"/>
          <w:left w:val="nil"/>
          <w:bottom w:val="nil"/>
          <w:right w:val="nil"/>
          <w:insideH w:val="single" w:sz="4" w:space="0" w:color="A74B00" w:themeColor="accent2" w:themeShade="99"/>
          <w:insideV w:val="nil"/>
        </w:tcBorders>
        <w:shd w:val="clear" w:color="auto" w:fill="A74B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74B00" w:themeFill="accent2" w:themeFillShade="99"/>
      </w:tcPr>
    </w:tblStylePr>
    <w:tblStylePr w:type="band1Vert">
      <w:tblPr/>
      <w:tcPr>
        <w:shd w:val="clear" w:color="auto" w:fill="FECCA3" w:themeFill="accent2" w:themeFillTint="66"/>
      </w:tcPr>
    </w:tblStylePr>
    <w:tblStylePr w:type="band1Horz">
      <w:tblPr/>
      <w:tcPr>
        <w:shd w:val="clear" w:color="auto" w:fill="FEBF8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1BB42" w:themeColor="accent4"/>
        <w:left w:val="single" w:sz="4" w:space="0" w:color="E9BF35" w:themeColor="accent3"/>
        <w:bottom w:val="single" w:sz="4" w:space="0" w:color="E9BF35" w:themeColor="accent3"/>
        <w:right w:val="single" w:sz="4" w:space="0" w:color="E9BF35" w:themeColor="accent3"/>
        <w:insideH w:val="single" w:sz="4" w:space="0" w:color="FFFFFF" w:themeColor="background1"/>
        <w:insideV w:val="single" w:sz="4" w:space="0" w:color="FFFFFF" w:themeColor="background1"/>
      </w:tblBorders>
    </w:tblPr>
    <w:tcPr>
      <w:shd w:val="clear" w:color="auto" w:fill="FDF8EB" w:themeFill="accent3" w:themeFillTint="19"/>
    </w:tcPr>
    <w:tblStylePr w:type="firstRow">
      <w:rPr>
        <w:b/>
        <w:bCs/>
      </w:rPr>
      <w:tblPr/>
      <w:tcPr>
        <w:tcBorders>
          <w:top w:val="nil"/>
          <w:left w:val="nil"/>
          <w:bottom w:val="single" w:sz="24" w:space="0" w:color="81BB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7A11" w:themeFill="accent3" w:themeFillShade="99"/>
      </w:tcPr>
    </w:tblStylePr>
    <w:tblStylePr w:type="firstCol">
      <w:rPr>
        <w:color w:val="FFFFFF" w:themeColor="background1"/>
      </w:rPr>
      <w:tblPr/>
      <w:tcPr>
        <w:tcBorders>
          <w:top w:val="nil"/>
          <w:left w:val="nil"/>
          <w:bottom w:val="nil"/>
          <w:right w:val="nil"/>
          <w:insideH w:val="single" w:sz="4" w:space="0" w:color="9A7A11" w:themeColor="accent3" w:themeShade="99"/>
          <w:insideV w:val="nil"/>
        </w:tcBorders>
        <w:shd w:val="clear" w:color="auto" w:fill="9A7A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A7A11" w:themeFill="accent3" w:themeFillShade="99"/>
      </w:tcPr>
    </w:tblStylePr>
    <w:tblStylePr w:type="band1Vert">
      <w:tblPr/>
      <w:tcPr>
        <w:shd w:val="clear" w:color="auto" w:fill="F6E5AE" w:themeFill="accent3" w:themeFillTint="66"/>
      </w:tcPr>
    </w:tblStylePr>
    <w:tblStylePr w:type="band1Horz">
      <w:tblPr/>
      <w:tcPr>
        <w:shd w:val="clear" w:color="auto" w:fill="F4DE9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9BF35" w:themeColor="accent3"/>
        <w:left w:val="single" w:sz="4" w:space="0" w:color="81BB42" w:themeColor="accent4"/>
        <w:bottom w:val="single" w:sz="4" w:space="0" w:color="81BB42" w:themeColor="accent4"/>
        <w:right w:val="single" w:sz="4" w:space="0" w:color="81BB42" w:themeColor="accent4"/>
        <w:insideH w:val="single" w:sz="4" w:space="0" w:color="FFFFFF" w:themeColor="background1"/>
        <w:insideV w:val="single" w:sz="4" w:space="0" w:color="FFFFFF" w:themeColor="background1"/>
      </w:tblBorders>
    </w:tblPr>
    <w:tcPr>
      <w:shd w:val="clear" w:color="auto" w:fill="F2F8EC" w:themeFill="accent4" w:themeFillTint="19"/>
    </w:tcPr>
    <w:tblStylePr w:type="firstRow">
      <w:rPr>
        <w:b/>
        <w:bCs/>
      </w:rPr>
      <w:tblPr/>
      <w:tcPr>
        <w:tcBorders>
          <w:top w:val="nil"/>
          <w:left w:val="nil"/>
          <w:bottom w:val="single" w:sz="24" w:space="0" w:color="E9B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D7027" w:themeFill="accent4" w:themeFillShade="99"/>
      </w:tcPr>
    </w:tblStylePr>
    <w:tblStylePr w:type="firstCol">
      <w:rPr>
        <w:color w:val="FFFFFF" w:themeColor="background1"/>
      </w:rPr>
      <w:tblPr/>
      <w:tcPr>
        <w:tcBorders>
          <w:top w:val="nil"/>
          <w:left w:val="nil"/>
          <w:bottom w:val="nil"/>
          <w:right w:val="nil"/>
          <w:insideH w:val="single" w:sz="4" w:space="0" w:color="4D7027" w:themeColor="accent4" w:themeShade="99"/>
          <w:insideV w:val="nil"/>
        </w:tcBorders>
        <w:shd w:val="clear" w:color="auto" w:fill="4D70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D7027" w:themeFill="accent4" w:themeFillShade="99"/>
      </w:tcPr>
    </w:tblStylePr>
    <w:tblStylePr w:type="band1Vert">
      <w:tblPr/>
      <w:tcPr>
        <w:shd w:val="clear" w:color="auto" w:fill="CCE4B2" w:themeFill="accent4" w:themeFillTint="66"/>
      </w:tcPr>
    </w:tblStylePr>
    <w:tblStylePr w:type="band1Horz">
      <w:tblPr/>
      <w:tcPr>
        <w:shd w:val="clear" w:color="auto" w:fill="C0DD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A9BDC" w:themeColor="accent6"/>
        <w:left w:val="single" w:sz="4" w:space="0" w:color="32C7A9" w:themeColor="accent5"/>
        <w:bottom w:val="single" w:sz="4" w:space="0" w:color="32C7A9" w:themeColor="accent5"/>
        <w:right w:val="single" w:sz="4" w:space="0" w:color="32C7A9" w:themeColor="accent5"/>
        <w:insideH w:val="single" w:sz="4" w:space="0" w:color="FFFFFF" w:themeColor="background1"/>
        <w:insideV w:val="single" w:sz="4" w:space="0" w:color="FFFFFF" w:themeColor="background1"/>
      </w:tblBorders>
    </w:tblPr>
    <w:tcPr>
      <w:shd w:val="clear" w:color="auto" w:fill="EAFAF6" w:themeFill="accent5" w:themeFillTint="19"/>
    </w:tcPr>
    <w:tblStylePr w:type="firstRow">
      <w:rPr>
        <w:b/>
        <w:bCs/>
      </w:rPr>
      <w:tblPr/>
      <w:tcPr>
        <w:tcBorders>
          <w:top w:val="nil"/>
          <w:left w:val="nil"/>
          <w:bottom w:val="single" w:sz="24" w:space="0" w:color="4A9BD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7765" w:themeFill="accent5" w:themeFillShade="99"/>
      </w:tcPr>
    </w:tblStylePr>
    <w:tblStylePr w:type="firstCol">
      <w:rPr>
        <w:color w:val="FFFFFF" w:themeColor="background1"/>
      </w:rPr>
      <w:tblPr/>
      <w:tcPr>
        <w:tcBorders>
          <w:top w:val="nil"/>
          <w:left w:val="nil"/>
          <w:bottom w:val="nil"/>
          <w:right w:val="nil"/>
          <w:insideH w:val="single" w:sz="4" w:space="0" w:color="1E7765" w:themeColor="accent5" w:themeShade="99"/>
          <w:insideV w:val="nil"/>
        </w:tcBorders>
        <w:shd w:val="clear" w:color="auto" w:fill="1E776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E7765" w:themeFill="accent5" w:themeFillShade="99"/>
      </w:tcPr>
    </w:tblStylePr>
    <w:tblStylePr w:type="band1Vert">
      <w:tblPr/>
      <w:tcPr>
        <w:shd w:val="clear" w:color="auto" w:fill="ABEADD" w:themeFill="accent5" w:themeFillTint="66"/>
      </w:tcPr>
    </w:tblStylePr>
    <w:tblStylePr w:type="band1Horz">
      <w:tblPr/>
      <w:tcPr>
        <w:shd w:val="clear" w:color="auto" w:fill="97E5D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2C7A9" w:themeColor="accent5"/>
        <w:left w:val="single" w:sz="4" w:space="0" w:color="4A9BDC" w:themeColor="accent6"/>
        <w:bottom w:val="single" w:sz="4" w:space="0" w:color="4A9BDC" w:themeColor="accent6"/>
        <w:right w:val="single" w:sz="4" w:space="0" w:color="4A9BDC" w:themeColor="accent6"/>
        <w:insideH w:val="single" w:sz="4" w:space="0" w:color="FFFFFF" w:themeColor="background1"/>
        <w:insideV w:val="single" w:sz="4" w:space="0" w:color="FFFFFF" w:themeColor="background1"/>
      </w:tblBorders>
    </w:tblPr>
    <w:tcPr>
      <w:shd w:val="clear" w:color="auto" w:fill="EDF5FB" w:themeFill="accent6" w:themeFillTint="19"/>
    </w:tcPr>
    <w:tblStylePr w:type="firstRow">
      <w:rPr>
        <w:b/>
        <w:bCs/>
      </w:rPr>
      <w:tblPr/>
      <w:tcPr>
        <w:tcBorders>
          <w:top w:val="nil"/>
          <w:left w:val="nil"/>
          <w:bottom w:val="single" w:sz="24" w:space="0" w:color="32C7A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5E93" w:themeFill="accent6" w:themeFillShade="99"/>
      </w:tcPr>
    </w:tblStylePr>
    <w:tblStylePr w:type="firstCol">
      <w:rPr>
        <w:color w:val="FFFFFF" w:themeColor="background1"/>
      </w:rPr>
      <w:tblPr/>
      <w:tcPr>
        <w:tcBorders>
          <w:top w:val="nil"/>
          <w:left w:val="nil"/>
          <w:bottom w:val="nil"/>
          <w:right w:val="nil"/>
          <w:insideH w:val="single" w:sz="4" w:space="0" w:color="1C5E93" w:themeColor="accent6" w:themeShade="99"/>
          <w:insideV w:val="nil"/>
        </w:tcBorders>
        <w:shd w:val="clear" w:color="auto" w:fill="1C5E9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C5E93" w:themeFill="accent6" w:themeFillShade="99"/>
      </w:tcPr>
    </w:tblStylePr>
    <w:tblStylePr w:type="band1Vert">
      <w:tblPr/>
      <w:tcPr>
        <w:shd w:val="clear" w:color="auto" w:fill="B6D6F1" w:themeFill="accent6" w:themeFillTint="66"/>
      </w:tcPr>
    </w:tblStylePr>
    <w:tblStylePr w:type="band1Horz">
      <w:tblPr/>
      <w:tcPr>
        <w:shd w:val="clear" w:color="auto" w:fill="A4CDE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E6401" w:themeFill="accent2" w:themeFillShade="CC"/>
      </w:tcPr>
    </w:tblStylePr>
    <w:tblStylePr w:type="lastRow">
      <w:rPr>
        <w:b/>
        <w:bCs/>
        <w:color w:val="DE6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AE9" w:themeFill="accent1" w:themeFillTint="19"/>
    </w:tcPr>
    <w:tblStylePr w:type="firstRow">
      <w:rPr>
        <w:b/>
        <w:bCs/>
        <w:color w:val="FFFFFF" w:themeColor="background1"/>
      </w:rPr>
      <w:tblPr/>
      <w:tcPr>
        <w:tcBorders>
          <w:bottom w:val="single" w:sz="12" w:space="0" w:color="FFFFFF" w:themeColor="background1"/>
        </w:tcBorders>
        <w:shd w:val="clear" w:color="auto" w:fill="DE6401" w:themeFill="accent2" w:themeFillShade="CC"/>
      </w:tcPr>
    </w:tblStylePr>
    <w:tblStylePr w:type="lastRow">
      <w:rPr>
        <w:b/>
        <w:bCs/>
        <w:color w:val="DE6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AC9" w:themeFill="accent1" w:themeFillTint="3F"/>
      </w:tcPr>
    </w:tblStylePr>
    <w:tblStylePr w:type="band1Horz">
      <w:tblPr/>
      <w:tcPr>
        <w:shd w:val="clear" w:color="auto" w:fill="F8D4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2E8" w:themeFill="accent2" w:themeFillTint="19"/>
    </w:tcPr>
    <w:tblStylePr w:type="firstRow">
      <w:rPr>
        <w:b/>
        <w:bCs/>
        <w:color w:val="FFFFFF" w:themeColor="background1"/>
      </w:rPr>
      <w:tblPr/>
      <w:tcPr>
        <w:tcBorders>
          <w:bottom w:val="single" w:sz="12" w:space="0" w:color="FFFFFF" w:themeColor="background1"/>
        </w:tcBorders>
        <w:shd w:val="clear" w:color="auto" w:fill="DE6401" w:themeFill="accent2" w:themeFillShade="CC"/>
      </w:tcPr>
    </w:tblStylePr>
    <w:tblStylePr w:type="lastRow">
      <w:rPr>
        <w:b/>
        <w:bCs/>
        <w:color w:val="DE6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FC6" w:themeFill="accent2" w:themeFillTint="3F"/>
      </w:tcPr>
    </w:tblStylePr>
    <w:tblStylePr w:type="band1Horz">
      <w:tblPr/>
      <w:tcPr>
        <w:shd w:val="clear" w:color="auto" w:fill="FEE5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DF8EB" w:themeFill="accent3" w:themeFillTint="19"/>
    </w:tcPr>
    <w:tblStylePr w:type="firstRow">
      <w:rPr>
        <w:b/>
        <w:bCs/>
        <w:color w:val="FFFFFF" w:themeColor="background1"/>
      </w:rPr>
      <w:tblPr/>
      <w:tcPr>
        <w:tcBorders>
          <w:bottom w:val="single" w:sz="12" w:space="0" w:color="FFFFFF" w:themeColor="background1"/>
        </w:tcBorders>
        <w:shd w:val="clear" w:color="auto" w:fill="669534" w:themeFill="accent4" w:themeFillShade="CC"/>
      </w:tcPr>
    </w:tblStylePr>
    <w:tblStylePr w:type="lastRow">
      <w:rPr>
        <w:b/>
        <w:bCs/>
        <w:color w:val="6695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FCC" w:themeFill="accent3" w:themeFillTint="3F"/>
      </w:tcPr>
    </w:tblStylePr>
    <w:tblStylePr w:type="band1Horz">
      <w:tblPr/>
      <w:tcPr>
        <w:shd w:val="clear" w:color="auto" w:fill="FAF2D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8EC" w:themeFill="accent4" w:themeFillTint="19"/>
    </w:tcPr>
    <w:tblStylePr w:type="firstRow">
      <w:rPr>
        <w:b/>
        <w:bCs/>
        <w:color w:val="FFFFFF" w:themeColor="background1"/>
      </w:rPr>
      <w:tblPr/>
      <w:tcPr>
        <w:tcBorders>
          <w:bottom w:val="single" w:sz="12" w:space="0" w:color="FFFFFF" w:themeColor="background1"/>
        </w:tcBorders>
        <w:shd w:val="clear" w:color="auto" w:fill="CEA216" w:themeFill="accent3" w:themeFillShade="CC"/>
      </w:tcPr>
    </w:tblStylePr>
    <w:tblStylePr w:type="lastRow">
      <w:rPr>
        <w:b/>
        <w:bCs/>
        <w:color w:val="CEA2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ECF" w:themeFill="accent4" w:themeFillTint="3F"/>
      </w:tcPr>
    </w:tblStylePr>
    <w:tblStylePr w:type="band1Horz">
      <w:tblPr/>
      <w:tcPr>
        <w:shd w:val="clear" w:color="auto" w:fill="E5F1D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AFAF6" w:themeFill="accent5" w:themeFillTint="19"/>
    </w:tcPr>
    <w:tblStylePr w:type="firstRow">
      <w:rPr>
        <w:b/>
        <w:bCs/>
        <w:color w:val="FFFFFF" w:themeColor="background1"/>
      </w:rPr>
      <w:tblPr/>
      <w:tcPr>
        <w:tcBorders>
          <w:bottom w:val="single" w:sz="12" w:space="0" w:color="FFFFFF" w:themeColor="background1"/>
        </w:tcBorders>
        <w:shd w:val="clear" w:color="auto" w:fill="267DC4" w:themeFill="accent6" w:themeFillShade="CC"/>
      </w:tcPr>
    </w:tblStylePr>
    <w:tblStylePr w:type="lastRow">
      <w:rPr>
        <w:b/>
        <w:bCs/>
        <w:color w:val="267DC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F2EA" w:themeFill="accent5" w:themeFillTint="3F"/>
      </w:tcPr>
    </w:tblStylePr>
    <w:tblStylePr w:type="band1Horz">
      <w:tblPr/>
      <w:tcPr>
        <w:shd w:val="clear" w:color="auto" w:fill="D5F4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F5FB" w:themeFill="accent6" w:themeFillTint="19"/>
    </w:tcPr>
    <w:tblStylePr w:type="firstRow">
      <w:rPr>
        <w:b/>
        <w:bCs/>
        <w:color w:val="FFFFFF" w:themeColor="background1"/>
      </w:rPr>
      <w:tblPr/>
      <w:tcPr>
        <w:tcBorders>
          <w:bottom w:val="single" w:sz="12" w:space="0" w:color="FFFFFF" w:themeColor="background1"/>
        </w:tcBorders>
        <w:shd w:val="clear" w:color="auto" w:fill="289F86" w:themeFill="accent5" w:themeFillShade="CC"/>
      </w:tcPr>
    </w:tblStylePr>
    <w:tblStylePr w:type="lastRow">
      <w:rPr>
        <w:b/>
        <w:bCs/>
        <w:color w:val="289F8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6F6" w:themeFill="accent6" w:themeFillTint="3F"/>
      </w:tcPr>
    </w:tblStylePr>
    <w:tblStylePr w:type="band1Horz">
      <w:tblPr/>
      <w:tcPr>
        <w:shd w:val="clear" w:color="auto" w:fill="DAEAF8"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4D3" w:themeFill="accent1" w:themeFillTint="33"/>
    </w:tcPr>
    <w:tblStylePr w:type="firstRow">
      <w:rPr>
        <w:b/>
        <w:bCs/>
      </w:rPr>
      <w:tblPr/>
      <w:tcPr>
        <w:shd w:val="clear" w:color="auto" w:fill="F2ABA8" w:themeFill="accent1" w:themeFillTint="66"/>
      </w:tcPr>
    </w:tblStylePr>
    <w:tblStylePr w:type="lastRow">
      <w:rPr>
        <w:b/>
        <w:bCs/>
        <w:color w:val="000000" w:themeColor="text1"/>
      </w:rPr>
      <w:tblPr/>
      <w:tcPr>
        <w:shd w:val="clear" w:color="auto" w:fill="F2ABA8" w:themeFill="accent1" w:themeFillTint="66"/>
      </w:tcPr>
    </w:tblStylePr>
    <w:tblStylePr w:type="firstCol">
      <w:rPr>
        <w:color w:val="FFFFFF" w:themeColor="background1"/>
      </w:rPr>
      <w:tblPr/>
      <w:tcPr>
        <w:shd w:val="clear" w:color="auto" w:fill="AB1E19" w:themeFill="accent1" w:themeFillShade="BF"/>
      </w:tcPr>
    </w:tblStylePr>
    <w:tblStylePr w:type="lastCol">
      <w:rPr>
        <w:color w:val="FFFFFF" w:themeColor="background1"/>
      </w:rPr>
      <w:tblPr/>
      <w:tcPr>
        <w:shd w:val="clear" w:color="auto" w:fill="AB1E19" w:themeFill="accent1" w:themeFillShade="BF"/>
      </w:tcPr>
    </w:tblStylePr>
    <w:tblStylePr w:type="band1Vert">
      <w:tblPr/>
      <w:tcPr>
        <w:shd w:val="clear" w:color="auto" w:fill="EF9693" w:themeFill="accent1" w:themeFillTint="7F"/>
      </w:tcPr>
    </w:tblStylePr>
    <w:tblStylePr w:type="band1Horz">
      <w:tblPr/>
      <w:tcPr>
        <w:shd w:val="clear" w:color="auto" w:fill="EF96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5D1" w:themeFill="accent2" w:themeFillTint="33"/>
    </w:tcPr>
    <w:tblStylePr w:type="firstRow">
      <w:rPr>
        <w:b/>
        <w:bCs/>
      </w:rPr>
      <w:tblPr/>
      <w:tcPr>
        <w:shd w:val="clear" w:color="auto" w:fill="FECCA3" w:themeFill="accent2" w:themeFillTint="66"/>
      </w:tcPr>
    </w:tblStylePr>
    <w:tblStylePr w:type="lastRow">
      <w:rPr>
        <w:b/>
        <w:bCs/>
        <w:color w:val="000000" w:themeColor="text1"/>
      </w:rPr>
      <w:tblPr/>
      <w:tcPr>
        <w:shd w:val="clear" w:color="auto" w:fill="FECCA3" w:themeFill="accent2" w:themeFillTint="66"/>
      </w:tcPr>
    </w:tblStylePr>
    <w:tblStylePr w:type="firstCol">
      <w:rPr>
        <w:color w:val="FFFFFF" w:themeColor="background1"/>
      </w:rPr>
      <w:tblPr/>
      <w:tcPr>
        <w:shd w:val="clear" w:color="auto" w:fill="D05D01" w:themeFill="accent2" w:themeFillShade="BF"/>
      </w:tcPr>
    </w:tblStylePr>
    <w:tblStylePr w:type="lastCol">
      <w:rPr>
        <w:color w:val="FFFFFF" w:themeColor="background1"/>
      </w:rPr>
      <w:tblPr/>
      <w:tcPr>
        <w:shd w:val="clear" w:color="auto" w:fill="D05D01" w:themeFill="accent2" w:themeFillShade="BF"/>
      </w:tcPr>
    </w:tblStylePr>
    <w:tblStylePr w:type="band1Vert">
      <w:tblPr/>
      <w:tcPr>
        <w:shd w:val="clear" w:color="auto" w:fill="FEBF8C" w:themeFill="accent2" w:themeFillTint="7F"/>
      </w:tcPr>
    </w:tblStylePr>
    <w:tblStylePr w:type="band1Horz">
      <w:tblPr/>
      <w:tcPr>
        <w:shd w:val="clear" w:color="auto" w:fill="FEBF8C"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2D6" w:themeFill="accent3" w:themeFillTint="33"/>
    </w:tcPr>
    <w:tblStylePr w:type="firstRow">
      <w:rPr>
        <w:b/>
        <w:bCs/>
      </w:rPr>
      <w:tblPr/>
      <w:tcPr>
        <w:shd w:val="clear" w:color="auto" w:fill="F6E5AE" w:themeFill="accent3" w:themeFillTint="66"/>
      </w:tcPr>
    </w:tblStylePr>
    <w:tblStylePr w:type="lastRow">
      <w:rPr>
        <w:b/>
        <w:bCs/>
        <w:color w:val="000000" w:themeColor="text1"/>
      </w:rPr>
      <w:tblPr/>
      <w:tcPr>
        <w:shd w:val="clear" w:color="auto" w:fill="F6E5AE" w:themeFill="accent3" w:themeFillTint="66"/>
      </w:tcPr>
    </w:tblStylePr>
    <w:tblStylePr w:type="firstCol">
      <w:rPr>
        <w:color w:val="FFFFFF" w:themeColor="background1"/>
      </w:rPr>
      <w:tblPr/>
      <w:tcPr>
        <w:shd w:val="clear" w:color="auto" w:fill="C09815" w:themeFill="accent3" w:themeFillShade="BF"/>
      </w:tcPr>
    </w:tblStylePr>
    <w:tblStylePr w:type="lastCol">
      <w:rPr>
        <w:color w:val="FFFFFF" w:themeColor="background1"/>
      </w:rPr>
      <w:tblPr/>
      <w:tcPr>
        <w:shd w:val="clear" w:color="auto" w:fill="C09815" w:themeFill="accent3" w:themeFillShade="BF"/>
      </w:tcPr>
    </w:tblStylePr>
    <w:tblStylePr w:type="band1Vert">
      <w:tblPr/>
      <w:tcPr>
        <w:shd w:val="clear" w:color="auto" w:fill="F4DE9A" w:themeFill="accent3" w:themeFillTint="7F"/>
      </w:tcPr>
    </w:tblStylePr>
    <w:tblStylePr w:type="band1Horz">
      <w:tblPr/>
      <w:tcPr>
        <w:shd w:val="clear" w:color="auto" w:fill="F4DE9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F1D8" w:themeFill="accent4" w:themeFillTint="33"/>
    </w:tcPr>
    <w:tblStylePr w:type="firstRow">
      <w:rPr>
        <w:b/>
        <w:bCs/>
      </w:rPr>
      <w:tblPr/>
      <w:tcPr>
        <w:shd w:val="clear" w:color="auto" w:fill="CCE4B2" w:themeFill="accent4" w:themeFillTint="66"/>
      </w:tcPr>
    </w:tblStylePr>
    <w:tblStylePr w:type="lastRow">
      <w:rPr>
        <w:b/>
        <w:bCs/>
        <w:color w:val="000000" w:themeColor="text1"/>
      </w:rPr>
      <w:tblPr/>
      <w:tcPr>
        <w:shd w:val="clear" w:color="auto" w:fill="CCE4B2" w:themeFill="accent4" w:themeFillTint="66"/>
      </w:tcPr>
    </w:tblStylePr>
    <w:tblStylePr w:type="firstCol">
      <w:rPr>
        <w:color w:val="FFFFFF" w:themeColor="background1"/>
      </w:rPr>
      <w:tblPr/>
      <w:tcPr>
        <w:shd w:val="clear" w:color="auto" w:fill="608B31" w:themeFill="accent4" w:themeFillShade="BF"/>
      </w:tcPr>
    </w:tblStylePr>
    <w:tblStylePr w:type="lastCol">
      <w:rPr>
        <w:color w:val="FFFFFF" w:themeColor="background1"/>
      </w:rPr>
      <w:tblPr/>
      <w:tcPr>
        <w:shd w:val="clear" w:color="auto" w:fill="608B31" w:themeFill="accent4" w:themeFillShade="BF"/>
      </w:tcPr>
    </w:tblStylePr>
    <w:tblStylePr w:type="band1Vert">
      <w:tblPr/>
      <w:tcPr>
        <w:shd w:val="clear" w:color="auto" w:fill="C0DDA0" w:themeFill="accent4" w:themeFillTint="7F"/>
      </w:tcPr>
    </w:tblStylePr>
    <w:tblStylePr w:type="band1Horz">
      <w:tblPr/>
      <w:tcPr>
        <w:shd w:val="clear" w:color="auto" w:fill="C0DDA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F4EE" w:themeFill="accent5" w:themeFillTint="33"/>
    </w:tcPr>
    <w:tblStylePr w:type="firstRow">
      <w:rPr>
        <w:b/>
        <w:bCs/>
      </w:rPr>
      <w:tblPr/>
      <w:tcPr>
        <w:shd w:val="clear" w:color="auto" w:fill="ABEADD" w:themeFill="accent5" w:themeFillTint="66"/>
      </w:tcPr>
    </w:tblStylePr>
    <w:tblStylePr w:type="lastRow">
      <w:rPr>
        <w:b/>
        <w:bCs/>
        <w:color w:val="000000" w:themeColor="text1"/>
      </w:rPr>
      <w:tblPr/>
      <w:tcPr>
        <w:shd w:val="clear" w:color="auto" w:fill="ABEADD" w:themeFill="accent5" w:themeFillTint="66"/>
      </w:tcPr>
    </w:tblStylePr>
    <w:tblStylePr w:type="firstCol">
      <w:rPr>
        <w:color w:val="FFFFFF" w:themeColor="background1"/>
      </w:rPr>
      <w:tblPr/>
      <w:tcPr>
        <w:shd w:val="clear" w:color="auto" w:fill="25947E" w:themeFill="accent5" w:themeFillShade="BF"/>
      </w:tcPr>
    </w:tblStylePr>
    <w:tblStylePr w:type="lastCol">
      <w:rPr>
        <w:color w:val="FFFFFF" w:themeColor="background1"/>
      </w:rPr>
      <w:tblPr/>
      <w:tcPr>
        <w:shd w:val="clear" w:color="auto" w:fill="25947E" w:themeFill="accent5" w:themeFillShade="BF"/>
      </w:tcPr>
    </w:tblStylePr>
    <w:tblStylePr w:type="band1Vert">
      <w:tblPr/>
      <w:tcPr>
        <w:shd w:val="clear" w:color="auto" w:fill="97E5D5" w:themeFill="accent5" w:themeFillTint="7F"/>
      </w:tcPr>
    </w:tblStylePr>
    <w:tblStylePr w:type="band1Horz">
      <w:tblPr/>
      <w:tcPr>
        <w:shd w:val="clear" w:color="auto" w:fill="97E5D5"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AF8" w:themeFill="accent6" w:themeFillTint="33"/>
    </w:tcPr>
    <w:tblStylePr w:type="firstRow">
      <w:rPr>
        <w:b/>
        <w:bCs/>
      </w:rPr>
      <w:tblPr/>
      <w:tcPr>
        <w:shd w:val="clear" w:color="auto" w:fill="B6D6F1" w:themeFill="accent6" w:themeFillTint="66"/>
      </w:tcPr>
    </w:tblStylePr>
    <w:tblStylePr w:type="lastRow">
      <w:rPr>
        <w:b/>
        <w:bCs/>
        <w:color w:val="000000" w:themeColor="text1"/>
      </w:rPr>
      <w:tblPr/>
      <w:tcPr>
        <w:shd w:val="clear" w:color="auto" w:fill="B6D6F1" w:themeFill="accent6" w:themeFillTint="66"/>
      </w:tcPr>
    </w:tblStylePr>
    <w:tblStylePr w:type="firstCol">
      <w:rPr>
        <w:color w:val="FFFFFF" w:themeColor="background1"/>
      </w:rPr>
      <w:tblPr/>
      <w:tcPr>
        <w:shd w:val="clear" w:color="auto" w:fill="2375B8" w:themeFill="accent6" w:themeFillShade="BF"/>
      </w:tcPr>
    </w:tblStylePr>
    <w:tblStylePr w:type="lastCol">
      <w:rPr>
        <w:color w:val="FFFFFF" w:themeColor="background1"/>
      </w:rPr>
      <w:tblPr/>
      <w:tcPr>
        <w:shd w:val="clear" w:color="auto" w:fill="2375B8" w:themeFill="accent6" w:themeFillShade="BF"/>
      </w:tcPr>
    </w:tblStylePr>
    <w:tblStylePr w:type="band1Vert">
      <w:tblPr/>
      <w:tcPr>
        <w:shd w:val="clear" w:color="auto" w:fill="A4CDED" w:themeFill="accent6" w:themeFillTint="7F"/>
      </w:tcPr>
    </w:tblStylePr>
    <w:tblStylePr w:type="band1Horz">
      <w:tblPr/>
      <w:tcPr>
        <w:shd w:val="clear" w:color="auto" w:fill="A4CDED" w:themeFill="accent6" w:themeFillTint="7F"/>
      </w:tcPr>
    </w:tblStylePr>
  </w:style>
  <w:style w:type="paragraph" w:styleId="NormalWeb">
    <w:name w:val="Normal (Web)"/>
    <w:basedOn w:val="Normal"/>
    <w:uiPriority w:val="99"/>
    <w:semiHidden/>
    <w:unhideWhenUsed/>
    <w:rsid w:val="00E80F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28</Pages>
  <Words>5484</Words>
  <Characters>31265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Annand Hariom</cp:lastModifiedBy>
  <cp:revision>3</cp:revision>
  <dcterms:created xsi:type="dcterms:W3CDTF">2013-12-23T23:15:00Z</dcterms:created>
  <dcterms:modified xsi:type="dcterms:W3CDTF">2026-04-13T07:47:00Z</dcterms:modified>
  <cp:category/>
</cp:coreProperties>
</file>