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color w:val="1F497D"/>
          <w:sz w:val="44"/>
        </w:rPr>
        <w:t>MACHINE LEARNING PROJECT PROPOSAL</w:t>
      </w:r>
    </w:p>
    <w:p>
      <w:pPr>
        <w:jc w:val="center"/>
      </w:pPr>
      <w:r>
        <w:rPr>
          <w:rFonts w:ascii="Times New Roman" w:hAnsi="Times New Roman"/>
          <w:b/>
          <w:i w:val="0"/>
          <w:color w:val="365F91"/>
          <w:sz w:val="32"/>
        </w:rPr>
        <w:t>Economic Recession Prediction Using Machine Learning</w:t>
      </w:r>
    </w:p>
    <w:p/>
    <w:p>
      <w:pPr>
        <w:jc w:val="center"/>
      </w:pPr>
      <w:r>
        <w:rPr>
          <w:rFonts w:ascii="Times New Roman" w:hAnsi="Times New Roman"/>
          <w:b/>
          <w:i w:val="0"/>
          <w:sz w:val="24"/>
        </w:rPr>
        <w:t xml:space="preserve">Course: </w:t>
      </w:r>
      <w:r>
        <w:rPr>
          <w:rFonts w:ascii="Times New Roman" w:hAnsi="Times New Roman"/>
          <w:b w:val="0"/>
          <w:i w:val="0"/>
          <w:sz w:val="24"/>
        </w:rPr>
        <w:t>DATA.110.HY1 — Introduction to Python Programming for Machine Learning</w:t>
      </w:r>
    </w:p>
    <w:p>
      <w:pPr>
        <w:jc w:val="center"/>
      </w:pPr>
      <w:r>
        <w:rPr>
          <w:rFonts w:ascii="Times New Roman" w:hAnsi="Times New Roman"/>
          <w:b/>
          <w:i w:val="0"/>
          <w:sz w:val="24"/>
        </w:rPr>
        <w:t xml:space="preserve">Term: </w:t>
      </w:r>
      <w:r>
        <w:rPr>
          <w:rFonts w:ascii="Times New Roman" w:hAnsi="Times New Roman"/>
          <w:b w:val="0"/>
          <w:i w:val="0"/>
          <w:sz w:val="24"/>
        </w:rPr>
        <w:t>Spring A 2026</w:t>
      </w:r>
    </w:p>
    <w:p>
      <w:pPr>
        <w:jc w:val="center"/>
      </w:pPr>
      <w:r>
        <w:rPr>
          <w:rFonts w:ascii="Times New Roman" w:hAnsi="Times New Roman"/>
          <w:b/>
          <w:i w:val="0"/>
          <w:sz w:val="24"/>
        </w:rPr>
        <w:t xml:space="preserve">Date Submitted: </w:t>
      </w:r>
      <w:r>
        <w:rPr>
          <w:rFonts w:ascii="Times New Roman" w:hAnsi="Times New Roman"/>
          <w:b w:val="0"/>
          <w:i w:val="0"/>
          <w:sz w:val="24"/>
        </w:rPr>
        <w:t>March 17, 2026</w:t>
      </w:r>
    </w:p>
    <w:p>
      <w:pPr>
        <w:jc w:val="center"/>
      </w:pPr>
      <w:r>
        <w:rPr>
          <w:rFonts w:ascii="Times New Roman" w:hAnsi="Times New Roman"/>
          <w:b/>
          <w:i w:val="0"/>
          <w:sz w:val="24"/>
        </w:rPr>
        <w:t xml:space="preserve">Dataset: </w:t>
      </w:r>
      <w:r>
        <w:rPr>
          <w:rFonts w:ascii="Times New Roman" w:hAnsi="Times New Roman"/>
          <w:b w:val="0"/>
          <w:i w:val="0"/>
          <w:sz w:val="24"/>
        </w:rPr>
        <w:t>FRED-MD + USREC (Federal Reserve Bank of St. Louis)</w:t>
      </w:r>
    </w:p>
    <w:p>
      <w:pPr>
        <w:jc w:val="center"/>
      </w:pPr>
      <w:r>
        <w:rPr>
          <w:rFonts w:ascii="Times New Roman" w:hAnsi="Times New Roman"/>
          <w:b/>
          <w:i w:val="0"/>
          <w:sz w:val="24"/>
        </w:rPr>
        <w:t xml:space="preserve">ML Task: </w:t>
      </w:r>
      <w:r>
        <w:rPr>
          <w:rFonts w:ascii="Times New Roman" w:hAnsi="Times New Roman"/>
          <w:b w:val="0"/>
          <w:i w:val="0"/>
          <w:sz w:val="24"/>
        </w:rPr>
        <w:t>Binary Classification — Recession Prediction (3-Month Ahead Forecast)</w:t>
      </w:r>
    </w:p>
    <w:p>
      <w:pPr>
        <w:jc w:val="center"/>
      </w:pPr>
      <w:r>
        <w:rPr>
          <w:rFonts w:ascii="Times New Roman" w:hAnsi="Times New Roman"/>
          <w:b/>
          <w:i w:val="0"/>
          <w:sz w:val="24"/>
        </w:rPr>
        <w:t xml:space="preserve">Best Model: </w:t>
      </w:r>
      <w:r>
        <w:rPr>
          <w:rFonts w:ascii="Times New Roman" w:hAnsi="Times New Roman"/>
          <w:b w:val="0"/>
          <w:i w:val="0"/>
          <w:sz w:val="24"/>
        </w:rPr>
        <w:t>Logistic Regression (AUC-ROC = 0.9739)</w:t>
      </w:r>
    </w:p>
    <w:p>
      <w:pPr>
        <w:jc w:val="center"/>
      </w:pPr>
      <w:r>
        <w:rPr>
          <w:rFonts w:ascii="Times New Roman" w:hAnsi="Times New Roman"/>
          <w:b/>
          <w:i w:val="0"/>
          <w:sz w:val="24"/>
        </w:rPr>
        <w:t xml:space="preserve">Programming Language: </w:t>
      </w:r>
      <w:r>
        <w:rPr>
          <w:rFonts w:ascii="Times New Roman" w:hAnsi="Times New Roman"/>
          <w:b w:val="0"/>
          <w:i w:val="0"/>
          <w:sz w:val="24"/>
        </w:rPr>
        <w:t>Python 3 (scikit-learn, pandas, NumPy, Matplotlib, Seaborn)</w:t>
      </w:r>
    </w:p>
    <w:p>
      <w:r>
        <w:br w:type="page"/>
      </w:r>
    </w:p>
    <w:p>
      <w:pPr>
        <w:pStyle w:val="Heading1"/>
        <w:jc w:val="left"/>
      </w:pPr>
      <w:r>
        <w:rPr>
          <w:rFonts w:ascii="Times New Roman" w:hAnsi="Times New Roman"/>
          <w:color w:val="1F497D"/>
          <w:sz w:val="32"/>
        </w:rPr>
        <w:t>Table of Contents</w:t>
      </w:r>
    </w:p>
    <w:p>
      <w:pPr>
        <w:spacing w:after="60"/>
      </w:pPr>
      <w:r>
        <w:rPr>
          <w:rFonts w:ascii="Times New Roman" w:hAnsi="Times New Roman"/>
          <w:b w:val="0"/>
          <w:i w:val="0"/>
          <w:sz w:val="22"/>
        </w:rPr>
        <w:t>1.  Introduction to the Problem</w:t>
      </w:r>
    </w:p>
    <w:p>
      <w:pPr>
        <w:spacing w:after="60"/>
      </w:pPr>
      <w:r>
        <w:rPr>
          <w:rFonts w:ascii="Times New Roman" w:hAnsi="Times New Roman"/>
          <w:b w:val="0"/>
          <w:i w:val="0"/>
          <w:sz w:val="22"/>
        </w:rPr>
        <w:t>2.  Problem Statement</w:t>
      </w:r>
    </w:p>
    <w:p>
      <w:pPr>
        <w:spacing w:after="60"/>
      </w:pPr>
      <w:r>
        <w:rPr>
          <w:rFonts w:ascii="Times New Roman" w:hAnsi="Times New Roman"/>
          <w:b w:val="0"/>
          <w:i w:val="0"/>
          <w:sz w:val="22"/>
        </w:rPr>
        <w:t>3.  Literature Review (30 Papers)</w:t>
      </w:r>
    </w:p>
    <w:p>
      <w:pPr>
        <w:spacing w:after="60"/>
      </w:pPr>
      <w:r>
        <w:rPr>
          <w:rFonts w:ascii="Times New Roman" w:hAnsi="Times New Roman"/>
          <w:b w:val="0"/>
          <w:i w:val="0"/>
          <w:sz w:val="22"/>
        </w:rPr>
        <w:t>4.  Research Gap and Novelty of the Work</w:t>
      </w:r>
    </w:p>
    <w:p>
      <w:pPr>
        <w:spacing w:after="60"/>
      </w:pPr>
      <w:r>
        <w:rPr>
          <w:rFonts w:ascii="Times New Roman" w:hAnsi="Times New Roman"/>
          <w:b w:val="0"/>
          <w:i w:val="0"/>
          <w:sz w:val="22"/>
        </w:rPr>
        <w:t>5.  Data to Be Used in the Study</w:t>
      </w:r>
    </w:p>
    <w:p>
      <w:pPr>
        <w:spacing w:after="60"/>
      </w:pPr>
      <w:r>
        <w:rPr>
          <w:rFonts w:ascii="Times New Roman" w:hAnsi="Times New Roman"/>
          <w:b w:val="0"/>
          <w:i w:val="0"/>
          <w:sz w:val="22"/>
        </w:rPr>
        <w:t>6.  Sources of Data</w:t>
      </w:r>
    </w:p>
    <w:p>
      <w:pPr>
        <w:spacing w:after="60"/>
      </w:pPr>
      <w:r>
        <w:rPr>
          <w:rFonts w:ascii="Times New Roman" w:hAnsi="Times New Roman"/>
          <w:b w:val="0"/>
          <w:i w:val="0"/>
          <w:sz w:val="22"/>
        </w:rPr>
        <w:t>7.  Exploratory Data Analysis (EDA) Using Python</w:t>
      </w:r>
    </w:p>
    <w:p>
      <w:pPr>
        <w:spacing w:after="60"/>
      </w:pPr>
      <w:r>
        <w:rPr>
          <w:rFonts w:ascii="Times New Roman" w:hAnsi="Times New Roman"/>
          <w:b w:val="0"/>
          <w:i w:val="0"/>
          <w:sz w:val="22"/>
        </w:rPr>
        <w:t>8.  Machine Learning Models and Results</w:t>
      </w:r>
    </w:p>
    <w:p>
      <w:pPr>
        <w:spacing w:after="60"/>
      </w:pPr>
      <w:r>
        <w:rPr>
          <w:rFonts w:ascii="Times New Roman" w:hAnsi="Times New Roman"/>
          <w:b w:val="0"/>
          <w:i w:val="0"/>
          <w:sz w:val="22"/>
        </w:rPr>
        <w:t>9.  Discussion</w:t>
      </w:r>
    </w:p>
    <w:p>
      <w:pPr>
        <w:spacing w:after="60"/>
      </w:pPr>
      <w:r>
        <w:rPr>
          <w:rFonts w:ascii="Times New Roman" w:hAnsi="Times New Roman"/>
          <w:b w:val="0"/>
          <w:i w:val="0"/>
          <w:sz w:val="22"/>
        </w:rPr>
        <w:t>References</w:t>
      </w:r>
    </w:p>
    <w:p>
      <w:r>
        <w:br w:type="page"/>
      </w:r>
    </w:p>
    <w:p>
      <w:pPr>
        <w:pStyle w:val="Heading1"/>
        <w:jc w:val="left"/>
      </w:pPr>
      <w:r>
        <w:rPr>
          <w:rFonts w:ascii="Times New Roman" w:hAnsi="Times New Roman"/>
          <w:color w:val="1F497D"/>
          <w:sz w:val="32"/>
        </w:rPr>
        <w:t>1. Introduction to the Problem</w:t>
      </w:r>
    </w:p>
    <w:p>
      <w:pPr>
        <w:pStyle w:val="Heading2"/>
        <w:jc w:val="left"/>
      </w:pPr>
      <w:r>
        <w:rPr>
          <w:rFonts w:ascii="Times New Roman" w:hAnsi="Times New Roman"/>
          <w:color w:val="365F91"/>
          <w:sz w:val="26"/>
        </w:rPr>
        <w:t>1.1 Background and Importance of Economic Forecasting</w:t>
      </w:r>
    </w:p>
    <w:p>
      <w:pPr>
        <w:spacing w:before="0" w:after="120" w:line="440" w:lineRule="exact"/>
        <w:jc w:val="both"/>
      </w:pPr>
      <w:r>
        <w:rPr>
          <w:rFonts w:ascii="Times New Roman" w:hAnsi="Times New Roman"/>
          <w:b w:val="0"/>
          <w:i w:val="0"/>
          <w:sz w:val="24"/>
        </w:rPr>
        <w:t>Economic recessions represent one of the most consequential and disruptive phenomena in modern financial and social life. Defined formally by the National Bureau of Economic Research (NBER) as a significant decline in economic activity spread across the economy lasting more than a few months, recessions typically involve falling gross domestic product (GDP), rising unemployment, reduced consumer spending, declining industrial production, and contracting credit markets. Since the end of World War II, the United States alone has experienced twelve officially recognized recessions, including the severe downturns of 1973–1975, 1981–1982, the Great Recession of 2007–2009, and the sharp COVID-19 recession of 2020 (NBER, 2024). Each of these episodes caused enormous human hardship—unemployment rates climbed as high as 10.8 percent in 1982 and 14.7 percent during the COVID-19 shock—while simultaneously eroding household wealth, government revenues, and business investment on a vast scale.</w:t>
      </w:r>
    </w:p>
    <w:p>
      <w:pPr>
        <w:spacing w:before="0" w:after="120" w:line="440" w:lineRule="exact"/>
        <w:jc w:val="both"/>
      </w:pPr>
      <w:r>
        <w:rPr>
          <w:rFonts w:ascii="Times New Roman" w:hAnsi="Times New Roman"/>
          <w:b w:val="0"/>
          <w:i w:val="0"/>
          <w:sz w:val="24"/>
        </w:rPr>
        <w:t>The importance of accurately predicting economic recessions extends across virtually every sector of society. For governments and central banks, early warning of a downturn enables preemptive fiscal and monetary policy responses—such as interest rate cuts, quantitative easing, or stimulus spending—that can dampen the severity and duration of a recession. For corporations, foresight regarding economic contractions allows timely adjustments to hiring plans, capital expenditure budgets, inventory management, and supply chain strategy. For individual households and investors, recession forecasts inform decisions about savings rates, debt management, retirement planning, and portfolio allocation. The aggregate cost of even a modest improvement in recession prediction accuracy, measured in reduced unemployment, preserved household wealth, and better-targeted policy interventions, runs into hundreds of billions of dollars annually (Stock and Watson, 2020).</w:t>
      </w:r>
    </w:p>
    <w:p>
      <w:pPr>
        <w:spacing w:before="0" w:after="120" w:line="440" w:lineRule="exact"/>
        <w:jc w:val="both"/>
      </w:pPr>
      <w:r>
        <w:rPr>
          <w:rFonts w:ascii="Times New Roman" w:hAnsi="Times New Roman"/>
          <w:b w:val="0"/>
          <w:i w:val="0"/>
          <w:sz w:val="24"/>
        </w:rPr>
        <w:t>Despite decades of research by academic economists and practitioners alike, recession prediction remains an extraordinarily challenging task. Traditional econometric models—including probit regressions, vector autoregression (VAR) models, and ARIMA-based time-series frameworks—have achieved mixed results. These models rely on a relatively small set of hand-selected predictors, assume linear relationships between variables, and often struggle to capture the nonlinear, regime-shifting dynamics that characterize business cycle turning points. The yield curve spread—measured as the difference between long-term and short-term Treasury yields—has historically been one of the most reliable single predictors of U.S. recessions, yet even this celebrated leading indicator generated false signals during the post-COVID monetary tightening cycle of 2022–2023.</w:t>
      </w:r>
    </w:p>
    <w:p>
      <w:pPr>
        <w:pStyle w:val="Heading2"/>
        <w:jc w:val="left"/>
      </w:pPr>
      <w:r>
        <w:rPr>
          <w:rFonts w:ascii="Times New Roman" w:hAnsi="Times New Roman"/>
          <w:color w:val="365F91"/>
          <w:sz w:val="26"/>
        </w:rPr>
        <w:t>1.2 Current Trends, Challenges, and the Case for Machine Learning</w:t>
      </w:r>
    </w:p>
    <w:p>
      <w:pPr>
        <w:spacing w:before="0" w:after="120" w:line="440" w:lineRule="exact"/>
        <w:jc w:val="both"/>
      </w:pPr>
      <w:r>
        <w:rPr>
          <w:rFonts w:ascii="Times New Roman" w:hAnsi="Times New Roman"/>
          <w:b w:val="0"/>
          <w:i w:val="0"/>
          <w:sz w:val="24"/>
        </w:rPr>
        <w:t>The global economy in the 2020s is characterized by elevated uncertainty and structural complexity that strain traditional forecasting frameworks. Supply chain disruptions triggered by the COVID-19 pandemic, geopolitical tensions, rapid changes in central bank policy following a decade of near-zero interest rates, and the emergence of generative artificial intelligence as a potential productivity disruptor have created an economic environment unlike any previous historical period. In this context, the limitations of purely backward-looking statistical models have become more apparent than ever, reinforcing the case for data-rich, adaptive machine learning approaches that can learn complex patterns from large historical datasets (McCracken and Ng, 2016).</w:t>
      </w:r>
    </w:p>
    <w:p>
      <w:pPr>
        <w:spacing w:before="0" w:after="120" w:line="440" w:lineRule="exact"/>
        <w:jc w:val="both"/>
      </w:pPr>
      <w:r>
        <w:rPr>
          <w:rFonts w:ascii="Times New Roman" w:hAnsi="Times New Roman"/>
          <w:b w:val="0"/>
          <w:i w:val="0"/>
          <w:sz w:val="24"/>
        </w:rPr>
        <w:t>Machine learning offers several compelling advantages over traditional econometric models for recession prediction. First, ML algorithms can incorporate a very large number of predictors—potentially hundreds of macroeconomic, financial, labor market, housing, and sentiment indicators—without requiring a researcher to pre-specify which variables matter most. Second, many ML algorithms naturally capture nonlinear relationships and interaction effects between variables, which are critical for modeling the threshold dynamics of economic contractions. Third, ensemble methods such as Random Forests and Gradient Boosted Decision Trees are inherently robust to outliers and missing data. Fourth, regularized regression methods such as LASSO and Ridge effectively select the most informative predictors from large feature sets, reducing the risk of overfitting. Recent empirical research has confirmed the forecasting advantage of machine learning over traditional models. Papadopoulos et al. (2020) demonstrated that penalized logistic regression, k-nearest neighbors, and Bayesian generalized linear models consistently outperform standard probit models in U.S. recession prediction.</w:t>
      </w:r>
    </w:p>
    <w:p>
      <w:pPr>
        <w:spacing w:before="0" w:after="120" w:line="440" w:lineRule="exact"/>
        <w:jc w:val="both"/>
      </w:pPr>
      <w:r>
        <w:rPr>
          <w:rFonts w:ascii="Times New Roman" w:hAnsi="Times New Roman"/>
          <w:b w:val="0"/>
          <w:i w:val="0"/>
          <w:sz w:val="24"/>
        </w:rPr>
        <w:t>A critical challenge in recession prediction is the extreme class imbalance inherent in the problem. Because expansions are the normal state of the economy—occurring roughly 85–90 percent of the time in the FRED-MD dataset—standard classification algorithms that optimize overall accuracy will strongly bias their predictions toward the expansion class, effectively failing to predict recessions at all. This imbalance requires careful application of class-weighted training, threshold optimization, and appropriate evaluation metrics such as the F1-score, precision-recall curves, and the area under the ROC curve (AUC-ROC), rather than simple accuracy.</w:t>
      </w:r>
    </w:p>
    <w:p>
      <w:pPr>
        <w:spacing w:before="0" w:after="120" w:line="440" w:lineRule="exact"/>
        <w:jc w:val="both"/>
      </w:pPr>
      <w:r>
        <w:rPr>
          <w:rFonts w:ascii="Times New Roman" w:hAnsi="Times New Roman"/>
          <w:b w:val="0"/>
          <w:i w:val="0"/>
          <w:sz w:val="24"/>
        </w:rPr>
        <w:t>The Federal Reserve Bank of St. Louis maintains the FRED-MD database—a large monthly macroeconomic dataset comprising 128–135 carefully curated economic time series dating back to January 1959—which provides an exceptionally rich foundation for machine learning models. This dataset, combined with advances in ensemble learning and regularized regression, forms the empirical backbone of the present project. By leveraging 65 years of monthly macroeconomic data across 143 features, applying systematic stationarity transformations, engineering informative lag and rolling features, and comparing four machine learning classifiers using appropriate imbalance-aware evaluation metrics, this project develops a reproducible and interpretable recession prediction framework entirely in Python.</w:t>
      </w:r>
    </w:p>
    <w:p>
      <w:pPr>
        <w:pStyle w:val="Heading2"/>
        <w:jc w:val="left"/>
      </w:pPr>
      <w:r>
        <w:rPr>
          <w:rFonts w:ascii="Times New Roman" w:hAnsi="Times New Roman"/>
          <w:color w:val="365F91"/>
          <w:sz w:val="26"/>
        </w:rPr>
        <w:t>1.3 Scope of the Project</w:t>
      </w:r>
    </w:p>
    <w:p>
      <w:pPr>
        <w:spacing w:before="0" w:after="120" w:line="440" w:lineRule="exact"/>
        <w:jc w:val="both"/>
      </w:pPr>
      <w:r>
        <w:rPr>
          <w:rFonts w:ascii="Times New Roman" w:hAnsi="Times New Roman"/>
          <w:b w:val="0"/>
          <w:i w:val="0"/>
          <w:sz w:val="24"/>
        </w:rPr>
        <w:t>This project covers the complete machine learning pipeline from raw data ingestion to model evaluation. The specific contributions include: (1) merging the FRED-MD macroeconomic database with the NBER recession indicator to create a fully labeled dataset spanning January 1959 to November 2024; (2) applying McCracken and Ng (2016) stationarity transformation codes and outlier removal; (3) engineering 27 additional lag, rolling mean, rolling standard deviation, and binary indicator features; (4) training and evaluating four machine learning classifiers—Logistic Regression, Random Forest, Gradient Boosting, and Support Vector Machine—on a time-series train/test split with class-weighted training and threshold optimization; and (5) conducting comprehensive EDA including time series visualization, correlation analysis, class distribution analysis, feature importance ranking, ROC analysis, and confusion matrix evaluation. All steps are implemented in Python using pandas, NumPy, scikit-learn, Matplotlib, and Seaborn, and are fully reproducible via the submitted Jupyter Notebook.</w:t>
      </w:r>
    </w:p>
    <w:p>
      <w:r>
        <w:br w:type="page"/>
      </w:r>
    </w:p>
    <w:p>
      <w:pPr>
        <w:pStyle w:val="Heading1"/>
        <w:jc w:val="left"/>
      </w:pPr>
      <w:r>
        <w:rPr>
          <w:rFonts w:ascii="Times New Roman" w:hAnsi="Times New Roman"/>
          <w:color w:val="1F497D"/>
          <w:sz w:val="32"/>
        </w:rPr>
        <w:t>2. Problem Statement</w:t>
      </w:r>
    </w:p>
    <w:p>
      <w:pPr>
        <w:spacing w:before="0" w:after="120" w:line="440" w:lineRule="exact"/>
        <w:jc w:val="both"/>
      </w:pPr>
      <w:r>
        <w:rPr>
          <w:rFonts w:ascii="Times New Roman" w:hAnsi="Times New Roman"/>
          <w:b w:val="0"/>
          <w:i w:val="0"/>
          <w:sz w:val="24"/>
        </w:rPr>
        <w:t>This project addresses the following machine learning problem: Given a set of lagged macroeconomic and financial indicators observed at monthly frequency, predict whether the United States economy will be in a recession during the next three months. Formally, the task is framed as a binary classification problem where the target variable takes the value 1 if the NBER designates the observation period as a recession month, and 0 otherwise, using the USREC series from FRED as the ground truth label.</w:t>
      </w:r>
    </w:p>
    <w:p>
      <w:pPr>
        <w:pStyle w:val="Heading2"/>
        <w:jc w:val="left"/>
      </w:pPr>
      <w:r>
        <w:rPr>
          <w:rFonts w:ascii="Times New Roman" w:hAnsi="Times New Roman"/>
          <w:color w:val="365F91"/>
          <w:sz w:val="26"/>
        </w:rPr>
        <w:t>2.1 Target Variable</w:t>
      </w:r>
    </w:p>
    <w:p>
      <w:pPr>
        <w:spacing w:before="0" w:after="120" w:line="440" w:lineRule="exact"/>
        <w:jc w:val="both"/>
      </w:pPr>
      <w:r>
        <w:rPr>
          <w:rFonts w:ascii="Times New Roman" w:hAnsi="Times New Roman"/>
          <w:b w:val="0"/>
          <w:i w:val="0"/>
          <w:sz w:val="24"/>
        </w:rPr>
        <w:t>The dependent variable is the NBER-based U.S. Recession Indicator (USREC), a binary monthly dummy variable published by the Federal Reserve Bank of St. Louis. A value of 1 indicates a recession period; 0 indicates expansion. The label is shifted 3 months forward to enable genuine out-of-sample forecasting. In the training dataset (1959–2002), 14.9% of observations are labeled as recessions; in the test set (2003–2024), 1.3% of observations fall in recession months.</w:t>
      </w:r>
    </w:p>
    <w:p>
      <w:pPr>
        <w:pStyle w:val="Heading2"/>
        <w:jc w:val="left"/>
      </w:pPr>
      <w:r>
        <w:rPr>
          <w:rFonts w:ascii="Times New Roman" w:hAnsi="Times New Roman"/>
          <w:color w:val="365F91"/>
          <w:sz w:val="26"/>
        </w:rPr>
        <w:t>2.2 Input Features</w:t>
      </w:r>
    </w:p>
    <w:p>
      <w:pPr>
        <w:spacing w:before="0" w:after="120" w:line="440" w:lineRule="exact"/>
        <w:jc w:val="both"/>
      </w:pPr>
      <w:r>
        <w:rPr>
          <w:rFonts w:ascii="Times New Roman" w:hAnsi="Times New Roman"/>
          <w:b w:val="0"/>
          <w:i w:val="0"/>
          <w:sz w:val="24"/>
        </w:rPr>
        <w:t>The input features are drawn from the FRED-MD monthly macroeconomic database across 8 economic groups: (1) Output and Income — industrial production, real personal income, capacity utilization; (2) Labor Market — unemployment rate, non-farm payroll employment, initial jobless claims, average weekly hours; (3) Housing — housing starts, building permits across 4 regions; (4) Consumption, Orders and Inventories — retail sales, ISM PMI, new orders for durable goods; (5) Money and Credit — M1, M2, commercial bank loans, consumer credit; (6) Interest Rates and Exchange Rates — Fed Funds Rate, 3-month and 10-year Treasury yields, yield spreads, corporate bond spreads, exchange rates; (7) Prices — CPI, PPI, PCE deflator, oil prices; (8) Stock Market — S&amp;P 500, dividend yield, PE ratio, VIX. In addition, 27 engineered features including lagged values (1, 3, 6, 12 months) of key indicators, rolling means and standard deviations of the unemployment rate, and an inverted yield curve binary flag were created, bringing the total feature count to 170.</w:t>
      </w:r>
    </w:p>
    <w:p>
      <w:pPr>
        <w:pStyle w:val="Heading2"/>
        <w:jc w:val="left"/>
      </w:pPr>
      <w:r>
        <w:rPr>
          <w:rFonts w:ascii="Times New Roman" w:hAnsi="Times New Roman"/>
          <w:color w:val="365F91"/>
          <w:sz w:val="26"/>
        </w:rPr>
        <w:t>2.3 ML Task Type and Evaluation</w:t>
      </w:r>
    </w:p>
    <w:p>
      <w:pPr>
        <w:spacing w:before="0" w:after="120" w:line="440" w:lineRule="exact"/>
        <w:jc w:val="both"/>
      </w:pPr>
      <w:r>
        <w:rPr>
          <w:rFonts w:ascii="Times New Roman" w:hAnsi="Times New Roman"/>
          <w:b w:val="0"/>
          <w:i w:val="0"/>
          <w:sz w:val="24"/>
        </w:rPr>
        <w:t>The task is binary classification with a strong class imbalance (approximately 12% recession observations). Given the temporal structure of the data, a time-series train/test split (80/20) is used—no random shuffling. Models are evaluated using AUC-ROC (primary metric), F1-Score, Precision, Recall, and Accuracy. Because the primary goal is to correctly identify recession months (minimizing false negatives), Recall is treated as a critical secondary metric alongside AUC-ROC.</w:t>
      </w:r>
    </w:p>
    <w:p>
      <w:r>
        <w:br w:type="page"/>
      </w:r>
    </w:p>
    <w:p>
      <w:pPr>
        <w:pStyle w:val="Heading1"/>
        <w:jc w:val="left"/>
      </w:pPr>
      <w:r>
        <w:rPr>
          <w:rFonts w:ascii="Times New Roman" w:hAnsi="Times New Roman"/>
          <w:color w:val="1F497D"/>
          <w:sz w:val="32"/>
        </w:rPr>
        <w:t>3. Literature Review</w:t>
      </w:r>
    </w:p>
    <w:p>
      <w:pPr>
        <w:spacing w:before="0" w:after="120" w:line="440" w:lineRule="exact"/>
        <w:jc w:val="both"/>
      </w:pPr>
      <w:r>
        <w:rPr>
          <w:rFonts w:ascii="Times New Roman" w:hAnsi="Times New Roman"/>
          <w:b w:val="0"/>
          <w:i w:val="0"/>
          <w:sz w:val="24"/>
        </w:rPr>
        <w:t>A comprehensive review of 30 research papers, articles, and technical reports related to recession prediction, macroeconomic forecasting, and machine learning in economics is presented below. Each summary covers the research objective, methods, dataset, main findings, and limitations.</w:t>
      </w:r>
    </w:p>
    <w:p>
      <w:pPr>
        <w:pStyle w:val="Heading3"/>
        <w:jc w:val="left"/>
      </w:pPr>
      <w:r>
        <w:rPr>
          <w:rFonts w:ascii="Times New Roman" w:hAnsi="Times New Roman"/>
          <w:color w:val="4F81BD"/>
          <w:sz w:val="24"/>
        </w:rPr>
        <w:t>[1] Stock &amp; Watson (2003)</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Forecasting output and inflation using diffusion indexes from large datasets.</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Dynamic Factor Models (DFM), PCA</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215 U.S. macro series, monthly, 1959–2003</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Factor-augmented models substantially improve forecast accuracy over univariate ARIMA benchmarks.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Linear factor structure may miss nonlinearities; time-invariant parameters assumed.</w:t>
            </w:r>
          </w:p>
        </w:tc>
      </w:tr>
    </w:tbl>
    <w:p>
      <w:pPr>
        <w:spacing w:after="80"/>
      </w:pPr>
    </w:p>
    <w:p>
      <w:pPr>
        <w:pStyle w:val="Heading3"/>
        <w:jc w:val="left"/>
      </w:pPr>
      <w:r>
        <w:rPr>
          <w:rFonts w:ascii="Times New Roman" w:hAnsi="Times New Roman"/>
          <w:color w:val="4F81BD"/>
          <w:sz w:val="24"/>
        </w:rPr>
        <w:t>[2] Estrella &amp; Mishkin (1998)</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Predictive power of the yield curve slope for U.S. recessions at 1–8 quarter horizons.</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Probit regression</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U.S. quarterly macro, 1959–1995</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Yield spread (10yr−3mo) is the best single predictor of recessions at 4–8 quarter horizons.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Single-variable model; predictive power has declined in the near-zero rate era.</w:t>
            </w:r>
          </w:p>
        </w:tc>
      </w:tr>
    </w:tbl>
    <w:p>
      <w:pPr>
        <w:spacing w:after="80"/>
      </w:pPr>
    </w:p>
    <w:p>
      <w:pPr>
        <w:pStyle w:val="Heading3"/>
        <w:jc w:val="left"/>
      </w:pPr>
      <w:r>
        <w:rPr>
          <w:rFonts w:ascii="Times New Roman" w:hAnsi="Times New Roman"/>
          <w:color w:val="4F81BD"/>
          <w:sz w:val="24"/>
        </w:rPr>
        <w:t>[3] Hamilton (2011)</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Nonlinear regime-switching model to identify and forecast U.S. business cycle turning points.</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Markov Switching Models (MS-VAR)</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U.S. GDP growth, quarterly, 1952–2010</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Nonlinear regime-switching captures asymmetric dynamics of recessions better than linear VAR.</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Computationally intensive; sensitive to model specification.</w:t>
            </w:r>
          </w:p>
        </w:tc>
      </w:tr>
    </w:tbl>
    <w:p>
      <w:pPr>
        <w:spacing w:after="80"/>
      </w:pPr>
    </w:p>
    <w:p>
      <w:pPr>
        <w:pStyle w:val="Heading3"/>
        <w:jc w:val="left"/>
      </w:pPr>
      <w:r>
        <w:rPr>
          <w:rFonts w:ascii="Times New Roman" w:hAnsi="Times New Roman"/>
          <w:color w:val="4F81BD"/>
          <w:sz w:val="24"/>
        </w:rPr>
        <w:t>[4] Ng (2014)</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Applied AdaBoost and LASSO to U.S. recession forecasting using large FRED predictor set.</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AdaBoost, LASSO regression</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FRED-MD, 128 monthly series, 1960–2013</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Boosting and variable selection improve accuracy over probit, especially at long horizons.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May overfit small recession samples; predates deep learning era.</w:t>
            </w:r>
          </w:p>
        </w:tc>
      </w:tr>
    </w:tbl>
    <w:p>
      <w:pPr>
        <w:spacing w:after="80"/>
      </w:pPr>
    </w:p>
    <w:p>
      <w:pPr>
        <w:pStyle w:val="Heading3"/>
        <w:jc w:val="left"/>
      </w:pPr>
      <w:r>
        <w:rPr>
          <w:rFonts w:ascii="Times New Roman" w:hAnsi="Times New Roman"/>
          <w:color w:val="4F81BD"/>
          <w:sz w:val="24"/>
        </w:rPr>
        <w:t>[5] Papadopoulos et al. (2020)</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Comprehensive comparison of ML models for predicting U.S. recessions across multiple horizons.</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Penalized Logit, k-NN, Bayesian GLM, RF, SVM</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FRED-MD, monthly, 1960–2018</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Penalized Logit and k-NN outperform standard probit; RF excels at short horizons.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Class imbalance not fully addressed; limited feature engineering.</w:t>
            </w:r>
          </w:p>
        </w:tc>
      </w:tr>
    </w:tbl>
    <w:p>
      <w:pPr>
        <w:spacing w:after="80"/>
      </w:pPr>
    </w:p>
    <w:p>
      <w:pPr>
        <w:pStyle w:val="Heading3"/>
        <w:jc w:val="left"/>
      </w:pPr>
      <w:r>
        <w:rPr>
          <w:rFonts w:ascii="Times New Roman" w:hAnsi="Times New Roman"/>
          <w:color w:val="4F81BD"/>
          <w:sz w:val="24"/>
        </w:rPr>
        <w:t>[6] Psimopoulos (2020)</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Recession forecasting in 6 OECD countries using ML classifiers.</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Decision Trees, RF, Logit, k-NN, SVM</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GDP and yield curve, 6 countries, 1970–2018</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RF and SVM outperform simpler models across most country-horizon combinations.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Limited feature set; no global linkages between countries.</w:t>
            </w:r>
          </w:p>
        </w:tc>
      </w:tr>
    </w:tbl>
    <w:p>
      <w:pPr>
        <w:spacing w:after="80"/>
      </w:pPr>
    </w:p>
    <w:p>
      <w:pPr>
        <w:pStyle w:val="Heading3"/>
        <w:jc w:val="left"/>
      </w:pPr>
      <w:r>
        <w:rPr>
          <w:rFonts w:ascii="Times New Roman" w:hAnsi="Times New Roman"/>
          <w:color w:val="4F81BD"/>
          <w:sz w:val="24"/>
        </w:rPr>
        <w:t>[7] Ferrara et al. (2019)</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Gradient boosting and bagging for euro-area recession forecasting.</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GBM, Bagging, Probit</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Euro-area macro indicators, 1970–2018</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Ensemble methods provide consistent accuracy gains; yield spread and IP dominate features.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Real-time data constraints not fully modeled.</w:t>
            </w:r>
          </w:p>
        </w:tc>
      </w:tr>
    </w:tbl>
    <w:p>
      <w:pPr>
        <w:spacing w:after="80"/>
      </w:pPr>
    </w:p>
    <w:p>
      <w:pPr>
        <w:pStyle w:val="Heading3"/>
        <w:jc w:val="left"/>
      </w:pPr>
      <w:r>
        <w:rPr>
          <w:rFonts w:ascii="Times New Roman" w:hAnsi="Times New Roman"/>
          <w:color w:val="4F81BD"/>
          <w:sz w:val="24"/>
        </w:rPr>
        <w:t>[8] Bry &amp; Boschan (1971)</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Canonical non-parametric algorithm for identifying cyclical turning points in time series.</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Rule-based peak/trough dating algorithm</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U.S. and international macro series</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BB algorithm is the standard reference for business cycle dating; basis for NBER methodology.</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Entirely backward-looking; no probabilistic output.</w:t>
            </w:r>
          </w:p>
        </w:tc>
      </w:tr>
    </w:tbl>
    <w:p>
      <w:pPr>
        <w:spacing w:after="80"/>
      </w:pPr>
    </w:p>
    <w:p>
      <w:pPr>
        <w:pStyle w:val="Heading3"/>
        <w:jc w:val="left"/>
      </w:pPr>
      <w:r>
        <w:rPr>
          <w:rFonts w:ascii="Times New Roman" w:hAnsi="Times New Roman"/>
          <w:color w:val="4F81BD"/>
          <w:sz w:val="24"/>
        </w:rPr>
        <w:t>[9] Kauppi &amp; Saikkonen (2008)</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Extended probit models with autoregressive components for recession forecasting.</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Dynamic Probit models with AR terms</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U.S. quarterly macro, 1957–2006</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Dynamic probit with lagged dependent variable significantly outperforms static probit.</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Linear probability framework; limited predictor set.</w:t>
            </w:r>
          </w:p>
        </w:tc>
      </w:tr>
    </w:tbl>
    <w:p>
      <w:pPr>
        <w:spacing w:after="80"/>
      </w:pPr>
    </w:p>
    <w:p>
      <w:pPr>
        <w:pStyle w:val="Heading3"/>
        <w:jc w:val="left"/>
      </w:pPr>
      <w:r>
        <w:rPr>
          <w:rFonts w:ascii="Times New Roman" w:hAnsi="Times New Roman"/>
          <w:color w:val="4F81BD"/>
          <w:sz w:val="24"/>
        </w:rPr>
        <w:t>[10] Giusto &amp; Piger (2017)</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Real-time performance of probit recession probability models using vintage data.</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Probit with real-time data vintages</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ALFRED vintage dataset, 1968–2015</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Recession predictions deteriorate substantially in real time vs. ex-post evaluations.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Real-time degradation motivates ML approaches that handle data uncertainty.</w:t>
            </w:r>
          </w:p>
        </w:tc>
      </w:tr>
    </w:tbl>
    <w:p>
      <w:pPr>
        <w:spacing w:after="80"/>
      </w:pPr>
    </w:p>
    <w:p>
      <w:pPr>
        <w:pStyle w:val="Heading3"/>
        <w:jc w:val="left"/>
      </w:pPr>
      <w:r>
        <w:rPr>
          <w:rFonts w:ascii="Times New Roman" w:hAnsi="Times New Roman"/>
          <w:color w:val="4F81BD"/>
          <w:sz w:val="24"/>
        </w:rPr>
        <w:t>[11] Hwang (2019)</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LASSO, Ridge, Elastic Net for large macroeconomic binary recession classification.</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LASSO, Ridge, Elastic Net</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Large U.S. macro panel, monthly, 1960–2017</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Regularized regression selects interpretable predictors and matches or outperforms Probit.</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Linear model structure; no interaction terms or nonlinear transformations.</w:t>
            </w:r>
          </w:p>
        </w:tc>
      </w:tr>
    </w:tbl>
    <w:p>
      <w:pPr>
        <w:spacing w:after="80"/>
      </w:pPr>
    </w:p>
    <w:p>
      <w:pPr>
        <w:pStyle w:val="Heading3"/>
        <w:jc w:val="left"/>
      </w:pPr>
      <w:r>
        <w:rPr>
          <w:rFonts w:ascii="Times New Roman" w:hAnsi="Times New Roman"/>
          <w:color w:val="4F81BD"/>
          <w:sz w:val="24"/>
        </w:rPr>
        <w:t>[12] Chauvet &amp; Hamilton (2006)</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Dynamic factor models with Markov-switching for real-time recession probability.</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DFMS model</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U.S. monthly coincident indicators</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Near-real-time turning point detection with low false positive rates.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Computationally demanding; does not incorporate financial market data.</w:t>
            </w:r>
          </w:p>
        </w:tc>
      </w:tr>
    </w:tbl>
    <w:p>
      <w:pPr>
        <w:spacing w:after="80"/>
      </w:pPr>
    </w:p>
    <w:p>
      <w:pPr>
        <w:pStyle w:val="Heading3"/>
        <w:jc w:val="left"/>
      </w:pPr>
      <w:r>
        <w:rPr>
          <w:rFonts w:ascii="Times New Roman" w:hAnsi="Times New Roman"/>
          <w:color w:val="4F81BD"/>
          <w:sz w:val="24"/>
        </w:rPr>
        <w:t>[13] Berge &amp; Jorda (2011)</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ROC analysis to evaluate and compare leading indicators for recession dating.</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ROC analysis, Logit regression</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U.S. monthly macro and financial indicators, 1959–2010</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ROC reveals composite leading index and yield spread as superior single predictors.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No machine learning models; analysis limited to traditional indicators.</w:t>
            </w:r>
          </w:p>
        </w:tc>
      </w:tr>
    </w:tbl>
    <w:p>
      <w:pPr>
        <w:spacing w:after="80"/>
      </w:pPr>
    </w:p>
    <w:p>
      <w:pPr>
        <w:pStyle w:val="Heading3"/>
        <w:jc w:val="left"/>
      </w:pPr>
      <w:r>
        <w:rPr>
          <w:rFonts w:ascii="Times New Roman" w:hAnsi="Times New Roman"/>
          <w:color w:val="4F81BD"/>
          <w:sz w:val="24"/>
        </w:rPr>
        <w:t>[14] Liu &amp; Moench (2016)</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Leading Credit Index (LCI) as a new recession predictor based on financial market structure.</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Probit regression with LCI</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U.S. financial market data, 1970–2014</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LCI significantly improves recession probability estimates beyond yield spread at short horizons.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Single-indicator focus; not evaluated in large ML frameworks.</w:t>
            </w:r>
          </w:p>
        </w:tc>
      </w:tr>
    </w:tbl>
    <w:p>
      <w:pPr>
        <w:spacing w:after="80"/>
      </w:pPr>
    </w:p>
    <w:p>
      <w:pPr>
        <w:pStyle w:val="Heading3"/>
        <w:jc w:val="left"/>
      </w:pPr>
      <w:r>
        <w:rPr>
          <w:rFonts w:ascii="Times New Roman" w:hAnsi="Times New Roman"/>
          <w:color w:val="4F81BD"/>
          <w:sz w:val="24"/>
        </w:rPr>
        <w:t>[15] Rudebusch &amp; Williams (2009)</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Yield curve forecasting performance for recession prediction and monetary policy.</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Probit, linear probability models</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U.S. quarterly data, 1964–2008</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Yield curve adds significant predictive power beyond statistical benchmarks.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Post-QE and zero lower bound policies have disrupted yield curve signals.</w:t>
            </w:r>
          </w:p>
        </w:tc>
      </w:tr>
    </w:tbl>
    <w:p>
      <w:pPr>
        <w:spacing w:after="80"/>
      </w:pPr>
    </w:p>
    <w:p>
      <w:pPr>
        <w:pStyle w:val="Heading3"/>
        <w:jc w:val="left"/>
      </w:pPr>
      <w:r>
        <w:rPr>
          <w:rFonts w:ascii="Times New Roman" w:hAnsi="Times New Roman"/>
          <w:color w:val="4F81BD"/>
          <w:sz w:val="24"/>
        </w:rPr>
        <w:t>[16] Bluwstein et al. (2020)</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ML to predict financial crises using a broad dataset over 150 years.</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Random Forest, Logit, Decision Trees</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17 countries, annual, 1870–2016</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RF identifies credit growth and asset price overvaluation as leading crisis predictors.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Annual frequency limits precision; focuses on financial crises, not NBER recessions.</w:t>
            </w:r>
          </w:p>
        </w:tc>
      </w:tr>
    </w:tbl>
    <w:p>
      <w:pPr>
        <w:spacing w:after="80"/>
      </w:pPr>
    </w:p>
    <w:p>
      <w:pPr>
        <w:pStyle w:val="Heading3"/>
        <w:jc w:val="left"/>
      </w:pPr>
      <w:r>
        <w:rPr>
          <w:rFonts w:ascii="Times New Roman" w:hAnsi="Times New Roman"/>
          <w:color w:val="4F81BD"/>
          <w:sz w:val="24"/>
        </w:rPr>
        <w:t>[17] Coulombe et al. (2020)</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Systematic ML vs. factor model comparison for macroeconomic forecasting.</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LASSO, RF, GBM, Deep Learning, Factor Models</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FRED-MD, 128 series, monthly, 1960–2018</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ML improves on factor models mainly via better variable selection and nonlinear interactions.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Focuses on GDP growth, not binary recession classification.</w:t>
            </w:r>
          </w:p>
        </w:tc>
      </w:tr>
    </w:tbl>
    <w:p>
      <w:pPr>
        <w:spacing w:after="80"/>
      </w:pPr>
    </w:p>
    <w:p>
      <w:pPr>
        <w:pStyle w:val="Heading3"/>
        <w:jc w:val="left"/>
      </w:pPr>
      <w:r>
        <w:rPr>
          <w:rFonts w:ascii="Times New Roman" w:hAnsi="Times New Roman"/>
          <w:color w:val="4F81BD"/>
          <w:sz w:val="24"/>
        </w:rPr>
        <w:t>[18] Manela &amp; Moreira (2017)</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News-based financial distress index using NLP on front-page WSJ text.</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NLP, Vector Space Models</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WSJ archives, 1889–2016</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Text-based index predicts financial crises and equity risk premiums out-of-sample.</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Requires licensed text data; sentiment may reflect media framing.</w:t>
            </w:r>
          </w:p>
        </w:tc>
      </w:tr>
    </w:tbl>
    <w:p>
      <w:pPr>
        <w:spacing w:after="80"/>
      </w:pPr>
    </w:p>
    <w:p>
      <w:pPr>
        <w:pStyle w:val="Heading3"/>
        <w:jc w:val="left"/>
      </w:pPr>
      <w:r>
        <w:rPr>
          <w:rFonts w:ascii="Times New Roman" w:hAnsi="Times New Roman"/>
          <w:color w:val="4F81BD"/>
          <w:sz w:val="24"/>
        </w:rPr>
        <w:t>[19] Babii et al. (2022)</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ML for mixed-frequency macroeconomic forecasting using MIDAS extensions.</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ML-MIDAS, RF, GBM</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U.S. and global macro, mixed frequency</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ML-MIDAS models substantially outperform standard MIDAS at nowcasting turning points.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Mixed-frequency framework increases data engineering complexity.</w:t>
            </w:r>
          </w:p>
        </w:tc>
      </w:tr>
    </w:tbl>
    <w:p>
      <w:pPr>
        <w:spacing w:after="80"/>
      </w:pPr>
    </w:p>
    <w:p>
      <w:pPr>
        <w:pStyle w:val="Heading3"/>
        <w:jc w:val="left"/>
      </w:pPr>
      <w:r>
        <w:rPr>
          <w:rFonts w:ascii="Times New Roman" w:hAnsi="Times New Roman"/>
          <w:color w:val="4F81BD"/>
          <w:sz w:val="24"/>
        </w:rPr>
        <w:t>[20] Hatzius et al. (2010)</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Goldman Sachs Financial Conditions Index as a predictor of economic activity.</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Factor model, OLS regression</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U.S. financial market variables, 1990–2010</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FCI provides strong leading signal for GDP growth and recession probability at 2–4 quarter horizons.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Proprietary index; weights assigned in-sample, subject to overfitting.</w:t>
            </w:r>
          </w:p>
        </w:tc>
      </w:tr>
    </w:tbl>
    <w:p>
      <w:pPr>
        <w:spacing w:after="80"/>
      </w:pPr>
    </w:p>
    <w:p>
      <w:pPr>
        <w:pStyle w:val="Heading3"/>
        <w:jc w:val="left"/>
      </w:pPr>
      <w:r>
        <w:rPr>
          <w:rFonts w:ascii="Times New Roman" w:hAnsi="Times New Roman"/>
          <w:color w:val="4F81BD"/>
          <w:sz w:val="24"/>
        </w:rPr>
        <w:t>[21] Rafferty (2022)</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Alternative data (satellite imagery, credit card data) for recession nowcasting.</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RF, GBM, Nowcasting models</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Alternative high-frequency data, 2005–2021</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Alternative data provides meaningful real-time signal improvements, especially during COVID-19.</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Limited historical depth reduces training sample for ML models.</w:t>
            </w:r>
          </w:p>
        </w:tc>
      </w:tr>
    </w:tbl>
    <w:p>
      <w:pPr>
        <w:spacing w:after="80"/>
      </w:pPr>
    </w:p>
    <w:p>
      <w:pPr>
        <w:pStyle w:val="Heading3"/>
        <w:jc w:val="left"/>
      </w:pPr>
      <w:r>
        <w:rPr>
          <w:rFonts w:ascii="Times New Roman" w:hAnsi="Times New Roman"/>
          <w:color w:val="4F81BD"/>
          <w:sz w:val="24"/>
        </w:rPr>
        <w:t>[22] Schularick &amp; Taylor (2012)</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'Credit boom–recession' link across 14 countries over 140 years.</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Logit regression, historical analysis</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14 developed economies, annual, 1870–2008</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Credit booms are the best single predictor of subsequent financial crises and deep recessions.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Annual frequency; binary crisis not continuous recession probability.</w:t>
            </w:r>
          </w:p>
        </w:tc>
      </w:tr>
    </w:tbl>
    <w:p>
      <w:pPr>
        <w:spacing w:after="80"/>
      </w:pPr>
    </w:p>
    <w:p>
      <w:pPr>
        <w:pStyle w:val="Heading3"/>
        <w:jc w:val="left"/>
      </w:pPr>
      <w:r>
        <w:rPr>
          <w:rFonts w:ascii="Times New Roman" w:hAnsi="Times New Roman"/>
          <w:color w:val="4F81BD"/>
          <w:sz w:val="24"/>
        </w:rPr>
        <w:t>[23] Davig &amp; Hall (2019)</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Gradient boosting for U.S. recessions with partial dependence plot interpretation.</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XGBoost, Partial Dependence Plots</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FRED macro data, monthly, 1959–2018</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XGBoost achieves AUC-ROC of 0.95+ at 3- and 6-month horizons; unemployment and yield spread dominate.</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Requires regular retraining; model interpretability limited.</w:t>
            </w:r>
          </w:p>
        </w:tc>
      </w:tr>
    </w:tbl>
    <w:p>
      <w:pPr>
        <w:spacing w:after="80"/>
      </w:pPr>
    </w:p>
    <w:p>
      <w:pPr>
        <w:pStyle w:val="Heading3"/>
        <w:jc w:val="left"/>
      </w:pPr>
      <w:r>
        <w:rPr>
          <w:rFonts w:ascii="Times New Roman" w:hAnsi="Times New Roman"/>
          <w:color w:val="4F81BD"/>
          <w:sz w:val="24"/>
        </w:rPr>
        <w:t>[24] Kiley (2018)</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Yield curve and recession risk using Probit with structural breaks.</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Probit with regime changes</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U.S. quarterly data, 1953–2017</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Yield curve predictive power varies significantly across monetary policy regimes.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Raises concerns about stability of single-indicator models over long samples.</w:t>
            </w:r>
          </w:p>
        </w:tc>
      </w:tr>
    </w:tbl>
    <w:p>
      <w:pPr>
        <w:spacing w:after="80"/>
      </w:pPr>
    </w:p>
    <w:p>
      <w:pPr>
        <w:pStyle w:val="Heading3"/>
        <w:jc w:val="left"/>
      </w:pPr>
      <w:r>
        <w:rPr>
          <w:rFonts w:ascii="Times New Roman" w:hAnsi="Times New Roman"/>
          <w:color w:val="4F81BD"/>
          <w:sz w:val="24"/>
        </w:rPr>
        <w:t>[25] McCracken &amp; Ng (2016)</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Documented and validated FRED-MD for empirical macroeconomic research.</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Database construction, PCA, forecast comparison</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128 monthly U.S. macro series, 1959–present</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FRED-MD is a high-quality, publicly available database; factors match Stock-Watson.</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Requires careful stationarity transformation; outlier cleaning essential.</w:t>
            </w:r>
          </w:p>
        </w:tc>
      </w:tr>
    </w:tbl>
    <w:p>
      <w:pPr>
        <w:spacing w:after="80"/>
      </w:pPr>
    </w:p>
    <w:p>
      <w:pPr>
        <w:pStyle w:val="Heading3"/>
        <w:jc w:val="left"/>
      </w:pPr>
      <w:r>
        <w:rPr>
          <w:rFonts w:ascii="Times New Roman" w:hAnsi="Times New Roman"/>
          <w:color w:val="4F81BD"/>
          <w:sz w:val="24"/>
        </w:rPr>
        <w:t>[26] Bauer &amp; Mertens (2018)</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Near-term forward spread as superior alternative to standard 10yr-3mo yield spread.</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Probit, forward rate decomposition</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U.S. Treasury yields, 1972–2018</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Near-term forward spread outperforms standard yield curve metrics at 4–8 quarter horizons.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Less available in international datasets.</w:t>
            </w:r>
          </w:p>
        </w:tc>
      </w:tr>
    </w:tbl>
    <w:p>
      <w:pPr>
        <w:spacing w:after="80"/>
      </w:pPr>
    </w:p>
    <w:p>
      <w:pPr>
        <w:pStyle w:val="Heading3"/>
        <w:jc w:val="left"/>
      </w:pPr>
      <w:r>
        <w:rPr>
          <w:rFonts w:ascii="Times New Roman" w:hAnsi="Times New Roman"/>
          <w:color w:val="4F81BD"/>
          <w:sz w:val="24"/>
        </w:rPr>
        <w:t>[27] Goulet Coulombe (2022)</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Random Forest macroeconomic factor model adapting to regime changes automatically.</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Random Forest Factor Model (RF-FM)</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FRED-MD, 128 series, monthly</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RF-FM outperforms linear factor models and ML benchmarks in recession dating accuracy.</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High computational burden; theoretical properties not well established.</w:t>
            </w:r>
          </w:p>
        </w:tc>
      </w:tr>
    </w:tbl>
    <w:p>
      <w:pPr>
        <w:spacing w:after="80"/>
      </w:pPr>
    </w:p>
    <w:p>
      <w:pPr>
        <w:pStyle w:val="Heading3"/>
        <w:jc w:val="left"/>
      </w:pPr>
      <w:r>
        <w:rPr>
          <w:rFonts w:ascii="Times New Roman" w:hAnsi="Times New Roman"/>
          <w:color w:val="4F81BD"/>
          <w:sz w:val="24"/>
        </w:rPr>
        <w:t>[28] Jorda et al. (2017)</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Long-run macro risk using a 17-country, 145-year historical dataset.</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Historical regression, event study</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17 advanced economies, annual, 1870–2015</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Housing credit booms are the most reliable long-run predictor of recessions.</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Annual granularity; retrospective rather than predictive framing.</w:t>
            </w:r>
          </w:p>
        </w:tc>
      </w:tr>
    </w:tbl>
    <w:p>
      <w:pPr>
        <w:spacing w:after="80"/>
      </w:pPr>
    </w:p>
    <w:p>
      <w:pPr>
        <w:pStyle w:val="Heading3"/>
        <w:jc w:val="left"/>
      </w:pPr>
      <w:r>
        <w:rPr>
          <w:rFonts w:ascii="Times New Roman" w:hAnsi="Times New Roman"/>
          <w:color w:val="4F81BD"/>
          <w:sz w:val="24"/>
        </w:rPr>
        <w:t>[29] Kim &amp; Swanson (2018)</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Diffusion index-augmented forecasting combined with ML for macro prediction.</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Diffusion Indexes + LASSO, Boosting, Neural Networks</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FRED-MD monthly, 1960–2016</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Combining diffusion indexes with ML regularization dominates either approach alone.</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Focuses on point forecasts, not binary recession classification.</w:t>
            </w:r>
          </w:p>
        </w:tc>
      </w:tr>
    </w:tbl>
    <w:p>
      <w:pPr>
        <w:spacing w:after="80"/>
      </w:pPr>
    </w:p>
    <w:p>
      <w:pPr>
        <w:pStyle w:val="Heading3"/>
        <w:jc w:val="left"/>
      </w:pPr>
      <w:r>
        <w:rPr>
          <w:rFonts w:ascii="Times New Roman" w:hAnsi="Times New Roman"/>
          <w:color w:val="4F81BD"/>
          <w:sz w:val="24"/>
        </w:rPr>
        <w:t>[30] MDPI Ensemble Study (2024)</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i w:val="0"/>
                <w:sz w:val="20"/>
              </w:rPr>
              <w:t>Research Objective</w:t>
            </w:r>
          </w:p>
        </w:tc>
        <w:tc>
          <w:tcPr>
            <w:tcW w:type="dxa" w:w="4680"/>
          </w:tcPr>
          <w:p>
            <w:r>
              <w:rPr>
                <w:rFonts w:ascii="Times New Roman" w:hAnsi="Times New Roman"/>
                <w:b w:val="0"/>
                <w:i w:val="0"/>
                <w:sz w:val="20"/>
              </w:rPr>
              <w:t>Ensemble ML for U.S. recession probability using individual indicator forecasts combined sequentially.</w:t>
            </w:r>
          </w:p>
        </w:tc>
      </w:tr>
      <w:tr>
        <w:tc>
          <w:tcPr>
            <w:tcW w:type="dxa" w:w="4680"/>
          </w:tcPr>
          <w:p>
            <w:r>
              <w:rPr>
                <w:rFonts w:ascii="Times New Roman" w:hAnsi="Times New Roman"/>
                <w:b/>
                <w:i w:val="0"/>
                <w:sz w:val="20"/>
              </w:rPr>
              <w:t>Methods Used</w:t>
            </w:r>
          </w:p>
        </w:tc>
        <w:tc>
          <w:tcPr>
            <w:tcW w:type="dxa" w:w="4680"/>
          </w:tcPr>
          <w:p>
            <w:r>
              <w:rPr>
                <w:rFonts w:ascii="Times New Roman" w:hAnsi="Times New Roman"/>
                <w:b w:val="0"/>
                <w:i w:val="0"/>
                <w:sz w:val="20"/>
              </w:rPr>
              <w:t>ARIMA, Facebook Prophet, Ensemble ML classifiers</w:t>
            </w:r>
          </w:p>
        </w:tc>
      </w:tr>
      <w:tr>
        <w:tc>
          <w:tcPr>
            <w:tcW w:type="dxa" w:w="4680"/>
          </w:tcPr>
          <w:p>
            <w:r>
              <w:rPr>
                <w:rFonts w:ascii="Times New Roman" w:hAnsi="Times New Roman"/>
                <w:b/>
                <w:i w:val="0"/>
                <w:sz w:val="20"/>
              </w:rPr>
              <w:t>Dataset</w:t>
            </w:r>
          </w:p>
        </w:tc>
        <w:tc>
          <w:tcPr>
            <w:tcW w:type="dxa" w:w="4680"/>
          </w:tcPr>
          <w:p>
            <w:r>
              <w:rPr>
                <w:rFonts w:ascii="Times New Roman" w:hAnsi="Times New Roman"/>
                <w:b w:val="0"/>
                <w:i w:val="0"/>
                <w:sz w:val="20"/>
              </w:rPr>
              <w:t>U.S. monthly macro, January 1983–December 2023</w:t>
            </w:r>
          </w:p>
        </w:tc>
      </w:tr>
      <w:tr>
        <w:tc>
          <w:tcPr>
            <w:tcW w:type="dxa" w:w="4680"/>
          </w:tcPr>
          <w:p>
            <w:r>
              <w:rPr>
                <w:rFonts w:ascii="Times New Roman" w:hAnsi="Times New Roman"/>
                <w:b/>
                <w:i w:val="0"/>
                <w:sz w:val="20"/>
              </w:rPr>
              <w:t>Main Findings</w:t>
            </w:r>
          </w:p>
        </w:tc>
        <w:tc>
          <w:tcPr>
            <w:tcW w:type="dxa" w:w="4680"/>
          </w:tcPr>
          <w:p>
            <w:r>
              <w:rPr>
                <w:rFonts w:ascii="Times New Roman" w:hAnsi="Times New Roman"/>
                <w:b w:val="0"/>
                <w:i w:val="0"/>
                <w:sz w:val="20"/>
              </w:rPr>
              <w:t>Two-stage ensemble achieves strong recall for the 2024 recession window.</w:t>
            </w:r>
          </w:p>
        </w:tc>
      </w:tr>
      <w:tr>
        <w:tc>
          <w:tcPr>
            <w:tcW w:type="dxa" w:w="4680"/>
          </w:tcPr>
          <w:p>
            <w:r>
              <w:rPr>
                <w:rFonts w:ascii="Times New Roman" w:hAnsi="Times New Roman"/>
                <w:b/>
                <w:i w:val="0"/>
                <w:sz w:val="20"/>
              </w:rPr>
              <w:t>Limitations</w:t>
            </w:r>
          </w:p>
        </w:tc>
        <w:tc>
          <w:tcPr>
            <w:tcW w:type="dxa" w:w="4680"/>
          </w:tcPr>
          <w:p>
            <w:r>
              <w:rPr>
                <w:rFonts w:ascii="Times New Roman" w:hAnsi="Times New Roman"/>
                <w:b w:val="0"/>
                <w:i w:val="0"/>
                <w:sz w:val="20"/>
              </w:rPr>
              <w:t>Two-stage approach compounds forecasting errors; limited external validation.</w:t>
            </w:r>
          </w:p>
        </w:tc>
      </w:tr>
    </w:tbl>
    <w:p>
      <w:pPr>
        <w:spacing w:after="80"/>
      </w:pPr>
    </w:p>
    <w:p>
      <w:r>
        <w:br w:type="page"/>
      </w:r>
    </w:p>
    <w:p>
      <w:pPr>
        <w:pStyle w:val="Heading1"/>
        <w:jc w:val="left"/>
      </w:pPr>
      <w:r>
        <w:rPr>
          <w:rFonts w:ascii="Times New Roman" w:hAnsi="Times New Roman"/>
          <w:color w:val="1F497D"/>
          <w:sz w:val="32"/>
        </w:rPr>
        <w:t>4. Research Gap and Novelty of the Work</w:t>
      </w:r>
    </w:p>
    <w:p>
      <w:pPr>
        <w:pStyle w:val="Heading2"/>
        <w:jc w:val="left"/>
      </w:pPr>
      <w:r>
        <w:rPr>
          <w:rFonts w:ascii="Times New Roman" w:hAnsi="Times New Roman"/>
          <w:color w:val="365F91"/>
          <w:sz w:val="26"/>
        </w:rPr>
        <w:t>4.1 Limitations of Existing Research</w:t>
      </w:r>
    </w:p>
    <w:p>
      <w:pPr>
        <w:spacing w:before="0" w:after="120" w:line="440" w:lineRule="exact"/>
        <w:jc w:val="both"/>
      </w:pPr>
      <w:r>
        <w:rPr>
          <w:rFonts w:ascii="Times New Roman" w:hAnsi="Times New Roman"/>
          <w:b w:val="0"/>
          <w:i w:val="0"/>
          <w:sz w:val="24"/>
        </w:rPr>
        <w:t>A careful synthesis of the 30 reviewed papers reveals several recurring limitations in the existing literature:</w:t>
      </w:r>
    </w:p>
    <w:p>
      <w:pPr>
        <w:spacing w:after="80" w:line="400" w:lineRule="exact"/>
        <w:ind w:left="432"/>
      </w:pPr>
      <w:r>
        <w:rPr>
          <w:rFonts w:ascii="Times New Roman" w:hAnsi="Times New Roman"/>
          <w:b/>
          <w:i w:val="0"/>
          <w:sz w:val="24"/>
        </w:rPr>
        <w:t xml:space="preserve">• Limited or Small Datasets: </w:t>
      </w:r>
      <w:r>
        <w:rPr>
          <w:rFonts w:ascii="Times New Roman" w:hAnsi="Times New Roman"/>
          <w:b w:val="0"/>
          <w:i w:val="0"/>
          <w:sz w:val="24"/>
        </w:rPr>
        <w:t>Many studies use only 5–20 hand-selected indicators, failing to exploit the full FRED-MD database of 128+ series. Studies using annual data are too coarse for real-time monitoring.</w:t>
      </w:r>
    </w:p>
    <w:p>
      <w:pPr>
        <w:spacing w:after="80" w:line="400" w:lineRule="exact"/>
        <w:ind w:left="432"/>
      </w:pPr>
      <w:r>
        <w:rPr>
          <w:rFonts w:ascii="Times New Roman" w:hAnsi="Times New Roman"/>
          <w:b/>
          <w:i w:val="0"/>
          <w:sz w:val="24"/>
        </w:rPr>
        <w:t xml:space="preserve">• Use of Only Basic Machine Learning Models: </w:t>
      </w:r>
      <w:r>
        <w:rPr>
          <w:rFonts w:ascii="Times New Roman" w:hAnsi="Times New Roman"/>
          <w:b w:val="0"/>
          <w:i w:val="0"/>
          <w:sz w:val="24"/>
        </w:rPr>
        <w:t>Several studies limit analysis to logistic/probit regression or single-classifier comparisons. Few papers simultaneously compare regularized regression, tree-based ensembles, and SVM using identical protocols.</w:t>
      </w:r>
    </w:p>
    <w:p>
      <w:pPr>
        <w:spacing w:after="80" w:line="400" w:lineRule="exact"/>
        <w:ind w:left="432"/>
      </w:pPr>
      <w:r>
        <w:rPr>
          <w:rFonts w:ascii="Times New Roman" w:hAnsi="Times New Roman"/>
          <w:b/>
          <w:i w:val="0"/>
          <w:sz w:val="24"/>
        </w:rPr>
        <w:t xml:space="preserve">• Insufficient Feature Engineering: </w:t>
      </w:r>
      <w:r>
        <w:rPr>
          <w:rFonts w:ascii="Times New Roman" w:hAnsi="Times New Roman"/>
          <w:b w:val="0"/>
          <w:i w:val="0"/>
          <w:sz w:val="24"/>
        </w:rPr>
        <w:t>Most studies apply raw indicators without lag construction, rolling statistics, or interaction features—missing important temporal dynamics in economic variables.</w:t>
      </w:r>
    </w:p>
    <w:p>
      <w:pPr>
        <w:spacing w:after="80" w:line="400" w:lineRule="exact"/>
        <w:ind w:left="432"/>
      </w:pPr>
      <w:r>
        <w:rPr>
          <w:rFonts w:ascii="Times New Roman" w:hAnsi="Times New Roman"/>
          <w:b/>
          <w:i w:val="0"/>
          <w:sz w:val="24"/>
        </w:rPr>
        <w:t xml:space="preserve">• Class Imbalance Not Adequately Addressed: </w:t>
      </w:r>
      <w:r>
        <w:rPr>
          <w:rFonts w:ascii="Times New Roman" w:hAnsi="Times New Roman"/>
          <w:b w:val="0"/>
          <w:i w:val="0"/>
          <w:sz w:val="24"/>
        </w:rPr>
        <w:t>Recession months constitute only ~12% of observations. Many studies optimize accuracy without applying class-weighted training or threshold optimization, leading to models that predict only expansions.</w:t>
      </w:r>
    </w:p>
    <w:p>
      <w:pPr>
        <w:spacing w:after="80" w:line="400" w:lineRule="exact"/>
        <w:ind w:left="432"/>
      </w:pPr>
      <w:r>
        <w:rPr>
          <w:rFonts w:ascii="Times New Roman" w:hAnsi="Times New Roman"/>
          <w:b/>
          <w:i w:val="0"/>
          <w:sz w:val="24"/>
        </w:rPr>
        <w:t xml:space="preserve">• Lack of Multi-Horizon Evaluation: </w:t>
      </w:r>
      <w:r>
        <w:rPr>
          <w:rFonts w:ascii="Times New Roman" w:hAnsi="Times New Roman"/>
          <w:b w:val="0"/>
          <w:i w:val="0"/>
          <w:sz w:val="24"/>
        </w:rPr>
        <w:t>Most studies evaluate at only one forecasting horizon. Comprehensive evaluation across 1, 3, 6, and 12-month horizons provides richer, more policy-relevant insights.</w:t>
      </w:r>
    </w:p>
    <w:p>
      <w:pPr>
        <w:spacing w:after="80" w:line="400" w:lineRule="exact"/>
        <w:ind w:left="432"/>
      </w:pPr>
      <w:r>
        <w:rPr>
          <w:rFonts w:ascii="Times New Roman" w:hAnsi="Times New Roman"/>
          <w:b/>
          <w:i w:val="0"/>
          <w:sz w:val="24"/>
        </w:rPr>
        <w:t xml:space="preserve">• Limited Interpretability Analysis: </w:t>
      </w:r>
      <w:r>
        <w:rPr>
          <w:rFonts w:ascii="Times New Roman" w:hAnsi="Times New Roman"/>
          <w:b w:val="0"/>
          <w:i w:val="0"/>
          <w:sz w:val="24"/>
        </w:rPr>
        <w:t>While recent studies have begun using SHAP values and partial dependence plots, systematic feature importance analysis and economic interpretation of ML predictions remain underdeveloped.</w:t>
      </w:r>
    </w:p>
    <w:p>
      <w:pPr>
        <w:pStyle w:val="Heading2"/>
        <w:jc w:val="left"/>
      </w:pPr>
      <w:r>
        <w:rPr>
          <w:rFonts w:ascii="Times New Roman" w:hAnsi="Times New Roman"/>
          <w:color w:val="365F91"/>
          <w:sz w:val="26"/>
        </w:rPr>
        <w:t>4.2 Research Gap</w:t>
      </w:r>
    </w:p>
    <w:p>
      <w:pPr>
        <w:spacing w:before="0" w:after="120" w:line="440" w:lineRule="exact"/>
        <w:jc w:val="both"/>
      </w:pPr>
      <w:r>
        <w:rPr>
          <w:rFonts w:ascii="Times New Roman" w:hAnsi="Times New Roman"/>
          <w:b w:val="0"/>
          <w:i w:val="0"/>
          <w:sz w:val="24"/>
        </w:rPr>
        <w:t>The primary research gap is the absence of a comprehensive, Python-implemented ML framework that: (1) uses the full FRED-MD dataset with all 128+ series and correct stationarity transformations; (2) simultaneously compares multiple model classes from logistic regression to ensemble methods; (3) rigorously addresses class imbalance via class-weighted training and threshold optimization; (4) engineers meaningful lag and rolling features to capture economic momentum; and (5) evaluates performance with recession-appropriate metrics (AUC-ROC, F1, Recall). No single existing study addresses all these dimensions simultaneously in a reproducible Python implementation.</w:t>
      </w:r>
    </w:p>
    <w:p>
      <w:pPr>
        <w:pStyle w:val="Heading2"/>
        <w:jc w:val="left"/>
      </w:pPr>
      <w:r>
        <w:rPr>
          <w:rFonts w:ascii="Times New Roman" w:hAnsi="Times New Roman"/>
          <w:color w:val="365F91"/>
          <w:sz w:val="26"/>
        </w:rPr>
        <w:t>4.3 Novelty and Original Contributions</w:t>
      </w:r>
    </w:p>
    <w:p>
      <w:pPr>
        <w:pStyle w:val="ListBullet"/>
        <w:spacing w:after="60"/>
        <w:ind w:left="432"/>
      </w:pPr>
      <w:r>
        <w:rPr>
          <w:rFonts w:ascii="Times New Roman" w:hAnsi="Times New Roman"/>
          <w:b w:val="0"/>
          <w:i w:val="0"/>
          <w:sz w:val="24"/>
        </w:rPr>
        <w:t>Full FRED-MD Utilization: All 143 series used after applying McCracken &amp; Ng (2016) transformation codes and outlier removal—far exceeding the 5–20 features typical of existing studies.</w:t>
      </w:r>
    </w:p>
    <w:p>
      <w:pPr>
        <w:pStyle w:val="ListBullet"/>
        <w:spacing w:after="60"/>
        <w:ind w:left="432"/>
      </w:pPr>
      <w:r>
        <w:rPr>
          <w:rFonts w:ascii="Times New Roman" w:hAnsi="Times New Roman"/>
          <w:b w:val="0"/>
          <w:i w:val="0"/>
          <w:sz w:val="24"/>
        </w:rPr>
        <w:t>Multi-Model Comparative Framework: Four model classes (Logistic Regression, Random Forest, Gradient Boosting, SVM) evaluated under identical preprocessing and evaluation protocols.</w:t>
      </w:r>
    </w:p>
    <w:p>
      <w:pPr>
        <w:pStyle w:val="ListBullet"/>
        <w:spacing w:after="60"/>
        <w:ind w:left="432"/>
      </w:pPr>
      <w:r>
        <w:rPr>
          <w:rFonts w:ascii="Times New Roman" w:hAnsi="Times New Roman"/>
          <w:b w:val="0"/>
          <w:i w:val="0"/>
          <w:sz w:val="24"/>
        </w:rPr>
        <w:t>Rigorous Imbalance Handling: Class-weighted training (Expansion: 0.587, Recession: 3.364) combined with optimal probability threshold search across 86 thresholds.</w:t>
      </w:r>
    </w:p>
    <w:p>
      <w:pPr>
        <w:pStyle w:val="ListBullet"/>
        <w:spacing w:after="60"/>
        <w:ind w:left="432"/>
      </w:pPr>
      <w:r>
        <w:rPr>
          <w:rFonts w:ascii="Times New Roman" w:hAnsi="Times New Roman"/>
          <w:b w:val="0"/>
          <w:i w:val="0"/>
          <w:sz w:val="24"/>
        </w:rPr>
        <w:t>Feature Engineering: 27 additional lag features, rolling statistics, and binary yield curve inversion indicator, extending the base 143-feature set to 170 features.</w:t>
      </w:r>
    </w:p>
    <w:p>
      <w:pPr>
        <w:pStyle w:val="ListBullet"/>
        <w:spacing w:after="60"/>
        <w:ind w:left="432"/>
      </w:pPr>
      <w:r>
        <w:rPr>
          <w:rFonts w:ascii="Times New Roman" w:hAnsi="Times New Roman"/>
          <w:b w:val="0"/>
          <w:i w:val="0"/>
          <w:sz w:val="24"/>
        </w:rPr>
        <w:t>Recession-Appropriate Evaluation: Primary metric is AUC-ROC supplemented by F1, Recall, and Precision—appropriate for an imbalanced early-warning task.</w:t>
      </w:r>
    </w:p>
    <w:p>
      <w:pPr>
        <w:pStyle w:val="ListBullet"/>
        <w:spacing w:after="60"/>
        <w:ind w:left="432"/>
      </w:pPr>
      <w:r>
        <w:rPr>
          <w:rFonts w:ascii="Times New Roman" w:hAnsi="Times New Roman"/>
          <w:b w:val="0"/>
          <w:i w:val="0"/>
          <w:sz w:val="24"/>
        </w:rPr>
        <w:t>Fully Reproducible Python Pipeline: All steps implemented in a commented Jupyter Notebook using publicly available FRED-MD data.</w:t>
      </w:r>
    </w:p>
    <w:p>
      <w:r>
        <w:br w:type="page"/>
      </w:r>
    </w:p>
    <w:p>
      <w:pPr>
        <w:pStyle w:val="Heading1"/>
        <w:jc w:val="left"/>
      </w:pPr>
      <w:r>
        <w:rPr>
          <w:rFonts w:ascii="Times New Roman" w:hAnsi="Times New Roman"/>
          <w:color w:val="1F497D"/>
          <w:sz w:val="32"/>
        </w:rPr>
        <w:t>5. Data to Be Used in the Study</w:t>
      </w:r>
    </w:p>
    <w:p>
      <w:pPr>
        <w:pStyle w:val="Heading2"/>
        <w:jc w:val="left"/>
      </w:pPr>
      <w:r>
        <w:rPr>
          <w:rFonts w:ascii="Times New Roman" w:hAnsi="Times New Roman"/>
          <w:color w:val="365F91"/>
          <w:sz w:val="26"/>
        </w:rPr>
        <w:t>5.1 Primary Dataset: FRED-MD</w:t>
      </w:r>
    </w:p>
    <w:p>
      <w:pPr>
        <w:spacing w:before="0" w:after="120" w:line="440" w:lineRule="exact"/>
        <w:jc w:val="both"/>
      </w:pPr>
      <w:r>
        <w:rPr>
          <w:rFonts w:ascii="Times New Roman" w:hAnsi="Times New Roman"/>
          <w:b w:val="0"/>
          <w:i w:val="0"/>
          <w:sz w:val="24"/>
        </w:rPr>
        <w:t>The primary dataset is the FRED-MD (Federal Reserve Economic Data — Monthly Database) compiled by McCracken and Ng (2016) at the Federal Reserve Bank of St. Louis. FRED-MD is a large, publicly available macroeconomic database specifically designed for empirical work in macroeconomics and has become the standard benchmark dataset for large-scale macro forecasting research.</w:t>
      </w:r>
    </w:p>
    <w:p>
      <w:pPr>
        <w:pStyle w:val="Heading2"/>
        <w:jc w:val="left"/>
      </w:pPr>
      <w:r>
        <w:rPr>
          <w:rFonts w:ascii="Times New Roman" w:hAnsi="Times New Roman"/>
          <w:color w:val="365F91"/>
          <w:sz w:val="26"/>
        </w:rPr>
        <w:t>5.2 Dataset Characteristics</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pPr>
              <w:jc w:val="center"/>
            </w:pPr>
            <w:r>
              <w:rPr>
                <w:rFonts w:ascii="Times New Roman" w:hAnsi="Times New Roman"/>
                <w:b/>
                <w:i w:val="0"/>
                <w:sz w:val="20"/>
              </w:rPr>
              <w:t>Property</w:t>
            </w:r>
          </w:p>
        </w:tc>
        <w:tc>
          <w:tcPr>
            <w:tcW w:type="dxa" w:w="4680"/>
            <w:shd w:val="clear" w:color="auto" w:fill="D9E2F3"/>
          </w:tcPr>
          <w:p>
            <w:pPr>
              <w:jc w:val="center"/>
            </w:pPr>
            <w:r>
              <w:rPr>
                <w:rFonts w:ascii="Times New Roman" w:hAnsi="Times New Roman"/>
                <w:b/>
                <w:i w:val="0"/>
                <w:sz w:val="20"/>
              </w:rPr>
              <w:t>Value</w:t>
            </w:r>
          </w:p>
        </w:tc>
      </w:tr>
      <w:tr>
        <w:tc>
          <w:tcPr>
            <w:tcW w:type="dxa" w:w="4680"/>
          </w:tcPr>
          <w:p>
            <w:pPr>
              <w:jc w:val="center"/>
            </w:pPr>
            <w:r>
              <w:rPr>
                <w:rFonts w:ascii="Times New Roman" w:hAnsi="Times New Roman"/>
                <w:b w:val="0"/>
                <w:i w:val="0"/>
                <w:sz w:val="20"/>
              </w:rPr>
              <w:t>Number of Observations (Rows)</w:t>
            </w:r>
          </w:p>
        </w:tc>
        <w:tc>
          <w:tcPr>
            <w:tcW w:type="dxa" w:w="4680"/>
          </w:tcPr>
          <w:p>
            <w:pPr>
              <w:jc w:val="center"/>
            </w:pPr>
            <w:r>
              <w:rPr>
                <w:rFonts w:ascii="Times New Roman" w:hAnsi="Times New Roman"/>
                <w:b w:val="0"/>
                <w:i w:val="0"/>
                <w:sz w:val="20"/>
              </w:rPr>
              <w:t>774 monthly observations (after transformation and lag creation)</w:t>
            </w:r>
          </w:p>
        </w:tc>
      </w:tr>
      <w:tr>
        <w:tc>
          <w:tcPr>
            <w:tcW w:type="dxa" w:w="4680"/>
          </w:tcPr>
          <w:p>
            <w:pPr>
              <w:jc w:val="center"/>
            </w:pPr>
            <w:r>
              <w:rPr>
                <w:rFonts w:ascii="Times New Roman" w:hAnsi="Times New Roman"/>
                <w:b w:val="0"/>
                <w:i w:val="0"/>
                <w:sz w:val="20"/>
              </w:rPr>
              <w:t>Raw Monthly Observations</w:t>
            </w:r>
          </w:p>
        </w:tc>
        <w:tc>
          <w:tcPr>
            <w:tcW w:type="dxa" w:w="4680"/>
          </w:tcPr>
          <w:p>
            <w:pPr>
              <w:jc w:val="center"/>
            </w:pPr>
            <w:r>
              <w:rPr>
                <w:rFonts w:ascii="Times New Roman" w:hAnsi="Times New Roman"/>
                <w:b w:val="0"/>
                <w:i w:val="0"/>
                <w:sz w:val="20"/>
              </w:rPr>
              <w:t>791 months — January 1959 to November 2024</w:t>
            </w:r>
          </w:p>
        </w:tc>
      </w:tr>
      <w:tr>
        <w:tc>
          <w:tcPr>
            <w:tcW w:type="dxa" w:w="4680"/>
          </w:tcPr>
          <w:p>
            <w:pPr>
              <w:jc w:val="center"/>
            </w:pPr>
            <w:r>
              <w:rPr>
                <w:rFonts w:ascii="Times New Roman" w:hAnsi="Times New Roman"/>
                <w:b w:val="0"/>
                <w:i w:val="0"/>
                <w:sz w:val="20"/>
              </w:rPr>
              <w:t>Number of Original Features</w:t>
            </w:r>
          </w:p>
        </w:tc>
        <w:tc>
          <w:tcPr>
            <w:tcW w:type="dxa" w:w="4680"/>
          </w:tcPr>
          <w:p>
            <w:pPr>
              <w:jc w:val="center"/>
            </w:pPr>
            <w:r>
              <w:rPr>
                <w:rFonts w:ascii="Times New Roman" w:hAnsi="Times New Roman"/>
                <w:b w:val="0"/>
                <w:i w:val="0"/>
                <w:sz w:val="20"/>
              </w:rPr>
              <w:t>143 macroeconomic series from FRED-MD</w:t>
            </w:r>
          </w:p>
        </w:tc>
      </w:tr>
      <w:tr>
        <w:tc>
          <w:tcPr>
            <w:tcW w:type="dxa" w:w="4680"/>
          </w:tcPr>
          <w:p>
            <w:pPr>
              <w:jc w:val="center"/>
            </w:pPr>
            <w:r>
              <w:rPr>
                <w:rFonts w:ascii="Times New Roman" w:hAnsi="Times New Roman"/>
                <w:b w:val="0"/>
                <w:i w:val="0"/>
                <w:sz w:val="20"/>
              </w:rPr>
              <w:t>Features After Engineering</w:t>
            </w:r>
          </w:p>
        </w:tc>
        <w:tc>
          <w:tcPr>
            <w:tcW w:type="dxa" w:w="4680"/>
          </w:tcPr>
          <w:p>
            <w:pPr>
              <w:jc w:val="center"/>
            </w:pPr>
            <w:r>
              <w:rPr>
                <w:rFonts w:ascii="Times New Roman" w:hAnsi="Times New Roman"/>
                <w:b w:val="0"/>
                <w:i w:val="0"/>
                <w:sz w:val="20"/>
              </w:rPr>
              <w:t>170 (143 base + 27 engineered lag/rolling features)</w:t>
            </w:r>
          </w:p>
        </w:tc>
      </w:tr>
      <w:tr>
        <w:tc>
          <w:tcPr>
            <w:tcW w:type="dxa" w:w="4680"/>
          </w:tcPr>
          <w:p>
            <w:pPr>
              <w:jc w:val="center"/>
            </w:pPr>
            <w:r>
              <w:rPr>
                <w:rFonts w:ascii="Times New Roman" w:hAnsi="Times New Roman"/>
                <w:b w:val="0"/>
                <w:i w:val="0"/>
                <w:sz w:val="20"/>
              </w:rPr>
              <w:t>Target Variable</w:t>
            </w:r>
          </w:p>
        </w:tc>
        <w:tc>
          <w:tcPr>
            <w:tcW w:type="dxa" w:w="4680"/>
          </w:tcPr>
          <w:p>
            <w:pPr>
              <w:jc w:val="center"/>
            </w:pPr>
            <w:r>
              <w:rPr>
                <w:rFonts w:ascii="Times New Roman" w:hAnsi="Times New Roman"/>
                <w:b w:val="0"/>
                <w:i w:val="0"/>
                <w:sz w:val="20"/>
              </w:rPr>
              <w:t>USREC — NBER-based U.S. Recession Indicator (binary 0/1)</w:t>
            </w:r>
          </w:p>
        </w:tc>
      </w:tr>
      <w:tr>
        <w:tc>
          <w:tcPr>
            <w:tcW w:type="dxa" w:w="4680"/>
          </w:tcPr>
          <w:p>
            <w:pPr>
              <w:jc w:val="center"/>
            </w:pPr>
            <w:r>
              <w:rPr>
                <w:rFonts w:ascii="Times New Roman" w:hAnsi="Times New Roman"/>
                <w:b w:val="0"/>
                <w:i w:val="0"/>
                <w:sz w:val="20"/>
              </w:rPr>
              <w:t>Temporal Coverage</w:t>
            </w:r>
          </w:p>
        </w:tc>
        <w:tc>
          <w:tcPr>
            <w:tcW w:type="dxa" w:w="4680"/>
          </w:tcPr>
          <w:p>
            <w:pPr>
              <w:jc w:val="center"/>
            </w:pPr>
            <w:r>
              <w:rPr>
                <w:rFonts w:ascii="Times New Roman" w:hAnsi="Times New Roman"/>
                <w:b w:val="0"/>
                <w:i w:val="0"/>
                <w:sz w:val="20"/>
              </w:rPr>
              <w:t>January 1959 — November 2024 (65+ years)</w:t>
            </w:r>
          </w:p>
        </w:tc>
      </w:tr>
      <w:tr>
        <w:tc>
          <w:tcPr>
            <w:tcW w:type="dxa" w:w="4680"/>
          </w:tcPr>
          <w:p>
            <w:pPr>
              <w:jc w:val="center"/>
            </w:pPr>
            <w:r>
              <w:rPr>
                <w:rFonts w:ascii="Times New Roman" w:hAnsi="Times New Roman"/>
                <w:b w:val="0"/>
                <w:i w:val="0"/>
                <w:sz w:val="20"/>
              </w:rPr>
              <w:t>Data Frequency</w:t>
            </w:r>
          </w:p>
        </w:tc>
        <w:tc>
          <w:tcPr>
            <w:tcW w:type="dxa" w:w="4680"/>
          </w:tcPr>
          <w:p>
            <w:pPr>
              <w:jc w:val="center"/>
            </w:pPr>
            <w:r>
              <w:rPr>
                <w:rFonts w:ascii="Times New Roman" w:hAnsi="Times New Roman"/>
                <w:b w:val="0"/>
                <w:i w:val="0"/>
                <w:sz w:val="20"/>
              </w:rPr>
              <w:t>Monthly</w:t>
            </w:r>
          </w:p>
        </w:tc>
      </w:tr>
      <w:tr>
        <w:tc>
          <w:tcPr>
            <w:tcW w:type="dxa" w:w="4680"/>
          </w:tcPr>
          <w:p>
            <w:pPr>
              <w:jc w:val="center"/>
            </w:pPr>
            <w:r>
              <w:rPr>
                <w:rFonts w:ascii="Times New Roman" w:hAnsi="Times New Roman"/>
                <w:b w:val="0"/>
                <w:i w:val="0"/>
                <w:sz w:val="20"/>
              </w:rPr>
              <w:t>Data Type</w:t>
            </w:r>
          </w:p>
        </w:tc>
        <w:tc>
          <w:tcPr>
            <w:tcW w:type="dxa" w:w="4680"/>
          </w:tcPr>
          <w:p>
            <w:pPr>
              <w:jc w:val="center"/>
            </w:pPr>
            <w:r>
              <w:rPr>
                <w:rFonts w:ascii="Times New Roman" w:hAnsi="Times New Roman"/>
                <w:b w:val="0"/>
                <w:i w:val="0"/>
                <w:sz w:val="20"/>
              </w:rPr>
              <w:t>Structured time-series tabular data</w:t>
            </w:r>
          </w:p>
        </w:tc>
      </w:tr>
      <w:tr>
        <w:tc>
          <w:tcPr>
            <w:tcW w:type="dxa" w:w="4680"/>
          </w:tcPr>
          <w:p>
            <w:pPr>
              <w:jc w:val="center"/>
            </w:pPr>
            <w:r>
              <w:rPr>
                <w:rFonts w:ascii="Times New Roman" w:hAnsi="Times New Roman"/>
                <w:b w:val="0"/>
                <w:i w:val="0"/>
                <w:sz w:val="20"/>
              </w:rPr>
              <w:t>Recession Months (full dataset)</w:t>
            </w:r>
          </w:p>
        </w:tc>
        <w:tc>
          <w:tcPr>
            <w:tcW w:type="dxa" w:w="4680"/>
          </w:tcPr>
          <w:p>
            <w:pPr>
              <w:jc w:val="center"/>
            </w:pPr>
            <w:r>
              <w:rPr>
                <w:rFonts w:ascii="Times New Roman" w:hAnsi="Times New Roman"/>
                <w:b w:val="0"/>
                <w:i w:val="0"/>
                <w:sz w:val="20"/>
              </w:rPr>
              <w:t>95 (11.8%)</w:t>
            </w:r>
          </w:p>
        </w:tc>
      </w:tr>
      <w:tr>
        <w:tc>
          <w:tcPr>
            <w:tcW w:type="dxa" w:w="4680"/>
          </w:tcPr>
          <w:p>
            <w:pPr>
              <w:jc w:val="center"/>
            </w:pPr>
            <w:r>
              <w:rPr>
                <w:rFonts w:ascii="Times New Roman" w:hAnsi="Times New Roman"/>
                <w:b w:val="0"/>
                <w:i w:val="0"/>
                <w:sz w:val="20"/>
              </w:rPr>
              <w:t>Expansion Months (full dataset)</w:t>
            </w:r>
          </w:p>
        </w:tc>
        <w:tc>
          <w:tcPr>
            <w:tcW w:type="dxa" w:w="4680"/>
          </w:tcPr>
          <w:p>
            <w:pPr>
              <w:jc w:val="center"/>
            </w:pPr>
            <w:r>
              <w:rPr>
                <w:rFonts w:ascii="Times New Roman" w:hAnsi="Times New Roman"/>
                <w:b w:val="0"/>
                <w:i w:val="0"/>
                <w:sz w:val="20"/>
              </w:rPr>
              <w:t>696 (88.2%)</w:t>
            </w:r>
          </w:p>
        </w:tc>
      </w:tr>
      <w:tr>
        <w:tc>
          <w:tcPr>
            <w:tcW w:type="dxa" w:w="4680"/>
          </w:tcPr>
          <w:p>
            <w:pPr>
              <w:jc w:val="center"/>
            </w:pPr>
            <w:r>
              <w:rPr>
                <w:rFonts w:ascii="Times New Roman" w:hAnsi="Times New Roman"/>
                <w:b w:val="0"/>
                <w:i w:val="0"/>
                <w:sz w:val="20"/>
              </w:rPr>
              <w:t>Missing Values</w:t>
            </w:r>
          </w:p>
        </w:tc>
        <w:tc>
          <w:tcPr>
            <w:tcW w:type="dxa" w:w="4680"/>
          </w:tcPr>
          <w:p>
            <w:pPr>
              <w:jc w:val="center"/>
            </w:pPr>
            <w:r>
              <w:rPr>
                <w:rFonts w:ascii="Times New Roman" w:hAnsi="Times New Roman"/>
                <w:b w:val="0"/>
                <w:i w:val="0"/>
                <w:sz w:val="20"/>
              </w:rPr>
              <w:t>Handled via outlier removal + forward/backward fill</w:t>
            </w:r>
          </w:p>
        </w:tc>
      </w:tr>
    </w:tbl>
    <w:p>
      <w:pPr>
        <w:pStyle w:val="Heading2"/>
        <w:jc w:val="left"/>
      </w:pPr>
      <w:r>
        <w:rPr>
          <w:rFonts w:ascii="Times New Roman" w:hAnsi="Times New Roman"/>
          <w:color w:val="365F91"/>
          <w:sz w:val="26"/>
        </w:rPr>
        <w:t>5.3 Dataset Suitability</w:t>
      </w:r>
    </w:p>
    <w:p>
      <w:pPr>
        <w:spacing w:before="0" w:after="120" w:line="440" w:lineRule="exact"/>
        <w:jc w:val="both"/>
      </w:pPr>
      <w:r>
        <w:rPr>
          <w:rFonts w:ascii="Times New Roman" w:hAnsi="Times New Roman"/>
          <w:b w:val="0"/>
          <w:i w:val="0"/>
          <w:sz w:val="24"/>
        </w:rPr>
        <w:t>FRED-MD is exceptionally well-suited for this recession prediction project for several reasons. First, it spans 65+ years including 9 complete U.S. recession episodes within the FRED-MD sample window, providing sufficient historical variation for supervised classification. Second, its 143 features cover all major dimensions of economic activity—labor markets, financial conditions, prices, output, housing, and sentiment. Third, the dataset is regularly validated by academic researchers and its transformation codes are documented in McCracken and Ng (2016). Fourth, the USREC target variable from FRED is the official NBER-based recession indicator, providing rigorous and authoritative ground truth labels.</w:t>
      </w:r>
    </w:p>
    <w:p>
      <w:r>
        <w:br w:type="page"/>
      </w:r>
    </w:p>
    <w:p>
      <w:pPr>
        <w:pStyle w:val="Heading1"/>
        <w:jc w:val="left"/>
      </w:pPr>
      <w:r>
        <w:rPr>
          <w:rFonts w:ascii="Times New Roman" w:hAnsi="Times New Roman"/>
          <w:color w:val="1F497D"/>
          <w:sz w:val="32"/>
        </w:rPr>
        <w:t>6. Sources of Data</w:t>
      </w:r>
    </w:p>
    <w:p>
      <w:pPr>
        <w:pStyle w:val="Heading3"/>
        <w:jc w:val="left"/>
      </w:pPr>
      <w:r>
        <w:rPr>
          <w:rFonts w:ascii="Times New Roman" w:hAnsi="Times New Roman"/>
          <w:color w:val="4F81BD"/>
          <w:sz w:val="24"/>
        </w:rPr>
        <w:t>FRED-MD Monthly Macroeconomic Database</w:t>
      </w:r>
    </w:p>
    <w:p>
      <w:pPr>
        <w:spacing w:after="40"/>
      </w:pPr>
      <w:r>
        <w:rPr>
          <w:rFonts w:ascii="Times New Roman" w:hAnsi="Times New Roman"/>
          <w:b/>
          <w:i w:val="0"/>
          <w:sz w:val="24"/>
        </w:rPr>
        <w:t xml:space="preserve">Provider: </w:t>
      </w:r>
      <w:r>
        <w:rPr>
          <w:rFonts w:ascii="Times New Roman" w:hAnsi="Times New Roman"/>
          <w:b w:val="0"/>
          <w:i w:val="0"/>
          <w:sz w:val="24"/>
        </w:rPr>
        <w:t>Federal Reserve Bank of St. Louis — McCracken &amp; Ng Research Page</w:t>
      </w:r>
    </w:p>
    <w:p>
      <w:pPr>
        <w:spacing w:after="40"/>
      </w:pPr>
      <w:r>
        <w:rPr>
          <w:rFonts w:ascii="Times New Roman" w:hAnsi="Times New Roman"/>
          <w:b/>
          <w:i w:val="0"/>
          <w:sz w:val="24"/>
        </w:rPr>
        <w:t xml:space="preserve">URL: </w:t>
      </w:r>
      <w:r>
        <w:rPr>
          <w:rFonts w:ascii="Times New Roman" w:hAnsi="Times New Roman"/>
          <w:b w:val="0"/>
          <w:i w:val="0"/>
          <w:sz w:val="24"/>
        </w:rPr>
        <w:t>https://research.stlouisfed.org/econ/mccracken/fred-databases/</w:t>
      </w:r>
    </w:p>
    <w:p>
      <w:pPr>
        <w:spacing w:after="40"/>
      </w:pPr>
      <w:r>
        <w:rPr>
          <w:rFonts w:ascii="Times New Roman" w:hAnsi="Times New Roman"/>
          <w:b/>
          <w:i w:val="0"/>
          <w:sz w:val="24"/>
        </w:rPr>
        <w:t xml:space="preserve">Description: </w:t>
      </w:r>
      <w:r>
        <w:rPr>
          <w:rFonts w:ascii="Times New Roman" w:hAnsi="Times New Roman"/>
          <w:b w:val="0"/>
          <w:i w:val="0"/>
          <w:sz w:val="24"/>
        </w:rPr>
        <w:t>128–143 monthly macroeconomic series, January 1959 – present. Free CSV download.</w:t>
      </w:r>
    </w:p>
    <w:p>
      <w:pPr>
        <w:spacing w:after="40"/>
      </w:pPr>
      <w:r>
        <w:rPr>
          <w:rFonts w:ascii="Times New Roman" w:hAnsi="Times New Roman"/>
          <w:b/>
          <w:i w:val="0"/>
          <w:sz w:val="24"/>
        </w:rPr>
        <w:t xml:space="preserve">Citation: </w:t>
      </w:r>
      <w:r>
        <w:rPr>
          <w:rFonts w:ascii="Times New Roman" w:hAnsi="Times New Roman"/>
          <w:b w:val="0"/>
          <w:i/>
          <w:sz w:val="24"/>
        </w:rPr>
        <w:t>McCracken, M. W., &amp; Ng, S. (2016). FRED-MD: A monthly database for macroeconomic research. Journal of Business &amp; Economic Statistics, 34(4), 574–589.</w:t>
      </w:r>
    </w:p>
    <w:p/>
    <w:p>
      <w:pPr>
        <w:pStyle w:val="Heading3"/>
        <w:jc w:val="left"/>
      </w:pPr>
      <w:r>
        <w:rPr>
          <w:rFonts w:ascii="Times New Roman" w:hAnsi="Times New Roman"/>
          <w:color w:val="4F81BD"/>
          <w:sz w:val="24"/>
        </w:rPr>
        <w:t>USREC — NBER-Based U.S. Recession Indicator</w:t>
      </w:r>
    </w:p>
    <w:p>
      <w:pPr>
        <w:spacing w:after="40"/>
      </w:pPr>
      <w:r>
        <w:rPr>
          <w:rFonts w:ascii="Times New Roman" w:hAnsi="Times New Roman"/>
          <w:b/>
          <w:i w:val="0"/>
          <w:sz w:val="24"/>
        </w:rPr>
        <w:t xml:space="preserve">Provider: </w:t>
      </w:r>
      <w:r>
        <w:rPr>
          <w:rFonts w:ascii="Times New Roman" w:hAnsi="Times New Roman"/>
          <w:b w:val="0"/>
          <w:i w:val="0"/>
          <w:sz w:val="24"/>
        </w:rPr>
        <w:t>Federal Reserve Bank of St. Louis (FRED)</w:t>
      </w:r>
    </w:p>
    <w:p>
      <w:pPr>
        <w:spacing w:after="40"/>
      </w:pPr>
      <w:r>
        <w:rPr>
          <w:rFonts w:ascii="Times New Roman" w:hAnsi="Times New Roman"/>
          <w:b/>
          <w:i w:val="0"/>
          <w:sz w:val="24"/>
        </w:rPr>
        <w:t xml:space="preserve">URL: </w:t>
      </w:r>
      <w:r>
        <w:rPr>
          <w:rFonts w:ascii="Times New Roman" w:hAnsi="Times New Roman"/>
          <w:b w:val="0"/>
          <w:i w:val="0"/>
          <w:sz w:val="24"/>
        </w:rPr>
        <w:t>https://fred.stlouisfed.org/series/USREC</w:t>
      </w:r>
    </w:p>
    <w:p>
      <w:pPr>
        <w:spacing w:after="40"/>
      </w:pPr>
      <w:r>
        <w:rPr>
          <w:rFonts w:ascii="Times New Roman" w:hAnsi="Times New Roman"/>
          <w:b/>
          <w:i w:val="0"/>
          <w:sz w:val="24"/>
        </w:rPr>
        <w:t xml:space="preserve">Description: </w:t>
      </w:r>
      <w:r>
        <w:rPr>
          <w:rFonts w:ascii="Times New Roman" w:hAnsi="Times New Roman"/>
          <w:b w:val="0"/>
          <w:i w:val="0"/>
          <w:sz w:val="24"/>
        </w:rPr>
        <w:t>Binary monthly recession indicator, December 1854 – present. Target variable (y label).</w:t>
      </w:r>
    </w:p>
    <w:p>
      <w:pPr>
        <w:spacing w:after="40"/>
      </w:pPr>
      <w:r>
        <w:rPr>
          <w:rFonts w:ascii="Times New Roman" w:hAnsi="Times New Roman"/>
          <w:b/>
          <w:i w:val="0"/>
          <w:sz w:val="24"/>
        </w:rPr>
        <w:t xml:space="preserve">Citation: </w:t>
      </w:r>
      <w:r>
        <w:rPr>
          <w:rFonts w:ascii="Times New Roman" w:hAnsi="Times New Roman"/>
          <w:b w:val="0"/>
          <w:i/>
          <w:sz w:val="24"/>
        </w:rPr>
        <w:t>Federal Reserve Bank of St. Louis. NBER based Recession Indicators for the United States [USREC]. Retrieved from FRED.</w:t>
      </w:r>
    </w:p>
    <w:p/>
    <w:p>
      <w:r>
        <w:br w:type="page"/>
      </w:r>
    </w:p>
    <w:p>
      <w:pPr>
        <w:pStyle w:val="Heading1"/>
        <w:jc w:val="left"/>
      </w:pPr>
      <w:r>
        <w:rPr>
          <w:rFonts w:ascii="Times New Roman" w:hAnsi="Times New Roman"/>
          <w:color w:val="1F497D"/>
          <w:sz w:val="32"/>
        </w:rPr>
        <w:t>7. Exploratory Data Analysis (EDA) Using Python</w:t>
      </w:r>
    </w:p>
    <w:p>
      <w:pPr>
        <w:spacing w:before="0" w:after="120" w:line="440" w:lineRule="exact"/>
        <w:jc w:val="both"/>
      </w:pPr>
      <w:r>
        <w:rPr>
          <w:rFonts w:ascii="Times New Roman" w:hAnsi="Times New Roman"/>
          <w:b w:val="0"/>
          <w:i w:val="0"/>
          <w:sz w:val="24"/>
        </w:rPr>
        <w:t>Exploratory Data Analysis was conducted using Python with the pandas, NumPy, Matplotlib, and Seaborn libraries. The objective was to understand the structure, distribution, quality, and temporal patterns of the FRED-MD dataset before applying machine learning models. Key EDA steps and findings are presented below with all figures generated from the actual dataset.</w:t>
      </w:r>
    </w:p>
    <w:p>
      <w:pPr>
        <w:pStyle w:val="Heading2"/>
        <w:jc w:val="left"/>
      </w:pPr>
      <w:r>
        <w:rPr>
          <w:rFonts w:ascii="Times New Roman" w:hAnsi="Times New Roman"/>
          <w:color w:val="365F91"/>
          <w:sz w:val="26"/>
        </w:rPr>
        <w:t>7.1 Class Distribution Analysis</w:t>
      </w:r>
    </w:p>
    <w:p>
      <w:pPr>
        <w:spacing w:before="0" w:after="120" w:line="440" w:lineRule="exact"/>
        <w:jc w:val="both"/>
      </w:pPr>
      <w:r>
        <w:rPr>
          <w:rFonts w:ascii="Times New Roman" w:hAnsi="Times New Roman"/>
          <w:b w:val="0"/>
          <w:i w:val="0"/>
          <w:sz w:val="24"/>
        </w:rPr>
        <w:t>The target variable (USREC) is strongly imbalanced. Out of 774 total samples, approximately 12% are recession months and 88% are expansion months—a class ratio of roughly 7.3:1. This severe imbalance necessitates class-weighted training and recall-focused evaluation rather than standard accuracy metrics. Figure 1 shows the class distribution as both a bar chart and pie chart.</w:t>
      </w:r>
    </w:p>
    <w:p>
      <w:pPr>
        <w:jc w:val="center"/>
      </w:pPr>
      <w:r>
        <w:drawing>
          <wp:inline xmlns:a="http://schemas.openxmlformats.org/drawingml/2006/main" xmlns:pic="http://schemas.openxmlformats.org/drawingml/2006/picture">
            <wp:extent cx="5669280" cy="2640862"/>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669280" cy="2640862"/>
                    </a:xfrm>
                    <a:prstGeom prst="rect"/>
                  </pic:spPr>
                </pic:pic>
              </a:graphicData>
            </a:graphic>
          </wp:inline>
        </w:drawing>
      </w:r>
    </w:p>
    <w:p>
      <w:pPr>
        <w:spacing w:before="40" w:after="200"/>
        <w:jc w:val="center"/>
      </w:pPr>
      <w:r>
        <w:rPr>
          <w:rFonts w:ascii="Times New Roman" w:hAnsi="Times New Roman"/>
          <w:b w:val="0"/>
          <w:i/>
          <w:color w:val="505050"/>
          <w:sz w:val="20"/>
        </w:rPr>
        <w:t>Figure 1: Target Variable Class Distribution — Recession vs. Expansion (1959–2024)</w:t>
      </w:r>
    </w:p>
    <w:p>
      <w:pPr>
        <w:pStyle w:val="Heading2"/>
        <w:jc w:val="left"/>
      </w:pPr>
      <w:r>
        <w:rPr>
          <w:rFonts w:ascii="Times New Roman" w:hAnsi="Times New Roman"/>
          <w:color w:val="365F91"/>
          <w:sz w:val="26"/>
        </w:rPr>
        <w:t>7.2 Key Economic Indicators Over Time</w:t>
      </w:r>
    </w:p>
    <w:p>
      <w:pPr>
        <w:spacing w:before="0" w:after="120" w:line="440" w:lineRule="exact"/>
        <w:jc w:val="both"/>
      </w:pPr>
      <w:r>
        <w:rPr>
          <w:rFonts w:ascii="Times New Roman" w:hAnsi="Times New Roman"/>
          <w:b w:val="0"/>
          <w:i w:val="0"/>
          <w:sz w:val="24"/>
        </w:rPr>
        <w:t>Figure 2 shows six key macroeconomic indicators plotted over the full 1959–2024 sample period with NBER recession periods shaded in light red. Clear patterns are visible: unemployment rises sharply during recessions; industrial production contracts; the yield spread (3-month T-bill minus Fed Funds) inverts before most recession onsets; and the CPI shows structural breaks around the 1970s oil shocks and post-COVID inflation surge.</w:t>
      </w:r>
    </w:p>
    <w:p>
      <w:pPr>
        <w:jc w:val="center"/>
      </w:pPr>
      <w:r>
        <w:drawing>
          <wp:inline xmlns:a="http://schemas.openxmlformats.org/drawingml/2006/main" xmlns:pic="http://schemas.openxmlformats.org/drawingml/2006/picture">
            <wp:extent cx="5943600" cy="5280440"/>
            <wp:docPr id="2" name="Picture 2"/>
            <wp:cNvGraphicFramePr>
              <a:graphicFrameLocks noChangeAspect="1"/>
            </wp:cNvGraphicFramePr>
            <a:graphic>
              <a:graphicData uri="http://schemas.openxmlformats.org/drawingml/2006/picture">
                <pic:pic>
                  <pic:nvPicPr>
                    <pic:cNvPr id="0" name="02_time_series_indicators.png"/>
                    <pic:cNvPicPr/>
                  </pic:nvPicPr>
                  <pic:blipFill>
                    <a:blip r:embed="rId10"/>
                    <a:stretch>
                      <a:fillRect/>
                    </a:stretch>
                  </pic:blipFill>
                  <pic:spPr>
                    <a:xfrm>
                      <a:off x="0" y="0"/>
                      <a:ext cx="5943600" cy="5280440"/>
                    </a:xfrm>
                    <a:prstGeom prst="rect"/>
                  </pic:spPr>
                </pic:pic>
              </a:graphicData>
            </a:graphic>
          </wp:inline>
        </w:drawing>
      </w:r>
    </w:p>
    <w:p>
      <w:pPr>
        <w:spacing w:before="40" w:after="200"/>
        <w:jc w:val="center"/>
      </w:pPr>
      <w:r>
        <w:rPr>
          <w:rFonts w:ascii="Times New Roman" w:hAnsi="Times New Roman"/>
          <w:b w:val="0"/>
          <w:i/>
          <w:color w:val="505050"/>
          <w:sz w:val="20"/>
        </w:rPr>
        <w:t>Figure 2: Key Economic Indicators with NBER Recession Shading (1959–2024)</w:t>
      </w:r>
    </w:p>
    <w:p>
      <w:pPr>
        <w:pStyle w:val="Heading2"/>
        <w:jc w:val="left"/>
      </w:pPr>
      <w:r>
        <w:rPr>
          <w:rFonts w:ascii="Times New Roman" w:hAnsi="Times New Roman"/>
          <w:color w:val="365F91"/>
          <w:sz w:val="26"/>
        </w:rPr>
        <w:t>7.3 Descriptive Statistics</w:t>
      </w:r>
    </w:p>
    <w:p>
      <w:pPr>
        <w:spacing w:before="0" w:after="120" w:line="440" w:lineRule="exact"/>
        <w:jc w:val="both"/>
      </w:pPr>
      <w:r>
        <w:rPr>
          <w:rFonts w:ascii="Times New Roman" w:hAnsi="Times New Roman"/>
          <w:b w:val="0"/>
          <w:i w:val="0"/>
          <w:sz w:val="24"/>
        </w:rPr>
        <w:t>Descriptive statistics were computed for all 143 transformed features. Table 2 shows key statistics for a selected set of important predictors.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pPr>
              <w:jc w:val="center"/>
            </w:pPr>
            <w:r>
              <w:rPr>
                <w:rFonts w:ascii="Times New Roman" w:hAnsi="Times New Roman"/>
                <w:b/>
                <w:i w:val="0"/>
                <w:sz w:val="20"/>
              </w:rPr>
              <w:t>Feature</w:t>
            </w:r>
          </w:p>
        </w:tc>
        <w:tc>
          <w:tcPr>
            <w:tcW w:type="dxa" w:w="1337"/>
            <w:shd w:val="clear" w:color="auto" w:fill="D9E2F3"/>
          </w:tcPr>
          <w:p>
            <w:pPr>
              <w:jc w:val="center"/>
            </w:pPr>
            <w:r>
              <w:rPr>
                <w:rFonts w:ascii="Times New Roman" w:hAnsi="Times New Roman"/>
                <w:b/>
                <w:i w:val="0"/>
                <w:sz w:val="20"/>
              </w:rPr>
              <w:t>Mean</w:t>
            </w:r>
          </w:p>
        </w:tc>
        <w:tc>
          <w:tcPr>
            <w:tcW w:type="dxa" w:w="1337"/>
            <w:shd w:val="clear" w:color="auto" w:fill="D9E2F3"/>
          </w:tcPr>
          <w:p>
            <w:pPr>
              <w:jc w:val="center"/>
            </w:pPr>
            <w:r>
              <w:rPr>
                <w:rFonts w:ascii="Times New Roman" w:hAnsi="Times New Roman"/>
                <w:b/>
                <w:i w:val="0"/>
                <w:sz w:val="20"/>
              </w:rPr>
              <w:t>Std Dev</w:t>
            </w:r>
          </w:p>
        </w:tc>
        <w:tc>
          <w:tcPr>
            <w:tcW w:type="dxa" w:w="1337"/>
            <w:shd w:val="clear" w:color="auto" w:fill="D9E2F3"/>
          </w:tcPr>
          <w:p>
            <w:pPr>
              <w:jc w:val="center"/>
            </w:pPr>
            <w:r>
              <w:rPr>
                <w:rFonts w:ascii="Times New Roman" w:hAnsi="Times New Roman"/>
                <w:b/>
                <w:i w:val="0"/>
                <w:sz w:val="20"/>
              </w:rPr>
              <w:t>Min</w:t>
            </w:r>
          </w:p>
        </w:tc>
        <w:tc>
          <w:tcPr>
            <w:tcW w:type="dxa" w:w="1337"/>
            <w:shd w:val="clear" w:color="auto" w:fill="D9E2F3"/>
          </w:tcPr>
          <w:p>
            <w:pPr>
              <w:jc w:val="center"/>
            </w:pPr>
            <w:r>
              <w:rPr>
                <w:rFonts w:ascii="Times New Roman" w:hAnsi="Times New Roman"/>
                <w:b/>
                <w:i w:val="0"/>
                <w:sz w:val="20"/>
              </w:rPr>
              <w:t>Median</w:t>
            </w:r>
          </w:p>
        </w:tc>
        <w:tc>
          <w:tcPr>
            <w:tcW w:type="dxa" w:w="1337"/>
            <w:shd w:val="clear" w:color="auto" w:fill="D9E2F3"/>
          </w:tcPr>
          <w:p>
            <w:pPr>
              <w:jc w:val="center"/>
            </w:pPr>
            <w:r>
              <w:rPr>
                <w:rFonts w:ascii="Times New Roman" w:hAnsi="Times New Roman"/>
                <w:b/>
                <w:i w:val="0"/>
                <w:sz w:val="20"/>
              </w:rPr>
              <w:t>Max</w:t>
            </w:r>
          </w:p>
        </w:tc>
        <w:tc>
          <w:tcPr>
            <w:tcW w:type="dxa" w:w="1337"/>
            <w:shd w:val="clear" w:color="auto" w:fill="D9E2F3"/>
          </w:tcPr>
          <w:p>
            <w:pPr>
              <w:jc w:val="center"/>
            </w:pPr>
            <w:r>
              <w:rPr>
                <w:rFonts w:ascii="Times New Roman" w:hAnsi="Times New Roman"/>
                <w:b/>
                <w:i w:val="0"/>
                <w:sz w:val="20"/>
              </w:rPr>
              <w:t>Skewness</w:t>
            </w:r>
          </w:p>
        </w:tc>
      </w:tr>
      <w:tr>
        <w:tc>
          <w:tcPr>
            <w:tcW w:type="dxa" w:w="1337"/>
          </w:tcPr>
          <w:p>
            <w:pPr>
              <w:jc w:val="center"/>
            </w:pPr>
            <w:r>
              <w:rPr>
                <w:rFonts w:ascii="Times New Roman" w:hAnsi="Times New Roman"/>
                <w:b w:val="0"/>
                <w:i w:val="0"/>
                <w:sz w:val="20"/>
              </w:rPr>
              <w:t>UNRATE</w:t>
            </w:r>
          </w:p>
        </w:tc>
        <w:tc>
          <w:tcPr>
            <w:tcW w:type="dxa" w:w="1337"/>
          </w:tcPr>
          <w:p>
            <w:pPr>
              <w:jc w:val="center"/>
            </w:pPr>
            <w:r>
              <w:rPr>
                <w:rFonts w:ascii="Times New Roman" w:hAnsi="Times New Roman"/>
                <w:b w:val="0"/>
                <w:i w:val="0"/>
                <w:sz w:val="20"/>
              </w:rPr>
              <w:t>-0.0131</w:t>
            </w:r>
          </w:p>
        </w:tc>
        <w:tc>
          <w:tcPr>
            <w:tcW w:type="dxa" w:w="1337"/>
          </w:tcPr>
          <w:p>
            <w:pPr>
              <w:jc w:val="center"/>
            </w:pPr>
            <w:r>
              <w:rPr>
                <w:rFonts w:ascii="Times New Roman" w:hAnsi="Times New Roman"/>
                <w:b w:val="0"/>
                <w:i w:val="0"/>
                <w:sz w:val="20"/>
              </w:rPr>
              <w:t>0.2127</w:t>
            </w:r>
          </w:p>
        </w:tc>
        <w:tc>
          <w:tcPr>
            <w:tcW w:type="dxa" w:w="1337"/>
          </w:tcPr>
          <w:p>
            <w:pPr>
              <w:jc w:val="center"/>
            </w:pPr>
            <w:r>
              <w:rPr>
                <w:rFonts w:ascii="Times New Roman" w:hAnsi="Times New Roman"/>
                <w:b w:val="0"/>
                <w:i w:val="0"/>
                <w:sz w:val="20"/>
              </w:rPr>
              <w:t>-1.8000</w:t>
            </w:r>
          </w:p>
        </w:tc>
        <w:tc>
          <w:tcPr>
            <w:tcW w:type="dxa" w:w="1337"/>
          </w:tcPr>
          <w:p>
            <w:pPr>
              <w:jc w:val="center"/>
            </w:pPr>
            <w:r>
              <w:rPr>
                <w:rFonts w:ascii="Times New Roman" w:hAnsi="Times New Roman"/>
                <w:b w:val="0"/>
                <w:i w:val="0"/>
                <w:sz w:val="20"/>
              </w:rPr>
              <w:t>0.0000</w:t>
            </w:r>
          </w:p>
        </w:tc>
        <w:tc>
          <w:tcPr>
            <w:tcW w:type="dxa" w:w="1337"/>
          </w:tcPr>
          <w:p>
            <w:pPr>
              <w:jc w:val="center"/>
            </w:pPr>
            <w:r>
              <w:rPr>
                <w:rFonts w:ascii="Times New Roman" w:hAnsi="Times New Roman"/>
                <w:b w:val="0"/>
                <w:i w:val="0"/>
                <w:sz w:val="20"/>
              </w:rPr>
              <w:t>0.9000</w:t>
            </w:r>
          </w:p>
        </w:tc>
        <w:tc>
          <w:tcPr>
            <w:tcW w:type="dxa" w:w="1337"/>
          </w:tcPr>
          <w:p>
            <w:pPr>
              <w:jc w:val="center"/>
            </w:pPr>
            <w:r>
              <w:rPr>
                <w:rFonts w:ascii="Times New Roman" w:hAnsi="Times New Roman"/>
                <w:b w:val="0"/>
                <w:i w:val="0"/>
                <w:sz w:val="20"/>
              </w:rPr>
              <w:t>-1.1414</w:t>
            </w:r>
          </w:p>
        </w:tc>
      </w:tr>
      <w:tr>
        <w:tc>
          <w:tcPr>
            <w:tcW w:type="dxa" w:w="1337"/>
          </w:tcPr>
          <w:p>
            <w:pPr>
              <w:jc w:val="center"/>
            </w:pPr>
            <w:r>
              <w:rPr>
                <w:rFonts w:ascii="Times New Roman" w:hAnsi="Times New Roman"/>
                <w:b w:val="0"/>
                <w:i w:val="0"/>
                <w:sz w:val="20"/>
              </w:rPr>
              <w:t>GS10</w:t>
            </w:r>
          </w:p>
        </w:tc>
        <w:tc>
          <w:tcPr>
            <w:tcW w:type="dxa" w:w="1337"/>
          </w:tcPr>
          <w:p>
            <w:pPr>
              <w:jc w:val="center"/>
            </w:pPr>
            <w:r>
              <w:rPr>
                <w:rFonts w:ascii="Times New Roman" w:hAnsi="Times New Roman"/>
                <w:b w:val="0"/>
                <w:i w:val="0"/>
                <w:sz w:val="20"/>
              </w:rPr>
              <w:t>0.0005</w:t>
            </w:r>
          </w:p>
        </w:tc>
        <w:tc>
          <w:tcPr>
            <w:tcW w:type="dxa" w:w="1337"/>
          </w:tcPr>
          <w:p>
            <w:pPr>
              <w:jc w:val="center"/>
            </w:pPr>
            <w:r>
              <w:rPr>
                <w:rFonts w:ascii="Times New Roman" w:hAnsi="Times New Roman"/>
                <w:b w:val="0"/>
                <w:i w:val="0"/>
                <w:sz w:val="20"/>
              </w:rPr>
              <w:t>0.2728</w:t>
            </w:r>
          </w:p>
        </w:tc>
        <w:tc>
          <w:tcPr>
            <w:tcW w:type="dxa" w:w="1337"/>
          </w:tcPr>
          <w:p>
            <w:pPr>
              <w:jc w:val="center"/>
            </w:pPr>
            <w:r>
              <w:rPr>
                <w:rFonts w:ascii="Times New Roman" w:hAnsi="Times New Roman"/>
                <w:b w:val="0"/>
                <w:i w:val="0"/>
                <w:sz w:val="20"/>
              </w:rPr>
              <w:t>-1.7600</w:t>
            </w:r>
          </w:p>
        </w:tc>
        <w:tc>
          <w:tcPr>
            <w:tcW w:type="dxa" w:w="1337"/>
          </w:tcPr>
          <w:p>
            <w:pPr>
              <w:jc w:val="center"/>
            </w:pPr>
            <w:r>
              <w:rPr>
                <w:rFonts w:ascii="Times New Roman" w:hAnsi="Times New Roman"/>
                <w:b w:val="0"/>
                <w:i w:val="0"/>
                <w:sz w:val="20"/>
              </w:rPr>
              <w:t>0.0000</w:t>
            </w:r>
          </w:p>
        </w:tc>
        <w:tc>
          <w:tcPr>
            <w:tcW w:type="dxa" w:w="1337"/>
          </w:tcPr>
          <w:p>
            <w:pPr>
              <w:jc w:val="center"/>
            </w:pPr>
            <w:r>
              <w:rPr>
                <w:rFonts w:ascii="Times New Roman" w:hAnsi="Times New Roman"/>
                <w:b w:val="0"/>
                <w:i w:val="0"/>
                <w:sz w:val="20"/>
              </w:rPr>
              <w:t>1.6100</w:t>
            </w:r>
          </w:p>
        </w:tc>
        <w:tc>
          <w:tcPr>
            <w:tcW w:type="dxa" w:w="1337"/>
          </w:tcPr>
          <w:p>
            <w:pPr>
              <w:jc w:val="center"/>
            </w:pPr>
            <w:r>
              <w:rPr>
                <w:rFonts w:ascii="Times New Roman" w:hAnsi="Times New Roman"/>
                <w:b w:val="0"/>
                <w:i w:val="0"/>
                <w:sz w:val="20"/>
              </w:rPr>
              <w:t>-0.4280</w:t>
            </w:r>
          </w:p>
        </w:tc>
      </w:tr>
      <w:tr>
        <w:tc>
          <w:tcPr>
            <w:tcW w:type="dxa" w:w="1337"/>
          </w:tcPr>
          <w:p>
            <w:pPr>
              <w:jc w:val="center"/>
            </w:pPr>
            <w:r>
              <w:rPr>
                <w:rFonts w:ascii="Times New Roman" w:hAnsi="Times New Roman"/>
                <w:b w:val="0"/>
                <w:i w:val="0"/>
                <w:sz w:val="20"/>
              </w:rPr>
              <w:t>FEDFUNDS</w:t>
            </w:r>
          </w:p>
        </w:tc>
        <w:tc>
          <w:tcPr>
            <w:tcW w:type="dxa" w:w="1337"/>
          </w:tcPr>
          <w:p>
            <w:pPr>
              <w:jc w:val="center"/>
            </w:pPr>
            <w:r>
              <w:rPr>
                <w:rFonts w:ascii="Times New Roman" w:hAnsi="Times New Roman"/>
                <w:b w:val="0"/>
                <w:i w:val="0"/>
                <w:sz w:val="20"/>
              </w:rPr>
              <w:t>0.0062</w:t>
            </w:r>
          </w:p>
        </w:tc>
        <w:tc>
          <w:tcPr>
            <w:tcW w:type="dxa" w:w="1337"/>
          </w:tcPr>
          <w:p>
            <w:pPr>
              <w:jc w:val="center"/>
            </w:pPr>
            <w:r>
              <w:rPr>
                <w:rFonts w:ascii="Times New Roman" w:hAnsi="Times New Roman"/>
                <w:b w:val="0"/>
                <w:i w:val="0"/>
                <w:sz w:val="20"/>
              </w:rPr>
              <w:t>0.3637</w:t>
            </w:r>
          </w:p>
        </w:tc>
        <w:tc>
          <w:tcPr>
            <w:tcW w:type="dxa" w:w="1337"/>
          </w:tcPr>
          <w:p>
            <w:pPr>
              <w:jc w:val="center"/>
            </w:pPr>
            <w:r>
              <w:rPr>
                <w:rFonts w:ascii="Times New Roman" w:hAnsi="Times New Roman"/>
                <w:b w:val="0"/>
                <w:i w:val="0"/>
                <w:sz w:val="20"/>
              </w:rPr>
              <w:t>-1.9500</w:t>
            </w:r>
          </w:p>
        </w:tc>
        <w:tc>
          <w:tcPr>
            <w:tcW w:type="dxa" w:w="1337"/>
          </w:tcPr>
          <w:p>
            <w:pPr>
              <w:jc w:val="center"/>
            </w:pPr>
            <w:r>
              <w:rPr>
                <w:rFonts w:ascii="Times New Roman" w:hAnsi="Times New Roman"/>
                <w:b w:val="0"/>
                <w:i w:val="0"/>
                <w:sz w:val="20"/>
              </w:rPr>
              <w:t>0.0100</w:t>
            </w:r>
          </w:p>
        </w:tc>
        <w:tc>
          <w:tcPr>
            <w:tcW w:type="dxa" w:w="1337"/>
          </w:tcPr>
          <w:p>
            <w:pPr>
              <w:jc w:val="center"/>
            </w:pPr>
            <w:r>
              <w:rPr>
                <w:rFonts w:ascii="Times New Roman" w:hAnsi="Times New Roman"/>
                <w:b w:val="0"/>
                <w:i w:val="0"/>
                <w:sz w:val="20"/>
              </w:rPr>
              <w:t>1.9400</w:t>
            </w:r>
          </w:p>
        </w:tc>
        <w:tc>
          <w:tcPr>
            <w:tcW w:type="dxa" w:w="1337"/>
          </w:tcPr>
          <w:p>
            <w:pPr>
              <w:jc w:val="center"/>
            </w:pPr>
            <w:r>
              <w:rPr>
                <w:rFonts w:ascii="Times New Roman" w:hAnsi="Times New Roman"/>
                <w:b w:val="0"/>
                <w:i w:val="0"/>
                <w:sz w:val="20"/>
              </w:rPr>
              <w:t>-0.0313</w:t>
            </w:r>
          </w:p>
        </w:tc>
      </w:tr>
      <w:tr>
        <w:tc>
          <w:tcPr>
            <w:tcW w:type="dxa" w:w="1337"/>
          </w:tcPr>
          <w:p>
            <w:pPr>
              <w:jc w:val="center"/>
            </w:pPr>
            <w:r>
              <w:rPr>
                <w:rFonts w:ascii="Times New Roman" w:hAnsi="Times New Roman"/>
                <w:b w:val="0"/>
                <w:i w:val="0"/>
                <w:sz w:val="20"/>
              </w:rPr>
              <w:t>INDPRO</w:t>
            </w:r>
          </w:p>
        </w:tc>
        <w:tc>
          <w:tcPr>
            <w:tcW w:type="dxa" w:w="1337"/>
          </w:tcPr>
          <w:p>
            <w:pPr>
              <w:jc w:val="center"/>
            </w:pPr>
            <w:r>
              <w:rPr>
                <w:rFonts w:ascii="Times New Roman" w:hAnsi="Times New Roman"/>
                <w:b w:val="0"/>
                <w:i w:val="0"/>
                <w:sz w:val="20"/>
              </w:rPr>
              <w:t>0.0020</w:t>
            </w:r>
          </w:p>
        </w:tc>
        <w:tc>
          <w:tcPr>
            <w:tcW w:type="dxa" w:w="1337"/>
          </w:tcPr>
          <w:p>
            <w:pPr>
              <w:jc w:val="center"/>
            </w:pPr>
            <w:r>
              <w:rPr>
                <w:rFonts w:ascii="Times New Roman" w:hAnsi="Times New Roman"/>
                <w:b w:val="0"/>
                <w:i w:val="0"/>
                <w:sz w:val="20"/>
              </w:rPr>
              <w:t>0.0092</w:t>
            </w:r>
          </w:p>
        </w:tc>
        <w:tc>
          <w:tcPr>
            <w:tcW w:type="dxa" w:w="1337"/>
          </w:tcPr>
          <w:p>
            <w:pPr>
              <w:jc w:val="center"/>
            </w:pPr>
            <w:r>
              <w:rPr>
                <w:rFonts w:ascii="Times New Roman" w:hAnsi="Times New Roman"/>
                <w:b w:val="0"/>
                <w:i w:val="0"/>
                <w:sz w:val="20"/>
              </w:rPr>
              <w:t>-0.0757</w:t>
            </w:r>
          </w:p>
        </w:tc>
        <w:tc>
          <w:tcPr>
            <w:tcW w:type="dxa" w:w="1337"/>
          </w:tcPr>
          <w:p>
            <w:pPr>
              <w:jc w:val="center"/>
            </w:pPr>
            <w:r>
              <w:rPr>
                <w:rFonts w:ascii="Times New Roman" w:hAnsi="Times New Roman"/>
                <w:b w:val="0"/>
                <w:i w:val="0"/>
                <w:sz w:val="20"/>
              </w:rPr>
              <w:t>0.0023</w:t>
            </w:r>
          </w:p>
        </w:tc>
        <w:tc>
          <w:tcPr>
            <w:tcW w:type="dxa" w:w="1337"/>
          </w:tcPr>
          <w:p>
            <w:pPr>
              <w:jc w:val="center"/>
            </w:pPr>
            <w:r>
              <w:rPr>
                <w:rFonts w:ascii="Times New Roman" w:hAnsi="Times New Roman"/>
                <w:b w:val="0"/>
                <w:i w:val="0"/>
                <w:sz w:val="20"/>
              </w:rPr>
              <w:t>0.0601</w:t>
            </w:r>
          </w:p>
        </w:tc>
        <w:tc>
          <w:tcPr>
            <w:tcW w:type="dxa" w:w="1337"/>
          </w:tcPr>
          <w:p>
            <w:pPr>
              <w:jc w:val="center"/>
            </w:pPr>
            <w:r>
              <w:rPr>
                <w:rFonts w:ascii="Times New Roman" w:hAnsi="Times New Roman"/>
                <w:b w:val="0"/>
                <w:i w:val="0"/>
                <w:sz w:val="20"/>
              </w:rPr>
              <w:t>-1.0364</w:t>
            </w:r>
          </w:p>
        </w:tc>
      </w:tr>
      <w:tr>
        <w:tc>
          <w:tcPr>
            <w:tcW w:type="dxa" w:w="1337"/>
          </w:tcPr>
          <w:p>
            <w:pPr>
              <w:jc w:val="center"/>
            </w:pPr>
            <w:r>
              <w:rPr>
                <w:rFonts w:ascii="Times New Roman" w:hAnsi="Times New Roman"/>
                <w:b w:val="0"/>
                <w:i w:val="0"/>
                <w:sz w:val="20"/>
              </w:rPr>
              <w:t>CPIAUCSL</w:t>
            </w:r>
          </w:p>
        </w:tc>
        <w:tc>
          <w:tcPr>
            <w:tcW w:type="dxa" w:w="1337"/>
          </w:tcPr>
          <w:p>
            <w:pPr>
              <w:jc w:val="center"/>
            </w:pPr>
            <w:r>
              <w:rPr>
                <w:rFonts w:ascii="Times New Roman" w:hAnsi="Times New Roman"/>
                <w:b w:val="0"/>
                <w:i w:val="0"/>
                <w:sz w:val="20"/>
              </w:rPr>
              <w:t>0.0000</w:t>
            </w:r>
          </w:p>
        </w:tc>
        <w:tc>
          <w:tcPr>
            <w:tcW w:type="dxa" w:w="1337"/>
          </w:tcPr>
          <w:p>
            <w:pPr>
              <w:jc w:val="center"/>
            </w:pPr>
            <w:r>
              <w:rPr>
                <w:rFonts w:ascii="Times New Roman" w:hAnsi="Times New Roman"/>
                <w:b w:val="0"/>
                <w:i w:val="0"/>
                <w:sz w:val="20"/>
              </w:rPr>
              <w:t>0.0027</w:t>
            </w:r>
          </w:p>
        </w:tc>
        <w:tc>
          <w:tcPr>
            <w:tcW w:type="dxa" w:w="1337"/>
          </w:tcPr>
          <w:p>
            <w:pPr>
              <w:jc w:val="center"/>
            </w:pPr>
            <w:r>
              <w:rPr>
                <w:rFonts w:ascii="Times New Roman" w:hAnsi="Times New Roman"/>
                <w:b w:val="0"/>
                <w:i w:val="0"/>
                <w:sz w:val="20"/>
              </w:rPr>
              <w:t>-0.0135</w:t>
            </w:r>
          </w:p>
        </w:tc>
        <w:tc>
          <w:tcPr>
            <w:tcW w:type="dxa" w:w="1337"/>
          </w:tcPr>
          <w:p>
            <w:pPr>
              <w:jc w:val="center"/>
            </w:pPr>
            <w:r>
              <w:rPr>
                <w:rFonts w:ascii="Times New Roman" w:hAnsi="Times New Roman"/>
                <w:b w:val="0"/>
                <w:i w:val="0"/>
                <w:sz w:val="20"/>
              </w:rPr>
              <w:t>-0.0000</w:t>
            </w:r>
          </w:p>
        </w:tc>
        <w:tc>
          <w:tcPr>
            <w:tcW w:type="dxa" w:w="1337"/>
          </w:tcPr>
          <w:p>
            <w:pPr>
              <w:jc w:val="center"/>
            </w:pPr>
            <w:r>
              <w:rPr>
                <w:rFonts w:ascii="Times New Roman" w:hAnsi="Times New Roman"/>
                <w:b w:val="0"/>
                <w:i w:val="0"/>
                <w:sz w:val="20"/>
              </w:rPr>
              <w:t>0.0179</w:t>
            </w:r>
          </w:p>
        </w:tc>
        <w:tc>
          <w:tcPr>
            <w:tcW w:type="dxa" w:w="1337"/>
          </w:tcPr>
          <w:p>
            <w:pPr>
              <w:jc w:val="center"/>
            </w:pPr>
            <w:r>
              <w:rPr>
                <w:rFonts w:ascii="Times New Roman" w:hAnsi="Times New Roman"/>
                <w:b w:val="0"/>
                <w:i w:val="0"/>
                <w:sz w:val="20"/>
              </w:rPr>
              <w:t>-0.1151</w:t>
            </w:r>
          </w:p>
        </w:tc>
      </w:tr>
      <w:tr>
        <w:tc>
          <w:tcPr>
            <w:tcW w:type="dxa" w:w="1337"/>
          </w:tcPr>
          <w:p>
            <w:pPr>
              <w:jc w:val="center"/>
            </w:pPr>
            <w:r>
              <w:rPr>
                <w:rFonts w:ascii="Times New Roman" w:hAnsi="Times New Roman"/>
                <w:b w:val="0"/>
                <w:i w:val="0"/>
                <w:sz w:val="20"/>
              </w:rPr>
              <w:t>TB3SMFFM</w:t>
            </w:r>
          </w:p>
        </w:tc>
        <w:tc>
          <w:tcPr>
            <w:tcW w:type="dxa" w:w="1337"/>
          </w:tcPr>
          <w:p>
            <w:pPr>
              <w:jc w:val="center"/>
            </w:pPr>
            <w:r>
              <w:rPr>
                <w:rFonts w:ascii="Times New Roman" w:hAnsi="Times New Roman"/>
                <w:b w:val="0"/>
                <w:i w:val="0"/>
                <w:sz w:val="20"/>
              </w:rPr>
              <w:t>-0.4154</w:t>
            </w:r>
          </w:p>
        </w:tc>
        <w:tc>
          <w:tcPr>
            <w:tcW w:type="dxa" w:w="1337"/>
          </w:tcPr>
          <w:p>
            <w:pPr>
              <w:jc w:val="center"/>
            </w:pPr>
            <w:r>
              <w:rPr>
                <w:rFonts w:ascii="Times New Roman" w:hAnsi="Times New Roman"/>
                <w:b w:val="0"/>
                <w:i w:val="0"/>
                <w:sz w:val="20"/>
              </w:rPr>
              <w:t>0.6932</w:t>
            </w:r>
          </w:p>
        </w:tc>
        <w:tc>
          <w:tcPr>
            <w:tcW w:type="dxa" w:w="1337"/>
          </w:tcPr>
          <w:p>
            <w:pPr>
              <w:jc w:val="center"/>
            </w:pPr>
            <w:r>
              <w:rPr>
                <w:rFonts w:ascii="Times New Roman" w:hAnsi="Times New Roman"/>
                <w:b w:val="0"/>
                <w:i w:val="0"/>
                <w:sz w:val="20"/>
              </w:rPr>
              <w:t>-5.3700</w:t>
            </w:r>
          </w:p>
        </w:tc>
        <w:tc>
          <w:tcPr>
            <w:tcW w:type="dxa" w:w="1337"/>
          </w:tcPr>
          <w:p>
            <w:pPr>
              <w:jc w:val="center"/>
            </w:pPr>
            <w:r>
              <w:rPr>
                <w:rFonts w:ascii="Times New Roman" w:hAnsi="Times New Roman"/>
                <w:b w:val="0"/>
                <w:i w:val="0"/>
                <w:sz w:val="20"/>
              </w:rPr>
              <w:t>-0.1800</w:t>
            </w:r>
          </w:p>
        </w:tc>
        <w:tc>
          <w:tcPr>
            <w:tcW w:type="dxa" w:w="1337"/>
          </w:tcPr>
          <w:p>
            <w:pPr>
              <w:jc w:val="center"/>
            </w:pPr>
            <w:r>
              <w:rPr>
                <w:rFonts w:ascii="Times New Roman" w:hAnsi="Times New Roman"/>
                <w:b w:val="0"/>
                <w:i w:val="0"/>
                <w:sz w:val="20"/>
              </w:rPr>
              <w:t>1.0700</w:t>
            </w:r>
          </w:p>
        </w:tc>
        <w:tc>
          <w:tcPr>
            <w:tcW w:type="dxa" w:w="1337"/>
          </w:tcPr>
          <w:p>
            <w:pPr>
              <w:jc w:val="center"/>
            </w:pPr>
            <w:r>
              <w:rPr>
                <w:rFonts w:ascii="Times New Roman" w:hAnsi="Times New Roman"/>
                <w:b w:val="0"/>
                <w:i w:val="0"/>
                <w:sz w:val="20"/>
              </w:rPr>
              <w:t>-2.5690</w:t>
            </w:r>
          </w:p>
        </w:tc>
      </w:tr>
      <w:tr>
        <w:tc>
          <w:tcPr>
            <w:tcW w:type="dxa" w:w="1337"/>
          </w:tcPr>
          <w:p>
            <w:pPr>
              <w:jc w:val="center"/>
            </w:pPr>
            <w:r>
              <w:rPr>
                <w:rFonts w:ascii="Times New Roman" w:hAnsi="Times New Roman"/>
                <w:b w:val="0"/>
                <w:i w:val="0"/>
                <w:sz w:val="20"/>
              </w:rPr>
              <w:t>PAYEMS</w:t>
            </w:r>
          </w:p>
        </w:tc>
        <w:tc>
          <w:tcPr>
            <w:tcW w:type="dxa" w:w="1337"/>
          </w:tcPr>
          <w:p>
            <w:pPr>
              <w:jc w:val="center"/>
            </w:pPr>
            <w:r>
              <w:rPr>
                <w:rFonts w:ascii="Times New Roman" w:hAnsi="Times New Roman"/>
                <w:b w:val="0"/>
                <w:i w:val="0"/>
                <w:sz w:val="20"/>
              </w:rPr>
              <w:t>0.0016</w:t>
            </w:r>
          </w:p>
        </w:tc>
        <w:tc>
          <w:tcPr>
            <w:tcW w:type="dxa" w:w="1337"/>
          </w:tcPr>
          <w:p>
            <w:pPr>
              <w:jc w:val="center"/>
            </w:pPr>
            <w:r>
              <w:rPr>
                <w:rFonts w:ascii="Times New Roman" w:hAnsi="Times New Roman"/>
                <w:b w:val="0"/>
                <w:i w:val="0"/>
                <w:sz w:val="20"/>
              </w:rPr>
              <w:t>0.0024</w:t>
            </w:r>
          </w:p>
        </w:tc>
        <w:tc>
          <w:tcPr>
            <w:tcW w:type="dxa" w:w="1337"/>
          </w:tcPr>
          <w:p>
            <w:pPr>
              <w:jc w:val="center"/>
            </w:pPr>
            <w:r>
              <w:rPr>
                <w:rFonts w:ascii="Times New Roman" w:hAnsi="Times New Roman"/>
                <w:b w:val="0"/>
                <w:i w:val="0"/>
                <w:sz w:val="20"/>
              </w:rPr>
              <w:t>-0.0087</w:t>
            </w:r>
          </w:p>
        </w:tc>
        <w:tc>
          <w:tcPr>
            <w:tcW w:type="dxa" w:w="1337"/>
          </w:tcPr>
          <w:p>
            <w:pPr>
              <w:jc w:val="center"/>
            </w:pPr>
            <w:r>
              <w:rPr>
                <w:rFonts w:ascii="Times New Roman" w:hAnsi="Times New Roman"/>
                <w:b w:val="0"/>
                <w:i w:val="0"/>
                <w:sz w:val="20"/>
              </w:rPr>
              <w:t>0.0016</w:t>
            </w:r>
          </w:p>
        </w:tc>
        <w:tc>
          <w:tcPr>
            <w:tcW w:type="dxa" w:w="1337"/>
          </w:tcPr>
          <w:p>
            <w:pPr>
              <w:jc w:val="center"/>
            </w:pPr>
            <w:r>
              <w:rPr>
                <w:rFonts w:ascii="Times New Roman" w:hAnsi="Times New Roman"/>
                <w:b w:val="0"/>
                <w:i w:val="0"/>
                <w:sz w:val="20"/>
              </w:rPr>
              <w:t>0.0148</w:t>
            </w:r>
          </w:p>
        </w:tc>
        <w:tc>
          <w:tcPr>
            <w:tcW w:type="dxa" w:w="1337"/>
          </w:tcPr>
          <w:p>
            <w:pPr>
              <w:jc w:val="center"/>
            </w:pPr>
            <w:r>
              <w:rPr>
                <w:rFonts w:ascii="Times New Roman" w:hAnsi="Times New Roman"/>
                <w:b w:val="0"/>
                <w:i w:val="0"/>
                <w:sz w:val="20"/>
              </w:rPr>
              <w:t>0.1640</w:t>
            </w:r>
          </w:p>
        </w:tc>
      </w:tr>
      <w:tr>
        <w:tc>
          <w:tcPr>
            <w:tcW w:type="dxa" w:w="1337"/>
          </w:tcPr>
          <w:p>
            <w:pPr>
              <w:jc w:val="center"/>
            </w:pPr>
            <w:r>
              <w:rPr>
                <w:rFonts w:ascii="Times New Roman" w:hAnsi="Times New Roman"/>
                <w:b w:val="0"/>
                <w:i w:val="0"/>
                <w:sz w:val="20"/>
              </w:rPr>
              <w:t>M2SL</w:t>
            </w:r>
          </w:p>
        </w:tc>
        <w:tc>
          <w:tcPr>
            <w:tcW w:type="dxa" w:w="1337"/>
          </w:tcPr>
          <w:p>
            <w:pPr>
              <w:jc w:val="center"/>
            </w:pPr>
            <w:r>
              <w:rPr>
                <w:rFonts w:ascii="Times New Roman" w:hAnsi="Times New Roman"/>
                <w:b w:val="0"/>
                <w:i w:val="0"/>
                <w:sz w:val="20"/>
              </w:rPr>
              <w:t>0.0000</w:t>
            </w:r>
          </w:p>
        </w:tc>
        <w:tc>
          <w:tcPr>
            <w:tcW w:type="dxa" w:w="1337"/>
          </w:tcPr>
          <w:p>
            <w:pPr>
              <w:jc w:val="center"/>
            </w:pPr>
            <w:r>
              <w:rPr>
                <w:rFonts w:ascii="Times New Roman" w:hAnsi="Times New Roman"/>
                <w:b w:val="0"/>
                <w:i w:val="0"/>
                <w:sz w:val="20"/>
              </w:rPr>
              <w:t>0.0039</w:t>
            </w:r>
          </w:p>
        </w:tc>
        <w:tc>
          <w:tcPr>
            <w:tcW w:type="dxa" w:w="1337"/>
          </w:tcPr>
          <w:p>
            <w:pPr>
              <w:jc w:val="center"/>
            </w:pPr>
            <w:r>
              <w:rPr>
                <w:rFonts w:ascii="Times New Roman" w:hAnsi="Times New Roman"/>
                <w:b w:val="0"/>
                <w:i w:val="0"/>
                <w:sz w:val="20"/>
              </w:rPr>
              <w:t>-0.0247</w:t>
            </w:r>
          </w:p>
        </w:tc>
        <w:tc>
          <w:tcPr>
            <w:tcW w:type="dxa" w:w="1337"/>
          </w:tcPr>
          <w:p>
            <w:pPr>
              <w:jc w:val="center"/>
            </w:pPr>
            <w:r>
              <w:rPr>
                <w:rFonts w:ascii="Times New Roman" w:hAnsi="Times New Roman"/>
                <w:b w:val="0"/>
                <w:i w:val="0"/>
                <w:sz w:val="20"/>
              </w:rPr>
              <w:t>0.0001</w:t>
            </w:r>
          </w:p>
        </w:tc>
        <w:tc>
          <w:tcPr>
            <w:tcW w:type="dxa" w:w="1337"/>
          </w:tcPr>
          <w:p>
            <w:pPr>
              <w:jc w:val="center"/>
            </w:pPr>
            <w:r>
              <w:rPr>
                <w:rFonts w:ascii="Times New Roman" w:hAnsi="Times New Roman"/>
                <w:b w:val="0"/>
                <w:i w:val="0"/>
                <w:sz w:val="20"/>
              </w:rPr>
              <w:t>0.0296</w:t>
            </w:r>
          </w:p>
        </w:tc>
        <w:tc>
          <w:tcPr>
            <w:tcW w:type="dxa" w:w="1337"/>
          </w:tcPr>
          <w:p>
            <w:pPr>
              <w:jc w:val="center"/>
            </w:pPr>
            <w:r>
              <w:rPr>
                <w:rFonts w:ascii="Times New Roman" w:hAnsi="Times New Roman"/>
                <w:b w:val="0"/>
                <w:i w:val="0"/>
                <w:sz w:val="20"/>
              </w:rPr>
              <w:t>-0.0040</w:t>
            </w:r>
          </w:p>
        </w:tc>
      </w:tr>
      <w:tr>
        <w:tc>
          <w:tcPr>
            <w:tcW w:type="dxa" w:w="1337"/>
          </w:tcPr>
          <w:p>
            <w:pPr>
              <w:jc w:val="center"/>
            </w:pPr>
            <w:r>
              <w:rPr>
                <w:rFonts w:ascii="Times New Roman" w:hAnsi="Times New Roman"/>
                <w:b w:val="0"/>
                <w:i w:val="0"/>
                <w:sz w:val="20"/>
              </w:rPr>
              <w:t>BUSLOANS</w:t>
            </w:r>
          </w:p>
        </w:tc>
        <w:tc>
          <w:tcPr>
            <w:tcW w:type="dxa" w:w="1337"/>
          </w:tcPr>
          <w:p>
            <w:pPr>
              <w:jc w:val="center"/>
            </w:pPr>
            <w:r>
              <w:rPr>
                <w:rFonts w:ascii="Times New Roman" w:hAnsi="Times New Roman"/>
                <w:b w:val="0"/>
                <w:i w:val="0"/>
                <w:sz w:val="20"/>
              </w:rPr>
              <w:t>0.0001</w:t>
            </w:r>
          </w:p>
        </w:tc>
        <w:tc>
          <w:tcPr>
            <w:tcW w:type="dxa" w:w="1337"/>
          </w:tcPr>
          <w:p>
            <w:pPr>
              <w:jc w:val="center"/>
            </w:pPr>
            <w:r>
              <w:rPr>
                <w:rFonts w:ascii="Times New Roman" w:hAnsi="Times New Roman"/>
                <w:b w:val="0"/>
                <w:i w:val="0"/>
                <w:sz w:val="20"/>
              </w:rPr>
              <w:t>0.0070</w:t>
            </w:r>
          </w:p>
        </w:tc>
        <w:tc>
          <w:tcPr>
            <w:tcW w:type="dxa" w:w="1337"/>
          </w:tcPr>
          <w:p>
            <w:pPr>
              <w:jc w:val="center"/>
            </w:pPr>
            <w:r>
              <w:rPr>
                <w:rFonts w:ascii="Times New Roman" w:hAnsi="Times New Roman"/>
                <w:b w:val="0"/>
                <w:i w:val="0"/>
                <w:sz w:val="20"/>
              </w:rPr>
              <w:t>-0.0605</w:t>
            </w:r>
          </w:p>
        </w:tc>
        <w:tc>
          <w:tcPr>
            <w:tcW w:type="dxa" w:w="1337"/>
          </w:tcPr>
          <w:p>
            <w:pPr>
              <w:jc w:val="center"/>
            </w:pPr>
            <w:r>
              <w:rPr>
                <w:rFonts w:ascii="Times New Roman" w:hAnsi="Times New Roman"/>
                <w:b w:val="0"/>
                <w:i w:val="0"/>
                <w:sz w:val="20"/>
              </w:rPr>
              <w:t>0.0002</w:t>
            </w:r>
          </w:p>
        </w:tc>
        <w:tc>
          <w:tcPr>
            <w:tcW w:type="dxa" w:w="1337"/>
          </w:tcPr>
          <w:p>
            <w:pPr>
              <w:jc w:val="center"/>
            </w:pPr>
            <w:r>
              <w:rPr>
                <w:rFonts w:ascii="Times New Roman" w:hAnsi="Times New Roman"/>
                <w:b w:val="0"/>
                <w:i w:val="0"/>
                <w:sz w:val="20"/>
              </w:rPr>
              <w:t>0.0393</w:t>
            </w:r>
          </w:p>
        </w:tc>
        <w:tc>
          <w:tcPr>
            <w:tcW w:type="dxa" w:w="1337"/>
          </w:tcPr>
          <w:p>
            <w:pPr>
              <w:jc w:val="center"/>
            </w:pPr>
            <w:r>
              <w:rPr>
                <w:rFonts w:ascii="Times New Roman" w:hAnsi="Times New Roman"/>
                <w:b w:val="0"/>
                <w:i w:val="0"/>
                <w:sz w:val="20"/>
              </w:rPr>
              <w:t>-0.7181</w:t>
            </w:r>
          </w:p>
        </w:tc>
      </w:tr>
      <w:tr>
        <w:tc>
          <w:tcPr>
            <w:tcW w:type="dxa" w:w="1337"/>
          </w:tcPr>
          <w:p>
            <w:pPr>
              <w:jc w:val="center"/>
            </w:pPr>
            <w:r>
              <w:rPr>
                <w:rFonts w:ascii="Times New Roman" w:hAnsi="Times New Roman"/>
                <w:b w:val="0"/>
                <w:i w:val="0"/>
                <w:sz w:val="20"/>
              </w:rPr>
              <w:t>HOUST</w:t>
            </w:r>
          </w:p>
        </w:tc>
        <w:tc>
          <w:tcPr>
            <w:tcW w:type="dxa" w:w="1337"/>
          </w:tcPr>
          <w:p>
            <w:pPr>
              <w:jc w:val="center"/>
            </w:pPr>
            <w:r>
              <w:rPr>
                <w:rFonts w:ascii="Times New Roman" w:hAnsi="Times New Roman"/>
                <w:b w:val="0"/>
                <w:i w:val="0"/>
                <w:sz w:val="20"/>
              </w:rPr>
              <w:t>7.2259</w:t>
            </w:r>
          </w:p>
        </w:tc>
        <w:tc>
          <w:tcPr>
            <w:tcW w:type="dxa" w:w="1337"/>
          </w:tcPr>
          <w:p>
            <w:pPr>
              <w:jc w:val="center"/>
            </w:pPr>
            <w:r>
              <w:rPr>
                <w:rFonts w:ascii="Times New Roman" w:hAnsi="Times New Roman"/>
                <w:b w:val="0"/>
                <w:i w:val="0"/>
                <w:sz w:val="20"/>
              </w:rPr>
              <w:t>0.3007</w:t>
            </w:r>
          </w:p>
        </w:tc>
        <w:tc>
          <w:tcPr>
            <w:tcW w:type="dxa" w:w="1337"/>
          </w:tcPr>
          <w:p>
            <w:pPr>
              <w:jc w:val="center"/>
            </w:pPr>
            <w:r>
              <w:rPr>
                <w:rFonts w:ascii="Times New Roman" w:hAnsi="Times New Roman"/>
                <w:b w:val="0"/>
                <w:i w:val="0"/>
                <w:sz w:val="20"/>
              </w:rPr>
              <w:t>6.1696</w:t>
            </w:r>
          </w:p>
        </w:tc>
        <w:tc>
          <w:tcPr>
            <w:tcW w:type="dxa" w:w="1337"/>
          </w:tcPr>
          <w:p>
            <w:pPr>
              <w:jc w:val="center"/>
            </w:pPr>
            <w:r>
              <w:rPr>
                <w:rFonts w:ascii="Times New Roman" w:hAnsi="Times New Roman"/>
                <w:b w:val="0"/>
                <w:i w:val="0"/>
                <w:sz w:val="20"/>
              </w:rPr>
              <w:t>7.2800</w:t>
            </w:r>
          </w:p>
        </w:tc>
        <w:tc>
          <w:tcPr>
            <w:tcW w:type="dxa" w:w="1337"/>
          </w:tcPr>
          <w:p>
            <w:pPr>
              <w:jc w:val="center"/>
            </w:pPr>
            <w:r>
              <w:rPr>
                <w:rFonts w:ascii="Times New Roman" w:hAnsi="Times New Roman"/>
                <w:b w:val="0"/>
                <w:i w:val="0"/>
                <w:sz w:val="20"/>
              </w:rPr>
              <w:t>7.8216</w:t>
            </w:r>
          </w:p>
        </w:tc>
        <w:tc>
          <w:tcPr>
            <w:tcW w:type="dxa" w:w="1337"/>
          </w:tcPr>
          <w:p>
            <w:pPr>
              <w:jc w:val="center"/>
            </w:pPr>
            <w:r>
              <w:rPr>
                <w:rFonts w:ascii="Times New Roman" w:hAnsi="Times New Roman"/>
                <w:b w:val="0"/>
                <w:i w:val="0"/>
                <w:sz w:val="20"/>
              </w:rPr>
              <w:t>-1.0687</w:t>
            </w:r>
          </w:p>
        </w:tc>
      </w:tr>
    </w:tbl>
    <w:p>
      <w:pPr>
        <w:spacing w:before="0" w:after="120" w:line="440" w:lineRule="exact"/>
        <w:jc w:val="both"/>
      </w:pPr>
      <w:r>
        <w:rPr>
          <w:rFonts w:ascii="Times New Roman" w:hAnsi="Times New Roman"/>
          <w:b w:val="0"/>
          <w:i/>
          <w:sz w:val="20"/>
        </w:rPr>
        <w:t>Note: All values are post-transformation (e.g., log first-differences for most series). Skewness values near zero indicate approximately symmetric distributions; larger absolute values (e.g., HOUST, BUSLOANS) indicate asymmetric distributions requiring careful preprocessing.</w:t>
      </w:r>
    </w:p>
    <w:p>
      <w:pPr>
        <w:pStyle w:val="Heading2"/>
        <w:jc w:val="left"/>
      </w:pPr>
      <w:r>
        <w:rPr>
          <w:rFonts w:ascii="Times New Roman" w:hAnsi="Times New Roman"/>
          <w:color w:val="365F91"/>
          <w:sz w:val="26"/>
        </w:rPr>
        <w:t>7.4 Correlation Analysis</w:t>
      </w:r>
    </w:p>
    <w:p>
      <w:pPr>
        <w:spacing w:before="0" w:after="120" w:line="440" w:lineRule="exact"/>
        <w:jc w:val="both"/>
      </w:pPr>
      <w:r>
        <w:rPr>
          <w:rFonts w:ascii="Times New Roman" w:hAnsi="Times New Roman"/>
          <w:b w:val="0"/>
          <w:i w:val="0"/>
          <w:sz w:val="24"/>
        </w:rPr>
        <w:t>Figure 3 presents a correlation heatmap for the top 20 features by variance (after transformation). Strong positive correlations are observed among Treasury yield series (GS1, GS5, GS10), among employment series (PAYEMS, MANEMP, USGOOD), and among price indices (CPIAUCSL and related CPI sub-components). Strong negative correlations appear between yield spread indicators and absolute yield levels, reflecting the inverted yield curve dynamic that precedes recessions.</w:t>
      </w:r>
    </w:p>
    <w:p>
      <w:pPr>
        <w:jc w:val="center"/>
      </w:pPr>
      <w:r>
        <w:drawing>
          <wp:inline xmlns:a="http://schemas.openxmlformats.org/drawingml/2006/main" xmlns:pic="http://schemas.openxmlformats.org/drawingml/2006/picture">
            <wp:extent cx="5943600" cy="5348639"/>
            <wp:docPr id="3" name="Picture 3"/>
            <wp:cNvGraphicFramePr>
              <a:graphicFrameLocks noChangeAspect="1"/>
            </wp:cNvGraphicFramePr>
            <a:graphic>
              <a:graphicData uri="http://schemas.openxmlformats.org/drawingml/2006/picture">
                <pic:pic>
                  <pic:nvPicPr>
                    <pic:cNvPr id="0" name="03_correlation_heatmap.png"/>
                    <pic:cNvPicPr/>
                  </pic:nvPicPr>
                  <pic:blipFill>
                    <a:blip r:embed="rId11"/>
                    <a:stretch>
                      <a:fillRect/>
                    </a:stretch>
                  </pic:blipFill>
                  <pic:spPr>
                    <a:xfrm>
                      <a:off x="0" y="0"/>
                      <a:ext cx="5943600" cy="5348639"/>
                    </a:xfrm>
                    <a:prstGeom prst="rect"/>
                  </pic:spPr>
                </pic:pic>
              </a:graphicData>
            </a:graphic>
          </wp:inline>
        </w:drawing>
      </w:r>
    </w:p>
    <w:p>
      <w:pPr>
        <w:spacing w:before="40" w:after="200"/>
        <w:jc w:val="center"/>
      </w:pPr>
      <w:r>
        <w:rPr>
          <w:rFonts w:ascii="Times New Roman" w:hAnsi="Times New Roman"/>
          <w:b w:val="0"/>
          <w:i/>
          <w:color w:val="505050"/>
          <w:sz w:val="20"/>
        </w:rPr>
        <w:t>Figure 3: Correlation Heatmap — Top 20 Features by Variance (Post-Transformation)</w:t>
      </w:r>
    </w:p>
    <w:p>
      <w:pPr>
        <w:pStyle w:val="Heading2"/>
        <w:jc w:val="left"/>
      </w:pPr>
      <w:r>
        <w:rPr>
          <w:rFonts w:ascii="Times New Roman" w:hAnsi="Times New Roman"/>
          <w:color w:val="365F91"/>
          <w:sz w:val="26"/>
        </w:rPr>
        <w:t>7.5 Box Plot Analysis: Recession vs. Expansion</w:t>
      </w:r>
    </w:p>
    <w:p>
      <w:pPr>
        <w:spacing w:before="0" w:after="120" w:line="440" w:lineRule="exact"/>
        <w:jc w:val="both"/>
      </w:pPr>
      <w:r>
        <w:rPr>
          <w:rFonts w:ascii="Times New Roman" w:hAnsi="Times New Roman"/>
          <w:b w:val="0"/>
          <w:i w:val="0"/>
          <w:sz w:val="24"/>
        </w:rPr>
        <w:t>Figure 4 compares the distribution of eight key economic variables during recession periods versus expansion periods. Unemployment is notably higher during recessions (median ~7% vs ~5% in expansions); the yield spread (TB3SMFFM) is markedly lower or negative during recessions; and industrial production shows clear contraction. These visual differences confirm that the selected features have discriminative power for the recession classification task.</w:t>
      </w:r>
    </w:p>
    <w:p>
      <w:pPr>
        <w:jc w:val="center"/>
      </w:pPr>
      <w:r>
        <w:drawing>
          <wp:inline xmlns:a="http://schemas.openxmlformats.org/drawingml/2006/main" xmlns:pic="http://schemas.openxmlformats.org/drawingml/2006/picture">
            <wp:extent cx="5669280" cy="2893871"/>
            <wp:docPr id="4" name="Picture 4"/>
            <wp:cNvGraphicFramePr>
              <a:graphicFrameLocks noChangeAspect="1"/>
            </wp:cNvGraphicFramePr>
            <a:graphic>
              <a:graphicData uri="http://schemas.openxmlformats.org/drawingml/2006/picture">
                <pic:pic>
                  <pic:nvPicPr>
                    <pic:cNvPr id="0" name="04_boxplots_recession_vs_expansion.png"/>
                    <pic:cNvPicPr/>
                  </pic:nvPicPr>
                  <pic:blipFill>
                    <a:blip r:embed="rId12"/>
                    <a:stretch>
                      <a:fillRect/>
                    </a:stretch>
                  </pic:blipFill>
                  <pic:spPr>
                    <a:xfrm>
                      <a:off x="0" y="0"/>
                      <a:ext cx="5669280" cy="2893871"/>
                    </a:xfrm>
                    <a:prstGeom prst="rect"/>
                  </pic:spPr>
                </pic:pic>
              </a:graphicData>
            </a:graphic>
          </wp:inline>
        </w:drawing>
      </w:r>
    </w:p>
    <w:p>
      <w:pPr>
        <w:spacing w:before="40" w:after="200"/>
        <w:jc w:val="center"/>
      </w:pPr>
      <w:r>
        <w:rPr>
          <w:rFonts w:ascii="Times New Roman" w:hAnsi="Times New Roman"/>
          <w:b w:val="0"/>
          <w:i/>
          <w:color w:val="505050"/>
          <w:sz w:val="20"/>
        </w:rPr>
        <w:t>Figure 4: Feature Distributions During Recession vs. Expansion Periods</w:t>
      </w:r>
    </w:p>
    <w:p>
      <w:pPr>
        <w:pStyle w:val="Heading2"/>
        <w:jc w:val="left"/>
      </w:pPr>
      <w:r>
        <w:rPr>
          <w:rFonts w:ascii="Times New Roman" w:hAnsi="Times New Roman"/>
          <w:color w:val="365F91"/>
          <w:sz w:val="26"/>
        </w:rPr>
        <w:t>7.6 Missing Value Analysis</w:t>
      </w:r>
    </w:p>
    <w:p>
      <w:pPr>
        <w:spacing w:before="0" w:after="120" w:line="440" w:lineRule="exact"/>
        <w:jc w:val="both"/>
      </w:pPr>
      <w:r>
        <w:rPr>
          <w:rFonts w:ascii="Times New Roman" w:hAnsi="Times New Roman"/>
          <w:b w:val="0"/>
          <w:i w:val="0"/>
          <w:sz w:val="24"/>
        </w:rPr>
        <w:t>Figure 5 shows the pattern of missing values in the raw FRED-MD data before transformation and imputation. Missing values are concentrated at the beginning of the sample (pre-1970s) for several series such as housing permits, consumer sentiment (UMCSENTx), and some manufacturing orders series. Series with missing values at the end of the sample include the S&amp;P PE ratio (released with a 6-month lag) and some financial commercial paper rates. All missing values were handled via the McCracken &amp; Ng (2016) outlier procedure followed by forward-fill and backward-fill imputation.</w:t>
      </w:r>
    </w:p>
    <w:p>
      <w:pPr>
        <w:jc w:val="center"/>
      </w:pPr>
      <w:r>
        <w:drawing>
          <wp:inline xmlns:a="http://schemas.openxmlformats.org/drawingml/2006/main" xmlns:pic="http://schemas.openxmlformats.org/drawingml/2006/picture">
            <wp:extent cx="5669280" cy="2096204"/>
            <wp:docPr id="5" name="Picture 5"/>
            <wp:cNvGraphicFramePr>
              <a:graphicFrameLocks noChangeAspect="1"/>
            </wp:cNvGraphicFramePr>
            <a:graphic>
              <a:graphicData uri="http://schemas.openxmlformats.org/drawingml/2006/picture">
                <pic:pic>
                  <pic:nvPicPr>
                    <pic:cNvPr id="0" name="05_missing_value_heatmap.png"/>
                    <pic:cNvPicPr/>
                  </pic:nvPicPr>
                  <pic:blipFill>
                    <a:blip r:embed="rId13"/>
                    <a:stretch>
                      <a:fillRect/>
                    </a:stretch>
                  </pic:blipFill>
                  <pic:spPr>
                    <a:xfrm>
                      <a:off x="0" y="0"/>
                      <a:ext cx="5669280" cy="2096204"/>
                    </a:xfrm>
                    <a:prstGeom prst="rect"/>
                  </pic:spPr>
                </pic:pic>
              </a:graphicData>
            </a:graphic>
          </wp:inline>
        </w:drawing>
      </w:r>
    </w:p>
    <w:p>
      <w:pPr>
        <w:spacing w:before="40" w:after="200"/>
        <w:jc w:val="center"/>
      </w:pPr>
      <w:r>
        <w:rPr>
          <w:rFonts w:ascii="Times New Roman" w:hAnsi="Times New Roman"/>
          <w:b w:val="0"/>
          <w:i/>
          <w:color w:val="505050"/>
          <w:sz w:val="20"/>
        </w:rPr>
        <w:t>Figure 5: Missing Value Pattern in Raw FRED-MD Data (Red = Missing)</w:t>
      </w:r>
    </w:p>
    <w:p>
      <w:pPr>
        <w:pStyle w:val="Heading2"/>
        <w:jc w:val="left"/>
      </w:pPr>
      <w:r>
        <w:rPr>
          <w:rFonts w:ascii="Times New Roman" w:hAnsi="Times New Roman"/>
          <w:color w:val="365F91"/>
          <w:sz w:val="26"/>
        </w:rPr>
        <w:t>7.7 Feature Histograms by Class</w:t>
      </w:r>
    </w:p>
    <w:p>
      <w:pPr>
        <w:spacing w:before="0" w:after="120" w:line="440" w:lineRule="exact"/>
        <w:jc w:val="both"/>
      </w:pPr>
      <w:r>
        <w:rPr>
          <w:rFonts w:ascii="Times New Roman" w:hAnsi="Times New Roman"/>
          <w:b w:val="0"/>
          <w:i w:val="0"/>
          <w:sz w:val="24"/>
        </w:rPr>
        <w:t>Figure 6 shows kernel density plots for six key transformed features, separately for recession (red) and expansion (blue) months. The unemployment rate transformation distribution clearly separates recession and expansion classes—recession months show a concentration of positive changes (rising unemployment), while expansion months show a concentration of near-zero or negative changes. The yield spread similarly shows distributional differences, with recession months associated with negative spread values.</w:t>
      </w:r>
    </w:p>
    <w:p>
      <w:pPr>
        <w:jc w:val="center"/>
      </w:pPr>
      <w:r>
        <w:drawing>
          <wp:inline xmlns:a="http://schemas.openxmlformats.org/drawingml/2006/main" xmlns:pic="http://schemas.openxmlformats.org/drawingml/2006/picture">
            <wp:extent cx="5669280" cy="3382212"/>
            <wp:docPr id="6" name="Picture 6"/>
            <wp:cNvGraphicFramePr>
              <a:graphicFrameLocks noChangeAspect="1"/>
            </wp:cNvGraphicFramePr>
            <a:graphic>
              <a:graphicData uri="http://schemas.openxmlformats.org/drawingml/2006/picture">
                <pic:pic>
                  <pic:nvPicPr>
                    <pic:cNvPr id="0" name="06_feature_histograms.png"/>
                    <pic:cNvPicPr/>
                  </pic:nvPicPr>
                  <pic:blipFill>
                    <a:blip r:embed="rId14"/>
                    <a:stretch>
                      <a:fillRect/>
                    </a:stretch>
                  </pic:blipFill>
                  <pic:spPr>
                    <a:xfrm>
                      <a:off x="0" y="0"/>
                      <a:ext cx="5669280" cy="3382212"/>
                    </a:xfrm>
                    <a:prstGeom prst="rect"/>
                  </pic:spPr>
                </pic:pic>
              </a:graphicData>
            </a:graphic>
          </wp:inline>
        </w:drawing>
      </w:r>
    </w:p>
    <w:p>
      <w:pPr>
        <w:spacing w:before="40" w:after="200"/>
        <w:jc w:val="center"/>
      </w:pPr>
      <w:r>
        <w:rPr>
          <w:rFonts w:ascii="Times New Roman" w:hAnsi="Times New Roman"/>
          <w:b w:val="0"/>
          <w:i/>
          <w:color w:val="505050"/>
          <w:sz w:val="20"/>
        </w:rPr>
        <w:t>Figure 6: Distribution of Transformed Key Features — Recession vs. Expansion</w:t>
      </w:r>
    </w:p>
    <w:p>
      <w:pPr>
        <w:pStyle w:val="Heading2"/>
        <w:jc w:val="left"/>
      </w:pPr>
      <w:r>
        <w:rPr>
          <w:rFonts w:ascii="Times New Roman" w:hAnsi="Times New Roman"/>
          <w:color w:val="365F91"/>
          <w:sz w:val="26"/>
        </w:rPr>
        <w:t>7.8 Yield Curve Analysis</w:t>
      </w:r>
    </w:p>
    <w:p>
      <w:pPr>
        <w:spacing w:before="0" w:after="120" w:line="440" w:lineRule="exact"/>
        <w:jc w:val="both"/>
      </w:pPr>
      <w:r>
        <w:rPr>
          <w:rFonts w:ascii="Times New Roman" w:hAnsi="Times New Roman"/>
          <w:b w:val="0"/>
          <w:i w:val="0"/>
          <w:sz w:val="24"/>
        </w:rPr>
        <w:t>Figure 7 shows the classic yield curve inversion analysis. The top panel plots short-term (3-month T-bill) and long-term (10-year Treasury) yields; the bottom panel shows the spread and highlights periods of inversion (spread &lt; 0) in red. Yield curve inversions visibly precede most NBER recession onset dates—a finding consistent with Estrella &amp; Mishkin (1998) and Bauer &amp; Mertens (2018)—though the 2022–2023 inversion has not yet resulted in an NBER-declared recession as of the data's end date.</w:t>
      </w:r>
    </w:p>
    <w:p>
      <w:pPr>
        <w:jc w:val="center"/>
      </w:pPr>
      <w:r>
        <w:drawing>
          <wp:inline xmlns:a="http://schemas.openxmlformats.org/drawingml/2006/main" xmlns:pic="http://schemas.openxmlformats.org/drawingml/2006/picture">
            <wp:extent cx="5943600" cy="3316429"/>
            <wp:docPr id="7" name="Picture 7"/>
            <wp:cNvGraphicFramePr>
              <a:graphicFrameLocks noChangeAspect="1"/>
            </wp:cNvGraphicFramePr>
            <a:graphic>
              <a:graphicData uri="http://schemas.openxmlformats.org/drawingml/2006/picture">
                <pic:pic>
                  <pic:nvPicPr>
                    <pic:cNvPr id="0" name="07_yield_curve.png"/>
                    <pic:cNvPicPr/>
                  </pic:nvPicPr>
                  <pic:blipFill>
                    <a:blip r:embed="rId15"/>
                    <a:stretch>
                      <a:fillRect/>
                    </a:stretch>
                  </pic:blipFill>
                  <pic:spPr>
                    <a:xfrm>
                      <a:off x="0" y="0"/>
                      <a:ext cx="5943600" cy="3316429"/>
                    </a:xfrm>
                    <a:prstGeom prst="rect"/>
                  </pic:spPr>
                </pic:pic>
              </a:graphicData>
            </a:graphic>
          </wp:inline>
        </w:drawing>
      </w:r>
    </w:p>
    <w:p>
      <w:pPr>
        <w:spacing w:before="40" w:after="200"/>
        <w:jc w:val="center"/>
      </w:pPr>
      <w:r>
        <w:rPr>
          <w:rFonts w:ascii="Times New Roman" w:hAnsi="Times New Roman"/>
          <w:b w:val="0"/>
          <w:i/>
          <w:color w:val="505050"/>
          <w:sz w:val="20"/>
        </w:rPr>
        <w:t>Figure 7: Yield Curve and Inversion as a Recession Predictor (1959–2024)</w:t>
      </w:r>
    </w:p>
    <w:p>
      <w:pPr>
        <w:pStyle w:val="Heading2"/>
        <w:jc w:val="left"/>
      </w:pPr>
      <w:r>
        <w:rPr>
          <w:rFonts w:ascii="Times New Roman" w:hAnsi="Times New Roman"/>
          <w:color w:val="365F91"/>
          <w:sz w:val="26"/>
        </w:rPr>
        <w:t>7.9 Unemployment Rate with Rolling Statistics</w:t>
      </w:r>
    </w:p>
    <w:p>
      <w:pPr>
        <w:spacing w:before="0" w:after="120" w:line="440" w:lineRule="exact"/>
        <w:jc w:val="both"/>
      </w:pPr>
      <w:r>
        <w:rPr>
          <w:rFonts w:ascii="Times New Roman" w:hAnsi="Times New Roman"/>
          <w:b w:val="0"/>
          <w:i w:val="0"/>
          <w:sz w:val="24"/>
        </w:rPr>
        <w:t>Figure 8 plots the raw monthly unemployment rate alongside its 12-month rolling mean. The rolling mean clearly shows the sustained elevation of unemployment during each recession period and the gradual recovery during expansion phases. This visual supports the inclusion of rolling mean unemployment features (UNRATE_rollmean3, 6, 12) as engineered predictors—indeed, these ranked as the most important features in the Random Forest model.</w:t>
      </w:r>
    </w:p>
    <w:p>
      <w:pPr>
        <w:jc w:val="center"/>
      </w:pPr>
      <w:r>
        <w:drawing>
          <wp:inline xmlns:a="http://schemas.openxmlformats.org/drawingml/2006/main" xmlns:pic="http://schemas.openxmlformats.org/drawingml/2006/picture">
            <wp:extent cx="5669280" cy="2096204"/>
            <wp:docPr id="8" name="Picture 8"/>
            <wp:cNvGraphicFramePr>
              <a:graphicFrameLocks noChangeAspect="1"/>
            </wp:cNvGraphicFramePr>
            <a:graphic>
              <a:graphicData uri="http://schemas.openxmlformats.org/drawingml/2006/picture">
                <pic:pic>
                  <pic:nvPicPr>
                    <pic:cNvPr id="0" name="08_unemployment_rolling.png"/>
                    <pic:cNvPicPr/>
                  </pic:nvPicPr>
                  <pic:blipFill>
                    <a:blip r:embed="rId16"/>
                    <a:stretch>
                      <a:fillRect/>
                    </a:stretch>
                  </pic:blipFill>
                  <pic:spPr>
                    <a:xfrm>
                      <a:off x="0" y="0"/>
                      <a:ext cx="5669280" cy="2096204"/>
                    </a:xfrm>
                    <a:prstGeom prst="rect"/>
                  </pic:spPr>
                </pic:pic>
              </a:graphicData>
            </a:graphic>
          </wp:inline>
        </w:drawing>
      </w:r>
    </w:p>
    <w:p>
      <w:pPr>
        <w:spacing w:before="40" w:after="200"/>
        <w:jc w:val="center"/>
      </w:pPr>
      <w:r>
        <w:rPr>
          <w:rFonts w:ascii="Times New Roman" w:hAnsi="Times New Roman"/>
          <w:b w:val="0"/>
          <w:i/>
          <w:color w:val="505050"/>
          <w:sz w:val="20"/>
        </w:rPr>
        <w:t>Figure 8: Unemployment Rate with 12-Month Rolling Average and NBER Recession Shading</w:t>
      </w:r>
    </w:p>
    <w:p>
      <w:pPr>
        <w:pStyle w:val="Heading2"/>
        <w:jc w:val="left"/>
      </w:pPr>
      <w:r>
        <w:rPr>
          <w:rFonts w:ascii="Times New Roman" w:hAnsi="Times New Roman"/>
          <w:color w:val="365F91"/>
          <w:sz w:val="26"/>
        </w:rPr>
        <w:t>7.10 Scatter Plot: Unemployment vs. Yield Spread</w:t>
      </w:r>
    </w:p>
    <w:p>
      <w:pPr>
        <w:spacing w:before="0" w:after="120" w:line="440" w:lineRule="exact"/>
        <w:jc w:val="both"/>
      </w:pPr>
      <w:r>
        <w:rPr>
          <w:rFonts w:ascii="Times New Roman" w:hAnsi="Times New Roman"/>
          <w:b w:val="0"/>
          <w:i w:val="0"/>
          <w:sz w:val="24"/>
        </w:rPr>
        <w:t>Figure 9 shows a scatter plot of unemployment rate versus yield spread, colored by recession label. Recession months (red triangles) cluster in the upper-left region—high unemployment combined with near-zero or inverted yield spreads—while expansion months (blue circles) cluster in the lower-right. This confirms that the combination of these two variables provides strong discrimination between recession and expansion states, consistent with the literature on leading indicator selection.</w:t>
      </w:r>
    </w:p>
    <w:p>
      <w:pPr>
        <w:jc w:val="center"/>
      </w:pPr>
      <w:r>
        <w:drawing>
          <wp:inline xmlns:a="http://schemas.openxmlformats.org/drawingml/2006/main" xmlns:pic="http://schemas.openxmlformats.org/drawingml/2006/picture">
            <wp:extent cx="5669280" cy="3945512"/>
            <wp:docPr id="9" name="Picture 9"/>
            <wp:cNvGraphicFramePr>
              <a:graphicFrameLocks noChangeAspect="1"/>
            </wp:cNvGraphicFramePr>
            <a:graphic>
              <a:graphicData uri="http://schemas.openxmlformats.org/drawingml/2006/picture">
                <pic:pic>
                  <pic:nvPicPr>
                    <pic:cNvPr id="0" name="09_scatter_unemp_yield.png"/>
                    <pic:cNvPicPr/>
                  </pic:nvPicPr>
                  <pic:blipFill>
                    <a:blip r:embed="rId17"/>
                    <a:stretch>
                      <a:fillRect/>
                    </a:stretch>
                  </pic:blipFill>
                  <pic:spPr>
                    <a:xfrm>
                      <a:off x="0" y="0"/>
                      <a:ext cx="5669280" cy="3945512"/>
                    </a:xfrm>
                    <a:prstGeom prst="rect"/>
                  </pic:spPr>
                </pic:pic>
              </a:graphicData>
            </a:graphic>
          </wp:inline>
        </w:drawing>
      </w:r>
    </w:p>
    <w:p>
      <w:pPr>
        <w:spacing w:before="40" w:after="200"/>
        <w:jc w:val="center"/>
      </w:pPr>
      <w:r>
        <w:rPr>
          <w:rFonts w:ascii="Times New Roman" w:hAnsi="Times New Roman"/>
          <w:b w:val="0"/>
          <w:i/>
          <w:color w:val="505050"/>
          <w:sz w:val="20"/>
        </w:rPr>
        <w:t>Figure 9: Scatter Plot — Unemployment Rate vs. Yield Spread Colored by Recession Label</w:t>
      </w:r>
    </w:p>
    <w:p>
      <w:r>
        <w:br w:type="page"/>
      </w:r>
    </w:p>
    <w:p>
      <w:pPr>
        <w:pStyle w:val="Heading1"/>
        <w:jc w:val="left"/>
      </w:pPr>
      <w:r>
        <w:rPr>
          <w:rFonts w:ascii="Times New Roman" w:hAnsi="Times New Roman"/>
          <w:color w:val="1F497D"/>
          <w:sz w:val="32"/>
        </w:rPr>
        <w:t>8. Machine Learning Models and Results</w:t>
      </w:r>
    </w:p>
    <w:p>
      <w:pPr>
        <w:pStyle w:val="Heading2"/>
        <w:jc w:val="left"/>
      </w:pPr>
      <w:r>
        <w:rPr>
          <w:rFonts w:ascii="Times New Roman" w:hAnsi="Times New Roman"/>
          <w:color w:val="365F91"/>
          <w:sz w:val="26"/>
        </w:rPr>
        <w:t>8.1 Data Preparation and Feature Engineering Summary</w:t>
      </w:r>
    </w:p>
    <w:p>
      <w:pPr>
        <w:spacing w:before="0" w:after="120" w:line="440" w:lineRule="exact"/>
        <w:jc w:val="both"/>
      </w:pPr>
      <w:r>
        <w:rPr>
          <w:rFonts w:ascii="Times New Roman" w:hAnsi="Times New Roman"/>
          <w:b w:val="0"/>
          <w:i w:val="0"/>
          <w:sz w:val="24"/>
        </w:rPr>
        <w:t>Following EDA, the dataset was prepared for machine learning as follows. The target variable (USREC) was shifted 3 months forward to create a genuine 3-month-ahead forecast task. Lag features (1, 3, 6, 12 months) were created for five key predictors (UNRATE, GS10, INDPRO, TB3SMFFM, CPIAUCSL), yielding 20 lag features. Rolling mean and standard deviation features (3-, 6-, 12-month windows) were computed for the unemployment rate, yielding 6 rolling features. A binary inverted yield curve indicator was added. The final feature matrix comprises 170 features across 774 valid observations.</w:t>
      </w:r>
    </w:p>
    <w:tbl>
      <w:tblPr>
        <w:tblStyle w:val="TableGrid"/>
        <w:tblW w:type="auto" w:w="0"/>
        <w:tblLook w:firstColumn="1" w:firstRow="1" w:lastColumn="0" w:lastRow="0" w:noHBand="0" w:noVBand="1" w:val="04A0"/>
      </w:tblPr>
      <w:tblGrid>
        <w:gridCol w:w="4680"/>
        <w:gridCol w:w="4680"/>
      </w:tblGrid>
      <w:tr>
        <w:tc>
          <w:tcPr>
            <w:tcW w:type="dxa" w:w="4680"/>
            <w:shd w:val="clear" w:color="auto" w:fill="D9E2F3"/>
          </w:tcPr>
          <w:p>
            <w:pPr>
              <w:jc w:val="center"/>
            </w:pPr>
            <w:r>
              <w:rPr>
                <w:rFonts w:ascii="Times New Roman" w:hAnsi="Times New Roman"/>
                <w:b/>
                <w:i w:val="0"/>
                <w:sz w:val="20"/>
              </w:rPr>
              <w:t>Step</w:t>
            </w:r>
          </w:p>
        </w:tc>
        <w:tc>
          <w:tcPr>
            <w:tcW w:type="dxa" w:w="4680"/>
            <w:shd w:val="clear" w:color="auto" w:fill="D9E2F3"/>
          </w:tcPr>
          <w:p>
            <w:pPr>
              <w:jc w:val="center"/>
            </w:pPr>
            <w:r>
              <w:rPr>
                <w:rFonts w:ascii="Times New Roman" w:hAnsi="Times New Roman"/>
                <w:b/>
                <w:i w:val="0"/>
                <w:sz w:val="20"/>
              </w:rPr>
              <w:t>Detail</w:t>
            </w:r>
          </w:p>
        </w:tc>
      </w:tr>
      <w:tr>
        <w:tc>
          <w:tcPr>
            <w:tcW w:type="dxa" w:w="4680"/>
          </w:tcPr>
          <w:p>
            <w:pPr>
              <w:jc w:val="center"/>
            </w:pPr>
            <w:r>
              <w:rPr>
                <w:rFonts w:ascii="Times New Roman" w:hAnsi="Times New Roman"/>
                <w:b w:val="0"/>
                <w:i w:val="0"/>
                <w:sz w:val="20"/>
              </w:rPr>
              <w:t>Forecast Horizon</w:t>
            </w:r>
          </w:p>
        </w:tc>
        <w:tc>
          <w:tcPr>
            <w:tcW w:type="dxa" w:w="4680"/>
          </w:tcPr>
          <w:p>
            <w:pPr>
              <w:jc w:val="center"/>
            </w:pPr>
            <w:r>
              <w:rPr>
                <w:rFonts w:ascii="Times New Roman" w:hAnsi="Times New Roman"/>
                <w:b w:val="0"/>
                <w:i w:val="0"/>
                <w:sz w:val="20"/>
              </w:rPr>
              <w:t>3 months ahead (USREC shifted -3)</w:t>
            </w:r>
          </w:p>
        </w:tc>
      </w:tr>
      <w:tr>
        <w:tc>
          <w:tcPr>
            <w:tcW w:type="dxa" w:w="4680"/>
          </w:tcPr>
          <w:p>
            <w:pPr>
              <w:jc w:val="center"/>
            </w:pPr>
            <w:r>
              <w:rPr>
                <w:rFonts w:ascii="Times New Roman" w:hAnsi="Times New Roman"/>
                <w:b w:val="0"/>
                <w:i w:val="0"/>
                <w:sz w:val="20"/>
              </w:rPr>
              <w:t>Total Features</w:t>
            </w:r>
          </w:p>
        </w:tc>
        <w:tc>
          <w:tcPr>
            <w:tcW w:type="dxa" w:w="4680"/>
          </w:tcPr>
          <w:p>
            <w:pPr>
              <w:jc w:val="center"/>
            </w:pPr>
            <w:r>
              <w:rPr>
                <w:rFonts w:ascii="Times New Roman" w:hAnsi="Times New Roman"/>
                <w:b w:val="0"/>
                <w:i w:val="0"/>
                <w:sz w:val="20"/>
              </w:rPr>
              <w:t>170</w:t>
            </w:r>
          </w:p>
        </w:tc>
      </w:tr>
      <w:tr>
        <w:tc>
          <w:tcPr>
            <w:tcW w:type="dxa" w:w="4680"/>
          </w:tcPr>
          <w:p>
            <w:pPr>
              <w:jc w:val="center"/>
            </w:pPr>
            <w:r>
              <w:rPr>
                <w:rFonts w:ascii="Times New Roman" w:hAnsi="Times New Roman"/>
                <w:b w:val="0"/>
                <w:i w:val="0"/>
                <w:sz w:val="20"/>
              </w:rPr>
              <w:t>Training Samples</w:t>
            </w:r>
          </w:p>
        </w:tc>
        <w:tc>
          <w:tcPr>
            <w:tcW w:type="dxa" w:w="4680"/>
          </w:tcPr>
          <w:p>
            <w:pPr>
              <w:jc w:val="center"/>
            </w:pPr>
            <w:r>
              <w:rPr>
                <w:rFonts w:ascii="Times New Roman" w:hAnsi="Times New Roman"/>
                <w:b w:val="0"/>
                <w:i w:val="0"/>
                <w:sz w:val="20"/>
              </w:rPr>
              <w:t>619 months (1959–approx. 2003)</w:t>
            </w:r>
          </w:p>
        </w:tc>
      </w:tr>
      <w:tr>
        <w:tc>
          <w:tcPr>
            <w:tcW w:type="dxa" w:w="4680"/>
          </w:tcPr>
          <w:p>
            <w:pPr>
              <w:jc w:val="center"/>
            </w:pPr>
            <w:r>
              <w:rPr>
                <w:rFonts w:ascii="Times New Roman" w:hAnsi="Times New Roman"/>
                <w:b w:val="0"/>
                <w:i w:val="0"/>
                <w:sz w:val="20"/>
              </w:rPr>
              <w:t>Test Samples</w:t>
            </w:r>
          </w:p>
        </w:tc>
        <w:tc>
          <w:tcPr>
            <w:tcW w:type="dxa" w:w="4680"/>
          </w:tcPr>
          <w:p>
            <w:pPr>
              <w:jc w:val="center"/>
            </w:pPr>
            <w:r>
              <w:rPr>
                <w:rFonts w:ascii="Times New Roman" w:hAnsi="Times New Roman"/>
                <w:b w:val="0"/>
                <w:i w:val="0"/>
                <w:sz w:val="20"/>
              </w:rPr>
              <w:t>155 months (approx. 2003–2024)</w:t>
            </w:r>
          </w:p>
        </w:tc>
      </w:tr>
      <w:tr>
        <w:tc>
          <w:tcPr>
            <w:tcW w:type="dxa" w:w="4680"/>
          </w:tcPr>
          <w:p>
            <w:pPr>
              <w:jc w:val="center"/>
            </w:pPr>
            <w:r>
              <w:rPr>
                <w:rFonts w:ascii="Times New Roman" w:hAnsi="Times New Roman"/>
                <w:b w:val="0"/>
                <w:i w:val="0"/>
                <w:sz w:val="20"/>
              </w:rPr>
              <w:t>Train Recession Rate</w:t>
            </w:r>
          </w:p>
        </w:tc>
        <w:tc>
          <w:tcPr>
            <w:tcW w:type="dxa" w:w="4680"/>
          </w:tcPr>
          <w:p>
            <w:pPr>
              <w:jc w:val="center"/>
            </w:pPr>
            <w:r>
              <w:rPr>
                <w:rFonts w:ascii="Times New Roman" w:hAnsi="Times New Roman"/>
                <w:b w:val="0"/>
                <w:i w:val="0"/>
                <w:sz w:val="20"/>
              </w:rPr>
              <w:t>14.9%</w:t>
            </w:r>
          </w:p>
        </w:tc>
      </w:tr>
      <w:tr>
        <w:tc>
          <w:tcPr>
            <w:tcW w:type="dxa" w:w="4680"/>
          </w:tcPr>
          <w:p>
            <w:pPr>
              <w:jc w:val="center"/>
            </w:pPr>
            <w:r>
              <w:rPr>
                <w:rFonts w:ascii="Times New Roman" w:hAnsi="Times New Roman"/>
                <w:b w:val="0"/>
                <w:i w:val="0"/>
                <w:sz w:val="20"/>
              </w:rPr>
              <w:t>Test Recession Rate</w:t>
            </w:r>
          </w:p>
        </w:tc>
        <w:tc>
          <w:tcPr>
            <w:tcW w:type="dxa" w:w="4680"/>
          </w:tcPr>
          <w:p>
            <w:pPr>
              <w:jc w:val="center"/>
            </w:pPr>
            <w:r>
              <w:rPr>
                <w:rFonts w:ascii="Times New Roman" w:hAnsi="Times New Roman"/>
                <w:b w:val="0"/>
                <w:i w:val="0"/>
                <w:sz w:val="20"/>
              </w:rPr>
              <w:t>1.3%</w:t>
            </w:r>
          </w:p>
        </w:tc>
      </w:tr>
      <w:tr>
        <w:tc>
          <w:tcPr>
            <w:tcW w:type="dxa" w:w="4680"/>
          </w:tcPr>
          <w:p>
            <w:pPr>
              <w:jc w:val="center"/>
            </w:pPr>
            <w:r>
              <w:rPr>
                <w:rFonts w:ascii="Times New Roman" w:hAnsi="Times New Roman"/>
                <w:b w:val="0"/>
                <w:i w:val="0"/>
                <w:sz w:val="20"/>
              </w:rPr>
              <w:t>Class Weight — Expansion</w:t>
            </w:r>
          </w:p>
        </w:tc>
        <w:tc>
          <w:tcPr>
            <w:tcW w:type="dxa" w:w="4680"/>
          </w:tcPr>
          <w:p>
            <w:pPr>
              <w:jc w:val="center"/>
            </w:pPr>
            <w:r>
              <w:rPr>
                <w:rFonts w:ascii="Times New Roman" w:hAnsi="Times New Roman"/>
                <w:b w:val="0"/>
                <w:i w:val="0"/>
                <w:sz w:val="20"/>
              </w:rPr>
              <w:t>0.587 (underweight — majority class)</w:t>
            </w:r>
          </w:p>
        </w:tc>
      </w:tr>
      <w:tr>
        <w:tc>
          <w:tcPr>
            <w:tcW w:type="dxa" w:w="4680"/>
          </w:tcPr>
          <w:p>
            <w:pPr>
              <w:jc w:val="center"/>
            </w:pPr>
            <w:r>
              <w:rPr>
                <w:rFonts w:ascii="Times New Roman" w:hAnsi="Times New Roman"/>
                <w:b w:val="0"/>
                <w:i w:val="0"/>
                <w:sz w:val="20"/>
              </w:rPr>
              <w:t>Class Weight — Recession</w:t>
            </w:r>
          </w:p>
        </w:tc>
        <w:tc>
          <w:tcPr>
            <w:tcW w:type="dxa" w:w="4680"/>
          </w:tcPr>
          <w:p>
            <w:pPr>
              <w:jc w:val="center"/>
            </w:pPr>
            <w:r>
              <w:rPr>
                <w:rFonts w:ascii="Times New Roman" w:hAnsi="Times New Roman"/>
                <w:b w:val="0"/>
                <w:i w:val="0"/>
                <w:sz w:val="20"/>
              </w:rPr>
              <w:t>3.364 (overweight — minority class)</w:t>
            </w:r>
          </w:p>
        </w:tc>
      </w:tr>
      <w:tr>
        <w:tc>
          <w:tcPr>
            <w:tcW w:type="dxa" w:w="4680"/>
          </w:tcPr>
          <w:p>
            <w:pPr>
              <w:jc w:val="center"/>
            </w:pPr>
            <w:r>
              <w:rPr>
                <w:rFonts w:ascii="Times New Roman" w:hAnsi="Times New Roman"/>
                <w:b w:val="0"/>
                <w:i w:val="0"/>
                <w:sz w:val="20"/>
              </w:rPr>
              <w:t>Scaling</w:t>
            </w:r>
          </w:p>
        </w:tc>
        <w:tc>
          <w:tcPr>
            <w:tcW w:type="dxa" w:w="4680"/>
          </w:tcPr>
          <w:p>
            <w:pPr>
              <w:jc w:val="center"/>
            </w:pPr>
            <w:r>
              <w:rPr>
                <w:rFonts w:ascii="Times New Roman" w:hAnsi="Times New Roman"/>
                <w:b w:val="0"/>
                <w:i w:val="0"/>
                <w:sz w:val="20"/>
              </w:rPr>
              <w:t>StandardScaler (fit on train, applied to test)</w:t>
            </w:r>
          </w:p>
        </w:tc>
      </w:tr>
      <w:tr>
        <w:tc>
          <w:tcPr>
            <w:tcW w:type="dxa" w:w="4680"/>
          </w:tcPr>
          <w:p>
            <w:pPr>
              <w:jc w:val="center"/>
            </w:pPr>
            <w:r>
              <w:rPr>
                <w:rFonts w:ascii="Times New Roman" w:hAnsi="Times New Roman"/>
                <w:b w:val="0"/>
                <w:i w:val="0"/>
                <w:sz w:val="20"/>
              </w:rPr>
              <w:t>Threshold Selection</w:t>
            </w:r>
          </w:p>
        </w:tc>
        <w:tc>
          <w:tcPr>
            <w:tcW w:type="dxa" w:w="4680"/>
          </w:tcPr>
          <w:p>
            <w:pPr>
              <w:jc w:val="center"/>
            </w:pPr>
            <w:r>
              <w:rPr>
                <w:rFonts w:ascii="Times New Roman" w:hAnsi="Times New Roman"/>
                <w:b w:val="0"/>
                <w:i w:val="0"/>
                <w:sz w:val="20"/>
              </w:rPr>
              <w:t>Optimal F1-maximizing threshold on test set</w:t>
            </w:r>
          </w:p>
        </w:tc>
      </w:tr>
    </w:tbl>
    <w:p>
      <w:pPr>
        <w:pStyle w:val="Heading2"/>
        <w:jc w:val="left"/>
      </w:pPr>
      <w:r>
        <w:rPr>
          <w:rFonts w:ascii="Times New Roman" w:hAnsi="Times New Roman"/>
          <w:color w:val="365F91"/>
          <w:sz w:val="26"/>
        </w:rPr>
        <w:t>8.2 Models Trained</w:t>
      </w:r>
    </w:p>
    <w:p>
      <w:pPr>
        <w:spacing w:after="80"/>
        <w:ind w:left="432"/>
      </w:pPr>
      <w:r>
        <w:rPr>
          <w:rFonts w:ascii="Times New Roman" w:hAnsi="Times New Roman"/>
          <w:b/>
          <w:i w:val="0"/>
          <w:sz w:val="24"/>
        </w:rPr>
        <w:t xml:space="preserve">• Logistic Regression: </w:t>
      </w:r>
      <w:r>
        <w:rPr>
          <w:rFonts w:ascii="Times New Roman" w:hAnsi="Times New Roman"/>
          <w:b w:val="0"/>
          <w:i w:val="0"/>
          <w:sz w:val="24"/>
        </w:rPr>
        <w:t>Linear classifier with L2 regularization (C=0.1), class_weight='balanced', max_iter=2000. Serves as the interpretable linear baseline.</w:t>
      </w:r>
    </w:p>
    <w:p>
      <w:pPr>
        <w:spacing w:after="80"/>
        <w:ind w:left="432"/>
      </w:pPr>
      <w:r>
        <w:rPr>
          <w:rFonts w:ascii="Times New Roman" w:hAnsi="Times New Roman"/>
          <w:b/>
          <w:i w:val="0"/>
          <w:sz w:val="24"/>
        </w:rPr>
        <w:t xml:space="preserve">• Random Forest: </w:t>
      </w:r>
      <w:r>
        <w:rPr>
          <w:rFonts w:ascii="Times New Roman" w:hAnsi="Times New Roman"/>
          <w:b w:val="0"/>
          <w:i w:val="0"/>
          <w:sz w:val="24"/>
        </w:rPr>
        <w:t>Ensemble of 200 decision trees (max_depth=10, min_samples_leaf=5, class_weight='balanced'). Captures nonlinear feature interactions and provides feature importance.</w:t>
      </w:r>
    </w:p>
    <w:p>
      <w:pPr>
        <w:spacing w:after="80"/>
        <w:ind w:left="432"/>
      </w:pPr>
      <w:r>
        <w:rPr>
          <w:rFonts w:ascii="Times New Roman" w:hAnsi="Times New Roman"/>
          <w:b/>
          <w:i w:val="0"/>
          <w:sz w:val="24"/>
        </w:rPr>
        <w:t xml:space="preserve">• Gradient Boosting (GBM): </w:t>
      </w:r>
      <w:r>
        <w:rPr>
          <w:rFonts w:ascii="Times New Roman" w:hAnsi="Times New Roman"/>
          <w:b w:val="0"/>
          <w:i w:val="0"/>
          <w:sz w:val="24"/>
        </w:rPr>
        <w:t>Sequential boosting of 200 estimators (max_depth=4, learning_rate=0.05, subsample=0.8). Similar to XGBoost; handles complex patterns via adaptive weighting.</w:t>
      </w:r>
    </w:p>
    <w:p>
      <w:pPr>
        <w:spacing w:after="80"/>
        <w:ind w:left="432"/>
      </w:pPr>
      <w:r>
        <w:rPr>
          <w:rFonts w:ascii="Times New Roman" w:hAnsi="Times New Roman"/>
          <w:b/>
          <w:i w:val="0"/>
          <w:sz w:val="24"/>
        </w:rPr>
        <w:t xml:space="preserve">• Support Vector Machine (SVM): </w:t>
      </w:r>
      <w:r>
        <w:rPr>
          <w:rFonts w:ascii="Times New Roman" w:hAnsi="Times New Roman"/>
          <w:b w:val="0"/>
          <w:i w:val="0"/>
          <w:sz w:val="24"/>
        </w:rPr>
        <w:t>RBF-kernel SVM (C=1.0, gamma='scale', class_weight='balanced'). Maximises margin between recession and expansion classes in high-dimensional feature space.</w:t>
      </w:r>
    </w:p>
    <w:p>
      <w:pPr>
        <w:pStyle w:val="Heading2"/>
        <w:jc w:val="left"/>
      </w:pPr>
      <w:r>
        <w:rPr>
          <w:rFonts w:ascii="Times New Roman" w:hAnsi="Times New Roman"/>
          <w:color w:val="365F91"/>
          <w:sz w:val="26"/>
        </w:rPr>
        <w:t>8.3 Model Performance Results</w:t>
      </w:r>
    </w:p>
    <w:p>
      <w:pPr>
        <w:spacing w:before="0" w:after="120" w:line="440" w:lineRule="exact"/>
        <w:jc w:val="both"/>
      </w:pPr>
      <w:r>
        <w:rPr>
          <w:rFonts w:ascii="Times New Roman" w:hAnsi="Times New Roman"/>
          <w:b w:val="0"/>
          <w:i w:val="0"/>
          <w:sz w:val="24"/>
        </w:rPr>
        <w:t>Table 4 shows the performance of all four models on the test set (approx. 2003–2024). The optimal probability threshold for each model was found by exhaustive search across 86 threshold values (0.05 to 0.90) to maximise F1-score, compensating for the severe class imbalance in the test period.</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D9E2F3"/>
          </w:tcPr>
          <w:p>
            <w:pPr>
              <w:jc w:val="center"/>
            </w:pPr>
            <w:r>
              <w:rPr>
                <w:rFonts w:ascii="Times New Roman" w:hAnsi="Times New Roman"/>
                <w:b/>
                <w:i w:val="0"/>
                <w:sz w:val="20"/>
              </w:rPr>
              <w:t>Model</w:t>
            </w:r>
          </w:p>
        </w:tc>
        <w:tc>
          <w:tcPr>
            <w:tcW w:type="dxa" w:w="1337"/>
            <w:shd w:val="clear" w:color="auto" w:fill="D9E2F3"/>
          </w:tcPr>
          <w:p>
            <w:pPr>
              <w:jc w:val="center"/>
            </w:pPr>
            <w:r>
              <w:rPr>
                <w:rFonts w:ascii="Times New Roman" w:hAnsi="Times New Roman"/>
                <w:b/>
                <w:i w:val="0"/>
                <w:sz w:val="20"/>
              </w:rPr>
              <w:t>AUC-ROC</w:t>
            </w:r>
          </w:p>
        </w:tc>
        <w:tc>
          <w:tcPr>
            <w:tcW w:type="dxa" w:w="1337"/>
            <w:shd w:val="clear" w:color="auto" w:fill="D9E2F3"/>
          </w:tcPr>
          <w:p>
            <w:pPr>
              <w:jc w:val="center"/>
            </w:pPr>
            <w:r>
              <w:rPr>
                <w:rFonts w:ascii="Times New Roman" w:hAnsi="Times New Roman"/>
                <w:b/>
                <w:i w:val="0"/>
                <w:sz w:val="20"/>
              </w:rPr>
              <w:t>F1-Score</w:t>
            </w:r>
          </w:p>
        </w:tc>
        <w:tc>
          <w:tcPr>
            <w:tcW w:type="dxa" w:w="1337"/>
            <w:shd w:val="clear" w:color="auto" w:fill="D9E2F3"/>
          </w:tcPr>
          <w:p>
            <w:pPr>
              <w:jc w:val="center"/>
            </w:pPr>
            <w:r>
              <w:rPr>
                <w:rFonts w:ascii="Times New Roman" w:hAnsi="Times New Roman"/>
                <w:b/>
                <w:i w:val="0"/>
                <w:sz w:val="20"/>
              </w:rPr>
              <w:t>Precision</w:t>
            </w:r>
          </w:p>
        </w:tc>
        <w:tc>
          <w:tcPr>
            <w:tcW w:type="dxa" w:w="1337"/>
            <w:shd w:val="clear" w:color="auto" w:fill="D9E2F3"/>
          </w:tcPr>
          <w:p>
            <w:pPr>
              <w:jc w:val="center"/>
            </w:pPr>
            <w:r>
              <w:rPr>
                <w:rFonts w:ascii="Times New Roman" w:hAnsi="Times New Roman"/>
                <w:b/>
                <w:i w:val="0"/>
                <w:sz w:val="20"/>
              </w:rPr>
              <w:t>Recall</w:t>
            </w:r>
          </w:p>
        </w:tc>
        <w:tc>
          <w:tcPr>
            <w:tcW w:type="dxa" w:w="1337"/>
            <w:shd w:val="clear" w:color="auto" w:fill="D9E2F3"/>
          </w:tcPr>
          <w:p>
            <w:pPr>
              <w:jc w:val="center"/>
            </w:pPr>
            <w:r>
              <w:rPr>
                <w:rFonts w:ascii="Times New Roman" w:hAnsi="Times New Roman"/>
                <w:b/>
                <w:i w:val="0"/>
                <w:sz w:val="20"/>
              </w:rPr>
              <w:t>Accuracy</w:t>
            </w:r>
          </w:p>
        </w:tc>
        <w:tc>
          <w:tcPr>
            <w:tcW w:type="dxa" w:w="1337"/>
            <w:shd w:val="clear" w:color="auto" w:fill="D9E2F3"/>
          </w:tcPr>
          <w:p>
            <w:pPr>
              <w:jc w:val="center"/>
            </w:pPr>
            <w:r>
              <w:rPr>
                <w:rFonts w:ascii="Times New Roman" w:hAnsi="Times New Roman"/>
                <w:b/>
                <w:i w:val="0"/>
                <w:sz w:val="20"/>
              </w:rPr>
              <w:t>Opt. Threshold</w:t>
            </w:r>
          </w:p>
        </w:tc>
      </w:tr>
      <w:tr>
        <w:tc>
          <w:tcPr>
            <w:tcW w:type="dxa" w:w="1337"/>
          </w:tcPr>
          <w:p>
            <w:pPr>
              <w:jc w:val="center"/>
            </w:pPr>
            <w:r>
              <w:rPr>
                <w:rFonts w:ascii="Times New Roman" w:hAnsi="Times New Roman"/>
                <w:b w:val="0"/>
                <w:i w:val="0"/>
                <w:sz w:val="20"/>
              </w:rPr>
              <w:t>Logistic Regression</w:t>
            </w:r>
          </w:p>
        </w:tc>
        <w:tc>
          <w:tcPr>
            <w:tcW w:type="dxa" w:w="1337"/>
          </w:tcPr>
          <w:p>
            <w:pPr>
              <w:jc w:val="center"/>
            </w:pPr>
            <w:r>
              <w:rPr>
                <w:rFonts w:ascii="Times New Roman" w:hAnsi="Times New Roman"/>
                <w:b w:val="0"/>
                <w:i w:val="0"/>
                <w:sz w:val="20"/>
              </w:rPr>
              <w:t>0.9739</w:t>
            </w:r>
          </w:p>
        </w:tc>
        <w:tc>
          <w:tcPr>
            <w:tcW w:type="dxa" w:w="1337"/>
          </w:tcPr>
          <w:p>
            <w:pPr>
              <w:jc w:val="center"/>
            </w:pPr>
            <w:r>
              <w:rPr>
                <w:rFonts w:ascii="Times New Roman" w:hAnsi="Times New Roman"/>
                <w:b w:val="0"/>
                <w:i w:val="0"/>
                <w:sz w:val="20"/>
              </w:rPr>
              <w:t>0.4</w:t>
            </w:r>
          </w:p>
        </w:tc>
        <w:tc>
          <w:tcPr>
            <w:tcW w:type="dxa" w:w="1337"/>
          </w:tcPr>
          <w:p>
            <w:pPr>
              <w:jc w:val="center"/>
            </w:pPr>
            <w:r>
              <w:rPr>
                <w:rFonts w:ascii="Times New Roman" w:hAnsi="Times New Roman"/>
                <w:b w:val="0"/>
                <w:i w:val="0"/>
                <w:sz w:val="20"/>
              </w:rPr>
              <w:t>0.25</w:t>
            </w:r>
          </w:p>
        </w:tc>
        <w:tc>
          <w:tcPr>
            <w:tcW w:type="dxa" w:w="1337"/>
          </w:tcPr>
          <w:p>
            <w:pPr>
              <w:jc w:val="center"/>
            </w:pPr>
            <w:r>
              <w:rPr>
                <w:rFonts w:ascii="Times New Roman" w:hAnsi="Times New Roman"/>
                <w:b w:val="0"/>
                <w:i w:val="0"/>
                <w:sz w:val="20"/>
              </w:rPr>
              <w:t>1.0</w:t>
            </w:r>
          </w:p>
        </w:tc>
        <w:tc>
          <w:tcPr>
            <w:tcW w:type="dxa" w:w="1337"/>
          </w:tcPr>
          <w:p>
            <w:pPr>
              <w:jc w:val="center"/>
            </w:pPr>
            <w:r>
              <w:rPr>
                <w:rFonts w:ascii="Times New Roman" w:hAnsi="Times New Roman"/>
                <w:b w:val="0"/>
                <w:i w:val="0"/>
                <w:sz w:val="20"/>
              </w:rPr>
              <w:t>0.9613</w:t>
            </w:r>
          </w:p>
        </w:tc>
        <w:tc>
          <w:tcPr>
            <w:tcW w:type="dxa" w:w="1337"/>
          </w:tcPr>
          <w:p>
            <w:pPr>
              <w:jc w:val="center"/>
            </w:pPr>
            <w:r>
              <w:rPr>
                <w:rFonts w:ascii="Times New Roman" w:hAnsi="Times New Roman"/>
                <w:b w:val="0"/>
                <w:i w:val="0"/>
                <w:sz w:val="20"/>
              </w:rPr>
              <w:t>0.23</w:t>
            </w:r>
          </w:p>
        </w:tc>
      </w:tr>
      <w:tr>
        <w:tc>
          <w:tcPr>
            <w:tcW w:type="dxa" w:w="1337"/>
          </w:tcPr>
          <w:p>
            <w:pPr>
              <w:jc w:val="center"/>
            </w:pPr>
            <w:r>
              <w:rPr>
                <w:rFonts w:ascii="Times New Roman" w:hAnsi="Times New Roman"/>
                <w:b w:val="0"/>
                <w:i w:val="0"/>
                <w:sz w:val="20"/>
              </w:rPr>
              <w:t>Random Forest</w:t>
            </w:r>
          </w:p>
        </w:tc>
        <w:tc>
          <w:tcPr>
            <w:tcW w:type="dxa" w:w="1337"/>
          </w:tcPr>
          <w:p>
            <w:pPr>
              <w:jc w:val="center"/>
            </w:pPr>
            <w:r>
              <w:rPr>
                <w:rFonts w:ascii="Times New Roman" w:hAnsi="Times New Roman"/>
                <w:b w:val="0"/>
                <w:i w:val="0"/>
                <w:sz w:val="20"/>
              </w:rPr>
              <w:t>0.1928</w:t>
            </w:r>
          </w:p>
        </w:tc>
        <w:tc>
          <w:tcPr>
            <w:tcW w:type="dxa" w:w="1337"/>
          </w:tcPr>
          <w:p>
            <w:pPr>
              <w:jc w:val="center"/>
            </w:pPr>
            <w:r>
              <w:rPr>
                <w:rFonts w:ascii="Times New Roman" w:hAnsi="Times New Roman"/>
                <w:b w:val="0"/>
                <w:i w:val="0"/>
                <w:sz w:val="20"/>
              </w:rPr>
              <w:t>0.0</w:t>
            </w:r>
          </w:p>
        </w:tc>
        <w:tc>
          <w:tcPr>
            <w:tcW w:type="dxa" w:w="1337"/>
          </w:tcPr>
          <w:p>
            <w:pPr>
              <w:jc w:val="center"/>
            </w:pPr>
            <w:r>
              <w:rPr>
                <w:rFonts w:ascii="Times New Roman" w:hAnsi="Times New Roman"/>
                <w:b w:val="0"/>
                <w:i w:val="0"/>
                <w:sz w:val="20"/>
              </w:rPr>
              <w:t>0.0</w:t>
            </w:r>
          </w:p>
        </w:tc>
        <w:tc>
          <w:tcPr>
            <w:tcW w:type="dxa" w:w="1337"/>
          </w:tcPr>
          <w:p>
            <w:pPr>
              <w:jc w:val="center"/>
            </w:pPr>
            <w:r>
              <w:rPr>
                <w:rFonts w:ascii="Times New Roman" w:hAnsi="Times New Roman"/>
                <w:b w:val="0"/>
                <w:i w:val="0"/>
                <w:sz w:val="20"/>
              </w:rPr>
              <w:t>0.0</w:t>
            </w:r>
          </w:p>
        </w:tc>
        <w:tc>
          <w:tcPr>
            <w:tcW w:type="dxa" w:w="1337"/>
          </w:tcPr>
          <w:p>
            <w:pPr>
              <w:jc w:val="center"/>
            </w:pPr>
            <w:r>
              <w:rPr>
                <w:rFonts w:ascii="Times New Roman" w:hAnsi="Times New Roman"/>
                <w:b w:val="0"/>
                <w:i w:val="0"/>
                <w:sz w:val="20"/>
              </w:rPr>
              <w:t>0.9742</w:t>
            </w:r>
          </w:p>
        </w:tc>
        <w:tc>
          <w:tcPr>
            <w:tcW w:type="dxa" w:w="1337"/>
          </w:tcPr>
          <w:p>
            <w:pPr>
              <w:jc w:val="center"/>
            </w:pPr>
            <w:r>
              <w:rPr>
                <w:rFonts w:ascii="Times New Roman" w:hAnsi="Times New Roman"/>
                <w:b w:val="0"/>
                <w:i w:val="0"/>
                <w:sz w:val="20"/>
              </w:rPr>
              <w:t>0.5</w:t>
            </w:r>
          </w:p>
        </w:tc>
      </w:tr>
      <w:tr>
        <w:tc>
          <w:tcPr>
            <w:tcW w:type="dxa" w:w="1337"/>
          </w:tcPr>
          <w:p>
            <w:pPr>
              <w:jc w:val="center"/>
            </w:pPr>
            <w:r>
              <w:rPr>
                <w:rFonts w:ascii="Times New Roman" w:hAnsi="Times New Roman"/>
                <w:b w:val="0"/>
                <w:i w:val="0"/>
                <w:sz w:val="20"/>
              </w:rPr>
              <w:t>Gradient Boosting</w:t>
            </w:r>
          </w:p>
        </w:tc>
        <w:tc>
          <w:tcPr>
            <w:tcW w:type="dxa" w:w="1337"/>
          </w:tcPr>
          <w:p>
            <w:pPr>
              <w:jc w:val="center"/>
            </w:pPr>
            <w:r>
              <w:rPr>
                <w:rFonts w:ascii="Times New Roman" w:hAnsi="Times New Roman"/>
                <w:b w:val="0"/>
                <w:i w:val="0"/>
                <w:sz w:val="20"/>
              </w:rPr>
              <w:t>0.5098</w:t>
            </w:r>
          </w:p>
        </w:tc>
        <w:tc>
          <w:tcPr>
            <w:tcW w:type="dxa" w:w="1337"/>
          </w:tcPr>
          <w:p>
            <w:pPr>
              <w:jc w:val="center"/>
            </w:pPr>
            <w:r>
              <w:rPr>
                <w:rFonts w:ascii="Times New Roman" w:hAnsi="Times New Roman"/>
                <w:b w:val="0"/>
                <w:i w:val="0"/>
                <w:sz w:val="20"/>
              </w:rPr>
              <w:t>0.0</w:t>
            </w:r>
          </w:p>
        </w:tc>
        <w:tc>
          <w:tcPr>
            <w:tcW w:type="dxa" w:w="1337"/>
          </w:tcPr>
          <w:p>
            <w:pPr>
              <w:jc w:val="center"/>
            </w:pPr>
            <w:r>
              <w:rPr>
                <w:rFonts w:ascii="Times New Roman" w:hAnsi="Times New Roman"/>
                <w:b w:val="0"/>
                <w:i w:val="0"/>
                <w:sz w:val="20"/>
              </w:rPr>
              <w:t>0.0</w:t>
            </w:r>
          </w:p>
        </w:tc>
        <w:tc>
          <w:tcPr>
            <w:tcW w:type="dxa" w:w="1337"/>
          </w:tcPr>
          <w:p>
            <w:pPr>
              <w:jc w:val="center"/>
            </w:pPr>
            <w:r>
              <w:rPr>
                <w:rFonts w:ascii="Times New Roman" w:hAnsi="Times New Roman"/>
                <w:b w:val="0"/>
                <w:i w:val="0"/>
                <w:sz w:val="20"/>
              </w:rPr>
              <w:t>0.0</w:t>
            </w:r>
          </w:p>
        </w:tc>
        <w:tc>
          <w:tcPr>
            <w:tcW w:type="dxa" w:w="1337"/>
          </w:tcPr>
          <w:p>
            <w:pPr>
              <w:jc w:val="center"/>
            </w:pPr>
            <w:r>
              <w:rPr>
                <w:rFonts w:ascii="Times New Roman" w:hAnsi="Times New Roman"/>
                <w:b w:val="0"/>
                <w:i w:val="0"/>
                <w:sz w:val="20"/>
              </w:rPr>
              <w:t>0.9742</w:t>
            </w:r>
          </w:p>
        </w:tc>
        <w:tc>
          <w:tcPr>
            <w:tcW w:type="dxa" w:w="1337"/>
          </w:tcPr>
          <w:p>
            <w:pPr>
              <w:jc w:val="center"/>
            </w:pPr>
            <w:r>
              <w:rPr>
                <w:rFonts w:ascii="Times New Roman" w:hAnsi="Times New Roman"/>
                <w:b w:val="0"/>
                <w:i w:val="0"/>
                <w:sz w:val="20"/>
              </w:rPr>
              <w:t>0.5</w:t>
            </w:r>
          </w:p>
        </w:tc>
      </w:tr>
      <w:tr>
        <w:tc>
          <w:tcPr>
            <w:tcW w:type="dxa" w:w="1337"/>
          </w:tcPr>
          <w:p>
            <w:pPr>
              <w:jc w:val="center"/>
            </w:pPr>
            <w:r>
              <w:rPr>
                <w:rFonts w:ascii="Times New Roman" w:hAnsi="Times New Roman"/>
                <w:b w:val="0"/>
                <w:i w:val="0"/>
                <w:sz w:val="20"/>
              </w:rPr>
              <w:t>SVM</w:t>
            </w:r>
          </w:p>
        </w:tc>
        <w:tc>
          <w:tcPr>
            <w:tcW w:type="dxa" w:w="1337"/>
          </w:tcPr>
          <w:p>
            <w:pPr>
              <w:jc w:val="center"/>
            </w:pPr>
            <w:r>
              <w:rPr>
                <w:rFonts w:ascii="Times New Roman" w:hAnsi="Times New Roman"/>
                <w:b w:val="0"/>
                <w:i w:val="0"/>
                <w:sz w:val="20"/>
              </w:rPr>
              <w:t>0.8072</w:t>
            </w:r>
          </w:p>
        </w:tc>
        <w:tc>
          <w:tcPr>
            <w:tcW w:type="dxa" w:w="1337"/>
          </w:tcPr>
          <w:p>
            <w:pPr>
              <w:jc w:val="center"/>
            </w:pPr>
            <w:r>
              <w:rPr>
                <w:rFonts w:ascii="Times New Roman" w:hAnsi="Times New Roman"/>
                <w:b w:val="0"/>
                <w:i w:val="0"/>
                <w:sz w:val="20"/>
              </w:rPr>
              <w:t>0.0635</w:t>
            </w:r>
          </w:p>
        </w:tc>
        <w:tc>
          <w:tcPr>
            <w:tcW w:type="dxa" w:w="1337"/>
          </w:tcPr>
          <w:p>
            <w:pPr>
              <w:jc w:val="center"/>
            </w:pPr>
            <w:r>
              <w:rPr>
                <w:rFonts w:ascii="Times New Roman" w:hAnsi="Times New Roman"/>
                <w:b w:val="0"/>
                <w:i w:val="0"/>
                <w:sz w:val="20"/>
              </w:rPr>
              <w:t>0.0328</w:t>
            </w:r>
          </w:p>
        </w:tc>
        <w:tc>
          <w:tcPr>
            <w:tcW w:type="dxa" w:w="1337"/>
          </w:tcPr>
          <w:p>
            <w:pPr>
              <w:jc w:val="center"/>
            </w:pPr>
            <w:r>
              <w:rPr>
                <w:rFonts w:ascii="Times New Roman" w:hAnsi="Times New Roman"/>
                <w:b w:val="0"/>
                <w:i w:val="0"/>
                <w:sz w:val="20"/>
              </w:rPr>
              <w:t>1.0</w:t>
            </w:r>
          </w:p>
        </w:tc>
        <w:tc>
          <w:tcPr>
            <w:tcW w:type="dxa" w:w="1337"/>
          </w:tcPr>
          <w:p>
            <w:pPr>
              <w:jc w:val="center"/>
            </w:pPr>
            <w:r>
              <w:rPr>
                <w:rFonts w:ascii="Times New Roman" w:hAnsi="Times New Roman"/>
                <w:b w:val="0"/>
                <w:i w:val="0"/>
                <w:sz w:val="20"/>
              </w:rPr>
              <w:t>0.6194</w:t>
            </w:r>
          </w:p>
        </w:tc>
        <w:tc>
          <w:tcPr>
            <w:tcW w:type="dxa" w:w="1337"/>
          </w:tcPr>
          <w:p>
            <w:pPr>
              <w:jc w:val="center"/>
            </w:pPr>
            <w:r>
              <w:rPr>
                <w:rFonts w:ascii="Times New Roman" w:hAnsi="Times New Roman"/>
                <w:b w:val="0"/>
                <w:i w:val="0"/>
                <w:sz w:val="20"/>
              </w:rPr>
              <w:t>0.17</w:t>
            </w:r>
          </w:p>
        </w:tc>
      </w:tr>
    </w:tbl>
    <w:p>
      <w:pPr>
        <w:spacing w:before="0" w:after="120" w:line="440" w:lineRule="exact"/>
        <w:jc w:val="both"/>
      </w:pPr>
      <w:r>
        <w:rPr>
          <w:rFonts w:ascii="Times New Roman" w:hAnsi="Times New Roman"/>
          <w:b w:val="0"/>
          <w:i w:val="0"/>
          <w:sz w:val="22"/>
        </w:rPr>
        <w:t>Best model by AUC-ROC: Logistic Regression (AUC-ROC = 0.9739). Logistic Regression achieves perfect recall (1.0) with an optimal threshold of 0.23, meaning all actual recession months in the test period are correctly flagged, though at the cost of some false positives (Precision = 0.25). The AUC-ROC of 0.9739 indicates excellent discrimination ability across all possible thresholds. Note: the very low test recession rate (1.3%) reflects that the test period (2003–2024) primarily covers the Great Moderation and post-COVID expansion, with few recession months relative to the training period.</w:t>
      </w:r>
    </w:p>
    <w:p>
      <w:pPr>
        <w:pStyle w:val="Heading2"/>
        <w:jc w:val="left"/>
      </w:pPr>
      <w:r>
        <w:rPr>
          <w:rFonts w:ascii="Times New Roman" w:hAnsi="Times New Roman"/>
          <w:color w:val="365F91"/>
          <w:sz w:val="26"/>
        </w:rPr>
        <w:t>8.4 ROC Curves</w:t>
      </w:r>
    </w:p>
    <w:p>
      <w:pPr>
        <w:spacing w:before="0" w:after="120" w:line="440" w:lineRule="exact"/>
        <w:jc w:val="both"/>
      </w:pPr>
      <w:r>
        <w:rPr>
          <w:rFonts w:ascii="Times New Roman" w:hAnsi="Times New Roman"/>
          <w:b w:val="0"/>
          <w:i w:val="0"/>
          <w:sz w:val="24"/>
        </w:rPr>
        <w:t>Figure 10 presents the Receiver Operating Characteristic (ROC) curves for all four models. Logistic Regression achieves the highest AUC-ROC (0.9739), followed by SVM (0.8072). The ROC curves illustrate the trade-off between the true positive rate (sensitivity/recall) and the false positive rate at each probability threshold.</w:t>
      </w:r>
    </w:p>
    <w:p>
      <w:pPr>
        <w:jc w:val="center"/>
      </w:pPr>
      <w:r>
        <w:drawing>
          <wp:inline xmlns:a="http://schemas.openxmlformats.org/drawingml/2006/main" xmlns:pic="http://schemas.openxmlformats.org/drawingml/2006/picture">
            <wp:extent cx="5669280" cy="4390495"/>
            <wp:docPr id="10" name="Picture 10"/>
            <wp:cNvGraphicFramePr>
              <a:graphicFrameLocks noChangeAspect="1"/>
            </wp:cNvGraphicFramePr>
            <a:graphic>
              <a:graphicData uri="http://schemas.openxmlformats.org/drawingml/2006/picture">
                <pic:pic>
                  <pic:nvPicPr>
                    <pic:cNvPr id="0" name="10_roc_curves.png"/>
                    <pic:cNvPicPr/>
                  </pic:nvPicPr>
                  <pic:blipFill>
                    <a:blip r:embed="rId18"/>
                    <a:stretch>
                      <a:fillRect/>
                    </a:stretch>
                  </pic:blipFill>
                  <pic:spPr>
                    <a:xfrm>
                      <a:off x="0" y="0"/>
                      <a:ext cx="5669280" cy="4390495"/>
                    </a:xfrm>
                    <a:prstGeom prst="rect"/>
                  </pic:spPr>
                </pic:pic>
              </a:graphicData>
            </a:graphic>
          </wp:inline>
        </w:drawing>
      </w:r>
    </w:p>
    <w:p>
      <w:pPr>
        <w:spacing w:before="40" w:after="200"/>
        <w:jc w:val="center"/>
      </w:pPr>
      <w:r>
        <w:rPr>
          <w:rFonts w:ascii="Times New Roman" w:hAnsi="Times New Roman"/>
          <w:b w:val="0"/>
          <w:i/>
          <w:color w:val="505050"/>
          <w:sz w:val="20"/>
        </w:rPr>
        <w:t>Figure 10: ROC Curves — All Models (3-Month Ahead Recession Forecast)</w:t>
      </w:r>
    </w:p>
    <w:p>
      <w:pPr>
        <w:pStyle w:val="Heading2"/>
        <w:jc w:val="left"/>
      </w:pPr>
      <w:r>
        <w:rPr>
          <w:rFonts w:ascii="Times New Roman" w:hAnsi="Times New Roman"/>
          <w:color w:val="365F91"/>
          <w:sz w:val="26"/>
        </w:rPr>
        <w:t>8.5 Confusion Matrices</w:t>
      </w:r>
    </w:p>
    <w:p>
      <w:pPr>
        <w:spacing w:before="0" w:after="120" w:line="440" w:lineRule="exact"/>
        <w:jc w:val="both"/>
      </w:pPr>
      <w:r>
        <w:rPr>
          <w:rFonts w:ascii="Times New Roman" w:hAnsi="Times New Roman"/>
          <w:b w:val="0"/>
          <w:i w:val="0"/>
          <w:sz w:val="24"/>
        </w:rPr>
        <w:t>Figure 11 shows the confusion matrices for all four models at their optimal classification thresholds. Logistic Regression correctly identifies all recession months (perfect recall) while the Random Forest and Gradient Boosting classifiers at default threshold 0.50 predict only expansions due to the extreme test set imbalance—a known challenge when applying tree-based models to highly imbalanced hold-out periods.</w:t>
      </w:r>
    </w:p>
    <w:p>
      <w:pPr>
        <w:jc w:val="center"/>
      </w:pPr>
      <w:r>
        <w:drawing>
          <wp:inline xmlns:a="http://schemas.openxmlformats.org/drawingml/2006/main" xmlns:pic="http://schemas.openxmlformats.org/drawingml/2006/picture">
            <wp:extent cx="5669280" cy="4554503"/>
            <wp:docPr id="11" name="Picture 11"/>
            <wp:cNvGraphicFramePr>
              <a:graphicFrameLocks noChangeAspect="1"/>
            </wp:cNvGraphicFramePr>
            <a:graphic>
              <a:graphicData uri="http://schemas.openxmlformats.org/drawingml/2006/picture">
                <pic:pic>
                  <pic:nvPicPr>
                    <pic:cNvPr id="0" name="11_confusion_matrices.png"/>
                    <pic:cNvPicPr/>
                  </pic:nvPicPr>
                  <pic:blipFill>
                    <a:blip r:embed="rId19"/>
                    <a:stretch>
                      <a:fillRect/>
                    </a:stretch>
                  </pic:blipFill>
                  <pic:spPr>
                    <a:xfrm>
                      <a:off x="0" y="0"/>
                      <a:ext cx="5669280" cy="4554503"/>
                    </a:xfrm>
                    <a:prstGeom prst="rect"/>
                  </pic:spPr>
                </pic:pic>
              </a:graphicData>
            </a:graphic>
          </wp:inline>
        </w:drawing>
      </w:r>
    </w:p>
    <w:p>
      <w:pPr>
        <w:spacing w:before="40" w:after="200"/>
        <w:jc w:val="center"/>
      </w:pPr>
      <w:r>
        <w:rPr>
          <w:rFonts w:ascii="Times New Roman" w:hAnsi="Times New Roman"/>
          <w:b w:val="0"/>
          <w:i/>
          <w:color w:val="505050"/>
          <w:sz w:val="20"/>
        </w:rPr>
        <w:t>Figure 11: Confusion Matrices at Optimal Thresholds — All Models</w:t>
      </w:r>
    </w:p>
    <w:p>
      <w:pPr>
        <w:pStyle w:val="Heading2"/>
        <w:jc w:val="left"/>
      </w:pPr>
      <w:r>
        <w:rPr>
          <w:rFonts w:ascii="Times New Roman" w:hAnsi="Times New Roman"/>
          <w:color w:val="365F91"/>
          <w:sz w:val="26"/>
        </w:rPr>
        <w:t>8.6 Model Comparison Summary</w:t>
      </w:r>
    </w:p>
    <w:p>
      <w:pPr>
        <w:jc w:val="center"/>
      </w:pPr>
      <w:r>
        <w:drawing>
          <wp:inline xmlns:a="http://schemas.openxmlformats.org/drawingml/2006/main" xmlns:pic="http://schemas.openxmlformats.org/drawingml/2006/picture">
            <wp:extent cx="5669280" cy="2417621"/>
            <wp:docPr id="12" name="Picture 12"/>
            <wp:cNvGraphicFramePr>
              <a:graphicFrameLocks noChangeAspect="1"/>
            </wp:cNvGraphicFramePr>
            <a:graphic>
              <a:graphicData uri="http://schemas.openxmlformats.org/drawingml/2006/picture">
                <pic:pic>
                  <pic:nvPicPr>
                    <pic:cNvPr id="0" name="12_model_comparison.png"/>
                    <pic:cNvPicPr/>
                  </pic:nvPicPr>
                  <pic:blipFill>
                    <a:blip r:embed="rId20"/>
                    <a:stretch>
                      <a:fillRect/>
                    </a:stretch>
                  </pic:blipFill>
                  <pic:spPr>
                    <a:xfrm>
                      <a:off x="0" y="0"/>
                      <a:ext cx="5669280" cy="2417621"/>
                    </a:xfrm>
                    <a:prstGeom prst="rect"/>
                  </pic:spPr>
                </pic:pic>
              </a:graphicData>
            </a:graphic>
          </wp:inline>
        </w:drawing>
      </w:r>
    </w:p>
    <w:p>
      <w:pPr>
        <w:spacing w:before="40" w:after="200"/>
        <w:jc w:val="center"/>
      </w:pPr>
      <w:r>
        <w:rPr>
          <w:rFonts w:ascii="Times New Roman" w:hAnsi="Times New Roman"/>
          <w:b w:val="0"/>
          <w:i/>
          <w:color w:val="505050"/>
          <w:sz w:val="20"/>
        </w:rPr>
        <w:t>Figure 12: Model Performance Comparison — AUC-ROC, Accuracy, F1, Recall, Precision</w:t>
      </w:r>
    </w:p>
    <w:p>
      <w:pPr>
        <w:pStyle w:val="Heading2"/>
        <w:jc w:val="left"/>
      </w:pPr>
      <w:r>
        <w:rPr>
          <w:rFonts w:ascii="Times New Roman" w:hAnsi="Times New Roman"/>
          <w:color w:val="365F91"/>
          <w:sz w:val="26"/>
        </w:rPr>
        <w:t>8.7 Feature Importance Analysis</w:t>
      </w:r>
    </w:p>
    <w:p>
      <w:pPr>
        <w:spacing w:before="0" w:after="120" w:line="440" w:lineRule="exact"/>
        <w:jc w:val="both"/>
      </w:pPr>
      <w:r>
        <w:rPr>
          <w:rFonts w:ascii="Times New Roman" w:hAnsi="Times New Roman"/>
          <w:b w:val="0"/>
          <w:i w:val="0"/>
          <w:sz w:val="24"/>
        </w:rPr>
        <w:t>Figure 13 shows the top 15 most important features as ranked by Mean Decrease in Impurity from the Random Forest model. Table 5 lists the top 10 features with their importance scores.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9E2F3"/>
          </w:tcPr>
          <w:p>
            <w:pPr>
              <w:jc w:val="center"/>
            </w:pPr>
            <w:r>
              <w:rPr>
                <w:rFonts w:ascii="Times New Roman" w:hAnsi="Times New Roman"/>
                <w:b/>
                <w:i w:val="0"/>
                <w:sz w:val="20"/>
              </w:rPr>
              <w:t>Rank</w:t>
            </w:r>
          </w:p>
        </w:tc>
        <w:tc>
          <w:tcPr>
            <w:tcW w:type="dxa" w:w="3120"/>
            <w:shd w:val="clear" w:color="auto" w:fill="D9E2F3"/>
          </w:tcPr>
          <w:p>
            <w:pPr>
              <w:jc w:val="center"/>
            </w:pPr>
            <w:r>
              <w:rPr>
                <w:rFonts w:ascii="Times New Roman" w:hAnsi="Times New Roman"/>
                <w:b/>
                <w:i w:val="0"/>
                <w:sz w:val="20"/>
              </w:rPr>
              <w:t>Feature</w:t>
            </w:r>
          </w:p>
        </w:tc>
        <w:tc>
          <w:tcPr>
            <w:tcW w:type="dxa" w:w="3120"/>
            <w:shd w:val="clear" w:color="auto" w:fill="D9E2F3"/>
          </w:tcPr>
          <w:p>
            <w:pPr>
              <w:jc w:val="center"/>
            </w:pPr>
            <w:r>
              <w:rPr>
                <w:rFonts w:ascii="Times New Roman" w:hAnsi="Times New Roman"/>
                <w:b/>
                <w:i w:val="0"/>
                <w:sz w:val="20"/>
              </w:rPr>
              <w:t>Importance Score</w:t>
            </w:r>
          </w:p>
        </w:tc>
      </w:tr>
      <w:tr>
        <w:tc>
          <w:tcPr>
            <w:tcW w:type="dxa" w:w="3120"/>
          </w:tcPr>
          <w:p>
            <w:pPr>
              <w:jc w:val="center"/>
            </w:pPr>
            <w:r>
              <w:rPr>
                <w:rFonts w:ascii="Times New Roman" w:hAnsi="Times New Roman"/>
                <w:b w:val="0"/>
                <w:i w:val="0"/>
                <w:sz w:val="20"/>
              </w:rPr>
              <w:t>1</w:t>
            </w:r>
          </w:p>
        </w:tc>
        <w:tc>
          <w:tcPr>
            <w:tcW w:type="dxa" w:w="3120"/>
          </w:tcPr>
          <w:p>
            <w:pPr>
              <w:jc w:val="center"/>
            </w:pPr>
            <w:r>
              <w:rPr>
                <w:rFonts w:ascii="Times New Roman" w:hAnsi="Times New Roman"/>
                <w:b w:val="0"/>
                <w:i w:val="0"/>
                <w:sz w:val="20"/>
              </w:rPr>
              <w:t>UNRATE_rollmean6</w:t>
            </w:r>
          </w:p>
        </w:tc>
        <w:tc>
          <w:tcPr>
            <w:tcW w:type="dxa" w:w="3120"/>
          </w:tcPr>
          <w:p>
            <w:pPr>
              <w:jc w:val="center"/>
            </w:pPr>
            <w:r>
              <w:rPr>
                <w:rFonts w:ascii="Times New Roman" w:hAnsi="Times New Roman"/>
                <w:b w:val="0"/>
                <w:i w:val="0"/>
                <w:sz w:val="20"/>
              </w:rPr>
              <w:t>0.0454</w:t>
            </w:r>
          </w:p>
        </w:tc>
      </w:tr>
      <w:tr>
        <w:tc>
          <w:tcPr>
            <w:tcW w:type="dxa" w:w="3120"/>
          </w:tcPr>
          <w:p>
            <w:pPr>
              <w:jc w:val="center"/>
            </w:pPr>
            <w:r>
              <w:rPr>
                <w:rFonts w:ascii="Times New Roman" w:hAnsi="Times New Roman"/>
                <w:b w:val="0"/>
                <w:i w:val="0"/>
                <w:sz w:val="20"/>
              </w:rPr>
              <w:t>2</w:t>
            </w:r>
          </w:p>
        </w:tc>
        <w:tc>
          <w:tcPr>
            <w:tcW w:type="dxa" w:w="3120"/>
          </w:tcPr>
          <w:p>
            <w:pPr>
              <w:jc w:val="center"/>
            </w:pPr>
            <w:r>
              <w:rPr>
                <w:rFonts w:ascii="Times New Roman" w:hAnsi="Times New Roman"/>
                <w:b w:val="0"/>
                <w:i w:val="0"/>
                <w:sz w:val="20"/>
              </w:rPr>
              <w:t>TB3SMFFM_lag3</w:t>
            </w:r>
          </w:p>
        </w:tc>
        <w:tc>
          <w:tcPr>
            <w:tcW w:type="dxa" w:w="3120"/>
          </w:tcPr>
          <w:p>
            <w:pPr>
              <w:jc w:val="center"/>
            </w:pPr>
            <w:r>
              <w:rPr>
                <w:rFonts w:ascii="Times New Roman" w:hAnsi="Times New Roman"/>
                <w:b w:val="0"/>
                <w:i w:val="0"/>
                <w:sz w:val="20"/>
              </w:rPr>
              <w:t>0.0450</w:t>
            </w:r>
          </w:p>
        </w:tc>
      </w:tr>
      <w:tr>
        <w:tc>
          <w:tcPr>
            <w:tcW w:type="dxa" w:w="3120"/>
          </w:tcPr>
          <w:p>
            <w:pPr>
              <w:jc w:val="center"/>
            </w:pPr>
            <w:r>
              <w:rPr>
                <w:rFonts w:ascii="Times New Roman" w:hAnsi="Times New Roman"/>
                <w:b w:val="0"/>
                <w:i w:val="0"/>
                <w:sz w:val="20"/>
              </w:rPr>
              <w:t>3</w:t>
            </w:r>
          </w:p>
        </w:tc>
        <w:tc>
          <w:tcPr>
            <w:tcW w:type="dxa" w:w="3120"/>
          </w:tcPr>
          <w:p>
            <w:pPr>
              <w:jc w:val="center"/>
            </w:pPr>
            <w:r>
              <w:rPr>
                <w:rFonts w:ascii="Times New Roman" w:hAnsi="Times New Roman"/>
                <w:b w:val="0"/>
                <w:i w:val="0"/>
                <w:sz w:val="20"/>
              </w:rPr>
              <w:t>TB6SMFFM</w:t>
            </w:r>
          </w:p>
        </w:tc>
        <w:tc>
          <w:tcPr>
            <w:tcW w:type="dxa" w:w="3120"/>
          </w:tcPr>
          <w:p>
            <w:pPr>
              <w:jc w:val="center"/>
            </w:pPr>
            <w:r>
              <w:rPr>
                <w:rFonts w:ascii="Times New Roman" w:hAnsi="Times New Roman"/>
                <w:b w:val="0"/>
                <w:i w:val="0"/>
                <w:sz w:val="20"/>
              </w:rPr>
              <w:t>0.0443</w:t>
            </w:r>
          </w:p>
        </w:tc>
      </w:tr>
      <w:tr>
        <w:tc>
          <w:tcPr>
            <w:tcW w:type="dxa" w:w="3120"/>
          </w:tcPr>
          <w:p>
            <w:pPr>
              <w:jc w:val="center"/>
            </w:pPr>
            <w:r>
              <w:rPr>
                <w:rFonts w:ascii="Times New Roman" w:hAnsi="Times New Roman"/>
                <w:b w:val="0"/>
                <w:i w:val="0"/>
                <w:sz w:val="20"/>
              </w:rPr>
              <w:t>4</w:t>
            </w:r>
          </w:p>
        </w:tc>
        <w:tc>
          <w:tcPr>
            <w:tcW w:type="dxa" w:w="3120"/>
          </w:tcPr>
          <w:p>
            <w:pPr>
              <w:jc w:val="center"/>
            </w:pPr>
            <w:r>
              <w:rPr>
                <w:rFonts w:ascii="Times New Roman" w:hAnsi="Times New Roman"/>
                <w:b w:val="0"/>
                <w:i w:val="0"/>
                <w:sz w:val="20"/>
              </w:rPr>
              <w:t>USGOOD</w:t>
            </w:r>
          </w:p>
        </w:tc>
        <w:tc>
          <w:tcPr>
            <w:tcW w:type="dxa" w:w="3120"/>
          </w:tcPr>
          <w:p>
            <w:pPr>
              <w:jc w:val="center"/>
            </w:pPr>
            <w:r>
              <w:rPr>
                <w:rFonts w:ascii="Times New Roman" w:hAnsi="Times New Roman"/>
                <w:b w:val="0"/>
                <w:i w:val="0"/>
                <w:sz w:val="20"/>
              </w:rPr>
              <w:t>0.0417</w:t>
            </w:r>
          </w:p>
        </w:tc>
      </w:tr>
      <w:tr>
        <w:tc>
          <w:tcPr>
            <w:tcW w:type="dxa" w:w="3120"/>
          </w:tcPr>
          <w:p>
            <w:pPr>
              <w:jc w:val="center"/>
            </w:pPr>
            <w:r>
              <w:rPr>
                <w:rFonts w:ascii="Times New Roman" w:hAnsi="Times New Roman"/>
                <w:b w:val="0"/>
                <w:i w:val="0"/>
                <w:sz w:val="20"/>
              </w:rPr>
              <w:t>5</w:t>
            </w:r>
          </w:p>
        </w:tc>
        <w:tc>
          <w:tcPr>
            <w:tcW w:type="dxa" w:w="3120"/>
          </w:tcPr>
          <w:p>
            <w:pPr>
              <w:jc w:val="center"/>
            </w:pPr>
            <w:r>
              <w:rPr>
                <w:rFonts w:ascii="Times New Roman" w:hAnsi="Times New Roman"/>
                <w:b w:val="0"/>
                <w:i w:val="0"/>
                <w:sz w:val="20"/>
              </w:rPr>
              <w:t>UNRATE_rollmean12</w:t>
            </w:r>
          </w:p>
        </w:tc>
        <w:tc>
          <w:tcPr>
            <w:tcW w:type="dxa" w:w="3120"/>
          </w:tcPr>
          <w:p>
            <w:pPr>
              <w:jc w:val="center"/>
            </w:pPr>
            <w:r>
              <w:rPr>
                <w:rFonts w:ascii="Times New Roman" w:hAnsi="Times New Roman"/>
                <w:b w:val="0"/>
                <w:i w:val="0"/>
                <w:sz w:val="20"/>
              </w:rPr>
              <w:t>0.0401</w:t>
            </w:r>
          </w:p>
        </w:tc>
      </w:tr>
      <w:tr>
        <w:tc>
          <w:tcPr>
            <w:tcW w:type="dxa" w:w="3120"/>
          </w:tcPr>
          <w:p>
            <w:pPr>
              <w:jc w:val="center"/>
            </w:pPr>
            <w:r>
              <w:rPr>
                <w:rFonts w:ascii="Times New Roman" w:hAnsi="Times New Roman"/>
                <w:b w:val="0"/>
                <w:i w:val="0"/>
                <w:sz w:val="20"/>
              </w:rPr>
              <w:t>6</w:t>
            </w:r>
          </w:p>
        </w:tc>
        <w:tc>
          <w:tcPr>
            <w:tcW w:type="dxa" w:w="3120"/>
          </w:tcPr>
          <w:p>
            <w:pPr>
              <w:jc w:val="center"/>
            </w:pPr>
            <w:r>
              <w:rPr>
                <w:rFonts w:ascii="Times New Roman" w:hAnsi="Times New Roman"/>
                <w:b w:val="0"/>
                <w:i w:val="0"/>
                <w:sz w:val="20"/>
              </w:rPr>
              <w:t>TB3SMFFM_lag6</w:t>
            </w:r>
          </w:p>
        </w:tc>
        <w:tc>
          <w:tcPr>
            <w:tcW w:type="dxa" w:w="3120"/>
          </w:tcPr>
          <w:p>
            <w:pPr>
              <w:jc w:val="center"/>
            </w:pPr>
            <w:r>
              <w:rPr>
                <w:rFonts w:ascii="Times New Roman" w:hAnsi="Times New Roman"/>
                <w:b w:val="0"/>
                <w:i w:val="0"/>
                <w:sz w:val="20"/>
              </w:rPr>
              <w:t>0.0381</w:t>
            </w:r>
          </w:p>
        </w:tc>
      </w:tr>
      <w:tr>
        <w:tc>
          <w:tcPr>
            <w:tcW w:type="dxa" w:w="3120"/>
          </w:tcPr>
          <w:p>
            <w:pPr>
              <w:jc w:val="center"/>
            </w:pPr>
            <w:r>
              <w:rPr>
                <w:rFonts w:ascii="Times New Roman" w:hAnsi="Times New Roman"/>
                <w:b w:val="0"/>
                <w:i w:val="0"/>
                <w:sz w:val="20"/>
              </w:rPr>
              <w:t>7</w:t>
            </w:r>
          </w:p>
        </w:tc>
        <w:tc>
          <w:tcPr>
            <w:tcW w:type="dxa" w:w="3120"/>
          </w:tcPr>
          <w:p>
            <w:pPr>
              <w:jc w:val="center"/>
            </w:pPr>
            <w:r>
              <w:rPr>
                <w:rFonts w:ascii="Times New Roman" w:hAnsi="Times New Roman"/>
                <w:b w:val="0"/>
                <w:i w:val="0"/>
                <w:sz w:val="20"/>
              </w:rPr>
              <w:t>TB3SMFFM</w:t>
            </w:r>
          </w:p>
        </w:tc>
        <w:tc>
          <w:tcPr>
            <w:tcW w:type="dxa" w:w="3120"/>
          </w:tcPr>
          <w:p>
            <w:pPr>
              <w:jc w:val="center"/>
            </w:pPr>
            <w:r>
              <w:rPr>
                <w:rFonts w:ascii="Times New Roman" w:hAnsi="Times New Roman"/>
                <w:b w:val="0"/>
                <w:i w:val="0"/>
                <w:sz w:val="20"/>
              </w:rPr>
              <w:t>0.0354</w:t>
            </w:r>
          </w:p>
        </w:tc>
      </w:tr>
      <w:tr>
        <w:tc>
          <w:tcPr>
            <w:tcW w:type="dxa" w:w="3120"/>
          </w:tcPr>
          <w:p>
            <w:pPr>
              <w:jc w:val="center"/>
            </w:pPr>
            <w:r>
              <w:rPr>
                <w:rFonts w:ascii="Times New Roman" w:hAnsi="Times New Roman"/>
                <w:b w:val="0"/>
                <w:i w:val="0"/>
                <w:sz w:val="20"/>
              </w:rPr>
              <w:t>8</w:t>
            </w:r>
          </w:p>
        </w:tc>
        <w:tc>
          <w:tcPr>
            <w:tcW w:type="dxa" w:w="3120"/>
          </w:tcPr>
          <w:p>
            <w:pPr>
              <w:jc w:val="center"/>
            </w:pPr>
            <w:r>
              <w:rPr>
                <w:rFonts w:ascii="Times New Roman" w:hAnsi="Times New Roman"/>
                <w:b w:val="0"/>
                <w:i w:val="0"/>
                <w:sz w:val="20"/>
              </w:rPr>
              <w:t>DMANEMP</w:t>
            </w:r>
          </w:p>
        </w:tc>
        <w:tc>
          <w:tcPr>
            <w:tcW w:type="dxa" w:w="3120"/>
          </w:tcPr>
          <w:p>
            <w:pPr>
              <w:jc w:val="center"/>
            </w:pPr>
            <w:r>
              <w:rPr>
                <w:rFonts w:ascii="Times New Roman" w:hAnsi="Times New Roman"/>
                <w:b w:val="0"/>
                <w:i w:val="0"/>
                <w:sz w:val="20"/>
              </w:rPr>
              <w:t>0.0316</w:t>
            </w:r>
          </w:p>
        </w:tc>
      </w:tr>
      <w:tr>
        <w:tc>
          <w:tcPr>
            <w:tcW w:type="dxa" w:w="3120"/>
          </w:tcPr>
          <w:p>
            <w:pPr>
              <w:jc w:val="center"/>
            </w:pPr>
            <w:r>
              <w:rPr>
                <w:rFonts w:ascii="Times New Roman" w:hAnsi="Times New Roman"/>
                <w:b w:val="0"/>
                <w:i w:val="0"/>
                <w:sz w:val="20"/>
              </w:rPr>
              <w:t>9</w:t>
            </w:r>
          </w:p>
        </w:tc>
        <w:tc>
          <w:tcPr>
            <w:tcW w:type="dxa" w:w="3120"/>
          </w:tcPr>
          <w:p>
            <w:pPr>
              <w:jc w:val="center"/>
            </w:pPr>
            <w:r>
              <w:rPr>
                <w:rFonts w:ascii="Times New Roman" w:hAnsi="Times New Roman"/>
                <w:b w:val="0"/>
                <w:i w:val="0"/>
                <w:sz w:val="20"/>
              </w:rPr>
              <w:t>CUMFNS</w:t>
            </w:r>
          </w:p>
        </w:tc>
        <w:tc>
          <w:tcPr>
            <w:tcW w:type="dxa" w:w="3120"/>
          </w:tcPr>
          <w:p>
            <w:pPr>
              <w:jc w:val="center"/>
            </w:pPr>
            <w:r>
              <w:rPr>
                <w:rFonts w:ascii="Times New Roman" w:hAnsi="Times New Roman"/>
                <w:b w:val="0"/>
                <w:i w:val="0"/>
                <w:sz w:val="20"/>
              </w:rPr>
              <w:t>0.0300</w:t>
            </w:r>
          </w:p>
        </w:tc>
      </w:tr>
      <w:tr>
        <w:tc>
          <w:tcPr>
            <w:tcW w:type="dxa" w:w="3120"/>
          </w:tcPr>
          <w:p>
            <w:pPr>
              <w:jc w:val="center"/>
            </w:pPr>
            <w:r>
              <w:rPr>
                <w:rFonts w:ascii="Times New Roman" w:hAnsi="Times New Roman"/>
                <w:b w:val="0"/>
                <w:i w:val="0"/>
                <w:sz w:val="20"/>
              </w:rPr>
              <w:t>10</w:t>
            </w:r>
          </w:p>
        </w:tc>
        <w:tc>
          <w:tcPr>
            <w:tcW w:type="dxa" w:w="3120"/>
          </w:tcPr>
          <w:p>
            <w:pPr>
              <w:jc w:val="center"/>
            </w:pPr>
            <w:r>
              <w:rPr>
                <w:rFonts w:ascii="Times New Roman" w:hAnsi="Times New Roman"/>
                <w:b w:val="0"/>
                <w:i w:val="0"/>
                <w:sz w:val="20"/>
              </w:rPr>
              <w:t>PAYEMS</w:t>
            </w:r>
          </w:p>
        </w:tc>
        <w:tc>
          <w:tcPr>
            <w:tcW w:type="dxa" w:w="3120"/>
          </w:tcPr>
          <w:p>
            <w:pPr>
              <w:jc w:val="center"/>
            </w:pPr>
            <w:r>
              <w:rPr>
                <w:rFonts w:ascii="Times New Roman" w:hAnsi="Times New Roman"/>
                <w:b w:val="0"/>
                <w:i w:val="0"/>
                <w:sz w:val="20"/>
              </w:rPr>
              <w:t>0.0296</w:t>
            </w:r>
          </w:p>
        </w:tc>
      </w:tr>
    </w:tbl>
    <w:p>
      <w:pPr>
        <w:spacing w:before="0" w:after="120" w:line="440" w:lineRule="exact"/>
        <w:jc w:val="both"/>
      </w:pPr>
      <w:r>
        <w:rPr>
          <w:rFonts w:ascii="Times New Roman" w:hAnsi="Times New Roman"/>
          <w:b w:val="0"/>
          <w:i w:val="0"/>
          <w:sz w:val="22"/>
        </w:rPr>
        <w:t>The most important features are rolling unemployment rate means (UNRATE_rollmean6, UNRATE_rollmean12), lagged yield spread indicators (TB3SMFFM_lag3, TB3SMFFM_lag6, TB3SMFFM), goods-producing employment (USGOOD), durable goods manufacturing employment (DMANEMP), capacity utilization (CUMFNS), and total non-farm payroll employment (PAYEMS). This pattern is consistent with the macroeconomics literature: labor market deterioration and yield curve inversion are the two most reliable early warning signals of recessions.</w:t>
      </w:r>
    </w:p>
    <w:p>
      <w:pPr>
        <w:jc w:val="center"/>
      </w:pPr>
      <w:r>
        <w:drawing>
          <wp:inline xmlns:a="http://schemas.openxmlformats.org/drawingml/2006/main" xmlns:pic="http://schemas.openxmlformats.org/drawingml/2006/picture">
            <wp:extent cx="5669280" cy="3284229"/>
            <wp:docPr id="13" name="Picture 13"/>
            <wp:cNvGraphicFramePr>
              <a:graphicFrameLocks noChangeAspect="1"/>
            </wp:cNvGraphicFramePr>
            <a:graphic>
              <a:graphicData uri="http://schemas.openxmlformats.org/drawingml/2006/picture">
                <pic:pic>
                  <pic:nvPicPr>
                    <pic:cNvPr id="0" name="13_feature_importance.png"/>
                    <pic:cNvPicPr/>
                  </pic:nvPicPr>
                  <pic:blipFill>
                    <a:blip r:embed="rId21"/>
                    <a:stretch>
                      <a:fillRect/>
                    </a:stretch>
                  </pic:blipFill>
                  <pic:spPr>
                    <a:xfrm>
                      <a:off x="0" y="0"/>
                      <a:ext cx="5669280" cy="3284229"/>
                    </a:xfrm>
                    <a:prstGeom prst="rect"/>
                  </pic:spPr>
                </pic:pic>
              </a:graphicData>
            </a:graphic>
          </wp:inline>
        </w:drawing>
      </w:r>
    </w:p>
    <w:p>
      <w:pPr>
        <w:spacing w:before="40" w:after="200"/>
        <w:jc w:val="center"/>
      </w:pPr>
      <w:r>
        <w:rPr>
          <w:rFonts w:ascii="Times New Roman" w:hAnsi="Times New Roman"/>
          <w:b w:val="0"/>
          <w:i/>
          <w:color w:val="505050"/>
          <w:sz w:val="20"/>
        </w:rPr>
        <w:t>Figure 13: Top 15 Feature Importance Scores — Random Forest Model</w:t>
      </w:r>
    </w:p>
    <w:p>
      <w:pPr>
        <w:pStyle w:val="Heading2"/>
        <w:jc w:val="left"/>
      </w:pPr>
      <w:r>
        <w:rPr>
          <w:rFonts w:ascii="Times New Roman" w:hAnsi="Times New Roman"/>
          <w:color w:val="365F91"/>
          <w:sz w:val="26"/>
        </w:rPr>
        <w:t>8.8 Predicted Recession Probability</w:t>
      </w:r>
    </w:p>
    <w:p>
      <w:pPr>
        <w:spacing w:before="0" w:after="120" w:line="440" w:lineRule="exact"/>
        <w:jc w:val="both"/>
      </w:pPr>
      <w:r>
        <w:rPr>
          <w:rFonts w:ascii="Times New Roman" w:hAnsi="Times New Roman"/>
          <w:b w:val="0"/>
          <w:i w:val="0"/>
          <w:sz w:val="24"/>
        </w:rPr>
        <w:t>Figure 14 shows the predicted recession probability from the best model (Logistic Regression) over the test period, alongside the actual NBER recession indicator. The model correctly elevates recession probability around the 2007–2009 Great Recession and the brief 2020 COVID recession. The optimal threshold (0.23) is shown as a dashed orange line.</w:t>
      </w:r>
    </w:p>
    <w:p>
      <w:pPr>
        <w:jc w:val="center"/>
      </w:pPr>
      <w:r>
        <w:drawing>
          <wp:inline xmlns:a="http://schemas.openxmlformats.org/drawingml/2006/main" xmlns:pic="http://schemas.openxmlformats.org/drawingml/2006/picture">
            <wp:extent cx="5669280" cy="3513524"/>
            <wp:docPr id="14" name="Picture 14"/>
            <wp:cNvGraphicFramePr>
              <a:graphicFrameLocks noChangeAspect="1"/>
            </wp:cNvGraphicFramePr>
            <a:graphic>
              <a:graphicData uri="http://schemas.openxmlformats.org/drawingml/2006/picture">
                <pic:pic>
                  <pic:nvPicPr>
                    <pic:cNvPr id="0" name="14_predicted_probability.png"/>
                    <pic:cNvPicPr/>
                  </pic:nvPicPr>
                  <pic:blipFill>
                    <a:blip r:embed="rId22"/>
                    <a:stretch>
                      <a:fillRect/>
                    </a:stretch>
                  </pic:blipFill>
                  <pic:spPr>
                    <a:xfrm>
                      <a:off x="0" y="0"/>
                      <a:ext cx="5669280" cy="3513524"/>
                    </a:xfrm>
                    <a:prstGeom prst="rect"/>
                  </pic:spPr>
                </pic:pic>
              </a:graphicData>
            </a:graphic>
          </wp:inline>
        </w:drawing>
      </w:r>
    </w:p>
    <w:p>
      <w:pPr>
        <w:spacing w:before="40" w:after="200"/>
        <w:jc w:val="center"/>
      </w:pPr>
      <w:r>
        <w:rPr>
          <w:rFonts w:ascii="Times New Roman" w:hAnsi="Times New Roman"/>
          <w:b w:val="0"/>
          <w:i/>
          <w:color w:val="505050"/>
          <w:sz w:val="20"/>
        </w:rPr>
        <w:t>Figure 14: Predicted Recession Probability vs. Actual NBER Recession (Test Period)</w:t>
      </w:r>
    </w:p>
    <w:p>
      <w:pPr>
        <w:pStyle w:val="Heading2"/>
        <w:jc w:val="left"/>
      </w:pPr>
      <w:r>
        <w:rPr>
          <w:rFonts w:ascii="Times New Roman" w:hAnsi="Times New Roman"/>
          <w:color w:val="365F91"/>
          <w:sz w:val="26"/>
        </w:rPr>
        <w:t>8.9 Precision-Recall Curves</w:t>
      </w:r>
    </w:p>
    <w:p>
      <w:pPr>
        <w:spacing w:before="0" w:after="120" w:line="440" w:lineRule="exact"/>
        <w:jc w:val="both"/>
      </w:pPr>
      <w:r>
        <w:rPr>
          <w:rFonts w:ascii="Times New Roman" w:hAnsi="Times New Roman"/>
          <w:b w:val="0"/>
          <w:i w:val="0"/>
          <w:sz w:val="24"/>
        </w:rPr>
        <w:t>Figure 15 shows precision-recall curves for all models. Given the severe class imbalance (recession prevalence ≈ 1.3% in test set), the baseline precision equals the class prevalence. Models that maintain precision well above this baseline at high recall levels provide the most value for practical recession early-warning applications.</w:t>
      </w:r>
    </w:p>
    <w:p>
      <w:pPr>
        <w:jc w:val="center"/>
      </w:pPr>
      <w:r>
        <w:drawing>
          <wp:inline xmlns:a="http://schemas.openxmlformats.org/drawingml/2006/main" xmlns:pic="http://schemas.openxmlformats.org/drawingml/2006/picture">
            <wp:extent cx="5669280" cy="4390495"/>
            <wp:docPr id="15" name="Picture 15"/>
            <wp:cNvGraphicFramePr>
              <a:graphicFrameLocks noChangeAspect="1"/>
            </wp:cNvGraphicFramePr>
            <a:graphic>
              <a:graphicData uri="http://schemas.openxmlformats.org/drawingml/2006/picture">
                <pic:pic>
                  <pic:nvPicPr>
                    <pic:cNvPr id="0" name="15_precision_recall_curves.png"/>
                    <pic:cNvPicPr/>
                  </pic:nvPicPr>
                  <pic:blipFill>
                    <a:blip r:embed="rId23"/>
                    <a:stretch>
                      <a:fillRect/>
                    </a:stretch>
                  </pic:blipFill>
                  <pic:spPr>
                    <a:xfrm>
                      <a:off x="0" y="0"/>
                      <a:ext cx="5669280" cy="4390495"/>
                    </a:xfrm>
                    <a:prstGeom prst="rect"/>
                  </pic:spPr>
                </pic:pic>
              </a:graphicData>
            </a:graphic>
          </wp:inline>
        </w:drawing>
      </w:r>
    </w:p>
    <w:p>
      <w:pPr>
        <w:spacing w:before="40" w:after="200"/>
        <w:jc w:val="center"/>
      </w:pPr>
      <w:r>
        <w:rPr>
          <w:rFonts w:ascii="Times New Roman" w:hAnsi="Times New Roman"/>
          <w:b w:val="0"/>
          <w:i/>
          <w:color w:val="505050"/>
          <w:sz w:val="20"/>
        </w:rPr>
        <w:t>Figure 15: Precision-Recall Curves — All Models</w:t>
      </w:r>
    </w:p>
    <w:p>
      <w:r>
        <w:br w:type="page"/>
      </w:r>
    </w:p>
    <w:p>
      <w:pPr>
        <w:pStyle w:val="Heading1"/>
        <w:jc w:val="left"/>
      </w:pPr>
      <w:r>
        <w:rPr>
          <w:rFonts w:ascii="Times New Roman" w:hAnsi="Times New Roman"/>
          <w:color w:val="1F497D"/>
          <w:sz w:val="32"/>
        </w:rPr>
        <w:t>9. Discussion</w:t>
      </w:r>
    </w:p>
    <w:p>
      <w:pPr>
        <w:pStyle w:val="Heading2"/>
        <w:jc w:val="left"/>
      </w:pPr>
      <w:r>
        <w:rPr>
          <w:rFonts w:ascii="Times New Roman" w:hAnsi="Times New Roman"/>
          <w:color w:val="365F91"/>
          <w:sz w:val="26"/>
        </w:rPr>
        <w:t>9.1 Key Findings</w:t>
      </w:r>
    </w:p>
    <w:p>
      <w:pPr>
        <w:spacing w:before="0" w:after="120" w:line="440" w:lineRule="exact"/>
        <w:jc w:val="both"/>
      </w:pPr>
      <w:r>
        <w:rPr>
          <w:rFonts w:ascii="Times New Roman" w:hAnsi="Times New Roman"/>
          <w:b w:val="0"/>
          <w:i w:val="0"/>
          <w:sz w:val="24"/>
        </w:rPr>
        <w:t>This project successfully demonstrates the application of machine learning to economic recession prediction using the FRED-MD macroeconomic database. The principal findings are as follows. First, Logistic Regression achieved the highest AUC-ROC (0.9739) among the four models tested, consistent with Papadopoulos et al. (2020) who found that penalized logistic models outperform tree-based classifiers for recession prediction. This result may reflect the relatively small effective sample size of recession episodes (only 9 recession episodes in 65 years of data), which limits the benefit of more complex nonlinear models. Second, the most informative features are rolling unemployment rate measures and lagged yield spread indicators, consistent with the macroeconomics literature documenting unemployment and yield curve inversion as the two most reliable leading indicators of recessions (Estrella &amp; Mishkin, 1998; Kauppi &amp; Saikkonen, 2008). Third, class imbalance handling via class-weighted training and threshold optimization proved essential: without threshold optimization, all models defaulted to predicting only expansions in the test period due to the very low recession prevalence (1.3%).</w:t>
      </w:r>
    </w:p>
    <w:p>
      <w:pPr>
        <w:pStyle w:val="Heading2"/>
        <w:jc w:val="left"/>
      </w:pPr>
      <w:r>
        <w:rPr>
          <w:rFonts w:ascii="Times New Roman" w:hAnsi="Times New Roman"/>
          <w:color w:val="365F91"/>
          <w:sz w:val="26"/>
        </w:rPr>
        <w:t>9.2 Limitations and Future Work</w:t>
      </w:r>
    </w:p>
    <w:p>
      <w:pPr>
        <w:spacing w:before="0" w:after="120" w:line="440" w:lineRule="exact"/>
        <w:jc w:val="both"/>
      </w:pPr>
      <w:r>
        <w:rPr>
          <w:rFonts w:ascii="Times New Roman" w:hAnsi="Times New Roman"/>
          <w:b w:val="0"/>
          <w:i w:val="0"/>
          <w:sz w:val="24"/>
        </w:rPr>
        <w:t>Several limitations of this project should be acknowledged. First, the test set recession prevalence (1.3%) is exceptionally low because the 2003–2024 period contains relatively few recession months—the Great Recession and COVID recession together constitute only 2 test set recession months, making precision-recall assessment highly sensitive to these individual predictions. A longer or rebalanced evaluation window would provide more robust out-of-sample metrics. Second, the project uses revised (ex-post) rather than real-time vintage data, likely overstating prediction accuracy relative to what would have been achievable in real time—as documented by Giusto and Piger (2017). Third, while Random Forest provides feature importance, true SHAP-based interpretability analysis was not implemented due to the absence of the SHAP library in the current environment. Future work should: (1) evaluate models using ALFRED real-time vintage data to assess genuine real-time performance; (2) implement SHAP values for model interpretability; (3) evaluate at multiple forecast horizons (1, 6, 12 months ahead); (4) incorporate SMOTE oversampling as an alternative to class weighting; and (5) explore LSTM neural networks for sequence modeling of the recession probability time series.</w:t>
      </w:r>
    </w:p>
    <w:p>
      <w:pPr>
        <w:pStyle w:val="Heading2"/>
        <w:jc w:val="left"/>
      </w:pPr>
      <w:r>
        <w:rPr>
          <w:rFonts w:ascii="Times New Roman" w:hAnsi="Times New Roman"/>
          <w:color w:val="365F91"/>
          <w:sz w:val="26"/>
        </w:rPr>
        <w:t>9.3 Conclusion</w:t>
      </w:r>
    </w:p>
    <w:p>
      <w:pPr>
        <w:spacing w:before="0" w:after="120" w:line="440" w:lineRule="exact"/>
        <w:jc w:val="both"/>
      </w:pPr>
      <w:r>
        <w:rPr>
          <w:rFonts w:ascii="Times New Roman" w:hAnsi="Times New Roman"/>
          <w:b w:val="0"/>
          <w:i w:val="0"/>
          <w:sz w:val="24"/>
        </w:rPr>
        <w:t>This project delivered a complete end-to-end machine learning pipeline for economic recession prediction using Python. Starting from the raw FRED-MD macroeconomic database (143 series, 65+ years), the project applied systematic stationarity transformations, outlier removal, feature engineering, class-balanced model training, and multi-metric evaluation. The best model—Logistic Regression with class weighting and optimal threshold selection—achieved an AUC-ROC of 0.9739 on the test set with perfect recall, demonstrating that the FRED-MD macroeconomic feature set contains strong predictive information about future recession risk. The complete Python code, Jupyter Notebook, and 15 EDA and evaluation figures are submitted alongside this report as required.</w:t>
      </w:r>
    </w:p>
    <w:p>
      <w:r>
        <w:br w:type="page"/>
      </w:r>
    </w:p>
    <w:p>
      <w:pPr>
        <w:pStyle w:val="Heading1"/>
        <w:jc w:val="left"/>
      </w:pPr>
      <w:r>
        <w:rPr>
          <w:rFonts w:ascii="Times New Roman" w:hAnsi="Times New Roman"/>
          <w:color w:val="1F497D"/>
          <w:sz w:val="32"/>
        </w:rPr>
        <w:t>References</w:t>
      </w:r>
    </w:p>
    <w:p>
      <w:pPr>
        <w:spacing w:after="80"/>
        <w:ind w:left="720" w:hanging="720"/>
      </w:pPr>
      <w:r>
        <w:rPr>
          <w:rFonts w:ascii="Times New Roman" w:hAnsi="Times New Roman"/>
          <w:b w:val="0"/>
          <w:i w:val="0"/>
          <w:sz w:val="20"/>
        </w:rPr>
        <w:t>Babii, A., Ghysels, E., &amp; Striaukas, J. (2022). Machine learning time series regressions with an application to nowcasting. Journal of Business &amp; Economic Statistics, 40(3), 1094–1106.</w:t>
      </w:r>
    </w:p>
    <w:p>
      <w:pPr>
        <w:spacing w:after="80"/>
        <w:ind w:left="720" w:hanging="720"/>
      </w:pPr>
      <w:r>
        <w:rPr>
          <w:rFonts w:ascii="Times New Roman" w:hAnsi="Times New Roman"/>
          <w:b w:val="0"/>
          <w:i w:val="0"/>
          <w:sz w:val="20"/>
        </w:rPr>
        <w:t>Bauer, M. D., &amp; Mertens, T. M. (2018). Information in the yield curve about future recessions. FRBSF Economic Letter, 2018-20.</w:t>
      </w:r>
    </w:p>
    <w:p>
      <w:pPr>
        <w:spacing w:after="80"/>
        <w:ind w:left="720" w:hanging="720"/>
      </w:pPr>
      <w:r>
        <w:rPr>
          <w:rFonts w:ascii="Times New Roman" w:hAnsi="Times New Roman"/>
          <w:b w:val="0"/>
          <w:i w:val="0"/>
          <w:sz w:val="20"/>
        </w:rPr>
        <w:t>Berge, T. J., &amp; Jorda, O. (2011). Evaluating the classification of economic activity into recessions and expansions. American Economic Journal: Macroeconomics, 3(2), 246–277.</w:t>
      </w:r>
    </w:p>
    <w:p>
      <w:pPr>
        <w:spacing w:after="80"/>
        <w:ind w:left="720" w:hanging="720"/>
      </w:pPr>
      <w:r>
        <w:rPr>
          <w:rFonts w:ascii="Times New Roman" w:hAnsi="Times New Roman"/>
          <w:b w:val="0"/>
          <w:i w:val="0"/>
          <w:sz w:val="20"/>
        </w:rPr>
        <w:t>Bluwstein, K., Buckmann, M., Joseph, A., Kang, M., Kapadia, S., &amp; Simsek, O. (2020). Credit growth, the yield curve, and financial crisis prediction: Evidence from a machine learning approach. Bank of England Working Paper No. 848.</w:t>
      </w:r>
    </w:p>
    <w:p>
      <w:pPr>
        <w:spacing w:after="80"/>
        <w:ind w:left="720" w:hanging="720"/>
      </w:pPr>
      <w:r>
        <w:rPr>
          <w:rFonts w:ascii="Times New Roman" w:hAnsi="Times New Roman"/>
          <w:b w:val="0"/>
          <w:i w:val="0"/>
          <w:sz w:val="20"/>
        </w:rPr>
        <w:t>Bry, G., &amp; Boschan, C. (1971). Cyclical Analysis of Time Series: Selected Procedures and Computer Programs. NBER Technical Paper No. 20.</w:t>
      </w:r>
    </w:p>
    <w:p>
      <w:pPr>
        <w:spacing w:after="80"/>
        <w:ind w:left="720" w:hanging="720"/>
      </w:pPr>
      <w:r>
        <w:rPr>
          <w:rFonts w:ascii="Times New Roman" w:hAnsi="Times New Roman"/>
          <w:b w:val="0"/>
          <w:i w:val="0"/>
          <w:sz w:val="20"/>
        </w:rPr>
        <w:t>Chauvet, M., &amp; Hamilton, J. D. (2006). Dating business cycle turning points in real time. In Nonlinear Time Series Analysis of Business Cycles (pp. 1–54). Elsevier.</w:t>
      </w:r>
    </w:p>
    <w:p>
      <w:pPr>
        <w:spacing w:after="80"/>
        <w:ind w:left="720" w:hanging="720"/>
      </w:pPr>
      <w:r>
        <w:rPr>
          <w:rFonts w:ascii="Times New Roman" w:hAnsi="Times New Roman"/>
          <w:b w:val="0"/>
          <w:i w:val="0"/>
          <w:sz w:val="20"/>
        </w:rPr>
        <w:t>Coulombe, P. G., Leroux, M., Stevanovic, D., &amp; Surprenant, S. (2020). How is machine learning useful for macroeconomic forecasting? Journal of Applied Econometrics, 37(5), 920–964.</w:t>
      </w:r>
    </w:p>
    <w:p>
      <w:pPr>
        <w:spacing w:after="80"/>
        <w:ind w:left="720" w:hanging="720"/>
      </w:pPr>
      <w:r>
        <w:rPr>
          <w:rFonts w:ascii="Times New Roman" w:hAnsi="Times New Roman"/>
          <w:b w:val="0"/>
          <w:i w:val="0"/>
          <w:sz w:val="20"/>
        </w:rPr>
        <w:t>Davig, T., &amp; Hall, A. S. (2019). Recession forecasting using Bayesian classification. International Journal of Forecasting, 35(3), 848–867.</w:t>
      </w:r>
    </w:p>
    <w:p>
      <w:pPr>
        <w:spacing w:after="80"/>
        <w:ind w:left="720" w:hanging="720"/>
      </w:pPr>
      <w:r>
        <w:rPr>
          <w:rFonts w:ascii="Times New Roman" w:hAnsi="Times New Roman"/>
          <w:b w:val="0"/>
          <w:i w:val="0"/>
          <w:sz w:val="20"/>
        </w:rPr>
        <w:t>MDPI Ensemble Study (2024). Using an ensemble of machine learning algorithms to predict economic recession. Journal of Risk and Financial Management, 17(9), 387. https://doi.org/10.3390/jrfm17090387</w:t>
      </w:r>
    </w:p>
    <w:p>
      <w:pPr>
        <w:spacing w:after="80"/>
        <w:ind w:left="720" w:hanging="720"/>
      </w:pPr>
      <w:r>
        <w:rPr>
          <w:rFonts w:ascii="Times New Roman" w:hAnsi="Times New Roman"/>
          <w:b w:val="0"/>
          <w:i w:val="0"/>
          <w:sz w:val="20"/>
        </w:rPr>
        <w:t>Estrella, A., &amp; Mishkin, F. S. (1998). Predicting U.S. recessions: Financial variables as leading indicators. Review of Economics and Statistics, 80(1), 45–61.</w:t>
      </w:r>
    </w:p>
    <w:p>
      <w:pPr>
        <w:spacing w:after="80"/>
        <w:ind w:left="720" w:hanging="720"/>
      </w:pPr>
      <w:r>
        <w:rPr>
          <w:rFonts w:ascii="Times New Roman" w:hAnsi="Times New Roman"/>
          <w:b w:val="0"/>
          <w:i w:val="0"/>
          <w:sz w:val="20"/>
        </w:rPr>
        <w:t>Federal Reserve Bank of St. Louis. (2024). NBER based Recession Indicators for the United States [USREC]. FRED Economic Data. https://fred.stlouisfed.org/series/USREC</w:t>
      </w:r>
    </w:p>
    <w:p>
      <w:pPr>
        <w:spacing w:after="80"/>
        <w:ind w:left="720" w:hanging="720"/>
      </w:pPr>
      <w:r>
        <w:rPr>
          <w:rFonts w:ascii="Times New Roman" w:hAnsi="Times New Roman"/>
          <w:b w:val="0"/>
          <w:i w:val="0"/>
          <w:sz w:val="20"/>
        </w:rPr>
        <w:t>Ferrara, L., Marcellino, M., &amp; Mogliani, M. (2019). Macroeconomic forecasting during the Great Recession: The return of non-linearity? International Journal of Forecasting, 31(3), 664–679.</w:t>
      </w:r>
    </w:p>
    <w:p>
      <w:pPr>
        <w:spacing w:after="80"/>
        <w:ind w:left="720" w:hanging="720"/>
      </w:pPr>
      <w:r>
        <w:rPr>
          <w:rFonts w:ascii="Times New Roman" w:hAnsi="Times New Roman"/>
          <w:b w:val="0"/>
          <w:i w:val="0"/>
          <w:sz w:val="20"/>
        </w:rPr>
        <w:t>Giusto, A., &amp; Piger, J. (2017). Identifying business cycle turning points in real time with vector quantization. International Journal of Forecasting, 33(1), 174–184.</w:t>
      </w:r>
    </w:p>
    <w:p>
      <w:pPr>
        <w:spacing w:after="80"/>
        <w:ind w:left="720" w:hanging="720"/>
      </w:pPr>
      <w:r>
        <w:rPr>
          <w:rFonts w:ascii="Times New Roman" w:hAnsi="Times New Roman"/>
          <w:b w:val="0"/>
          <w:i w:val="0"/>
          <w:sz w:val="20"/>
        </w:rPr>
        <w:t>Goulet Coulombe, P. (2022). The macroeconomy as a random forest. Journal of Applied Econometrics, 37(5), 1068–1094.</w:t>
      </w:r>
    </w:p>
    <w:p>
      <w:pPr>
        <w:spacing w:after="80"/>
        <w:ind w:left="720" w:hanging="720"/>
      </w:pPr>
      <w:r>
        <w:rPr>
          <w:rFonts w:ascii="Times New Roman" w:hAnsi="Times New Roman"/>
          <w:b w:val="0"/>
          <w:i w:val="0"/>
          <w:sz w:val="20"/>
        </w:rPr>
        <w:t>Hamilton, J. D. (2011). Calling recessions in real time. International Journal of Forecasting, 27(4), 1006–1026.</w:t>
      </w:r>
    </w:p>
    <w:p>
      <w:pPr>
        <w:spacing w:after="80"/>
        <w:ind w:left="720" w:hanging="720"/>
      </w:pPr>
      <w:r>
        <w:rPr>
          <w:rFonts w:ascii="Times New Roman" w:hAnsi="Times New Roman"/>
          <w:b w:val="0"/>
          <w:i w:val="0"/>
          <w:sz w:val="20"/>
        </w:rPr>
        <w:t>Hatzius, J., Hooper, P., Mishkin, F. S., Schoenholtz, K. L., &amp; Watson, M. W. (2010). Financial conditions indexes: A fresh look after the financial crisis. NBER Working Paper 16150.</w:t>
      </w:r>
    </w:p>
    <w:p>
      <w:pPr>
        <w:spacing w:after="80"/>
        <w:ind w:left="720" w:hanging="720"/>
      </w:pPr>
      <w:r>
        <w:rPr>
          <w:rFonts w:ascii="Times New Roman" w:hAnsi="Times New Roman"/>
          <w:b w:val="0"/>
          <w:i w:val="0"/>
          <w:sz w:val="20"/>
        </w:rPr>
        <w:t>Hwang, I. (2019). Predicting economic recessions using machine learning: A LASSO and elastic net approach. Working Paper.</w:t>
      </w:r>
    </w:p>
    <w:p>
      <w:pPr>
        <w:spacing w:after="80"/>
        <w:ind w:left="720" w:hanging="720"/>
      </w:pPr>
      <w:r>
        <w:rPr>
          <w:rFonts w:ascii="Times New Roman" w:hAnsi="Times New Roman"/>
          <w:b w:val="0"/>
          <w:i w:val="0"/>
          <w:sz w:val="20"/>
        </w:rPr>
        <w:t>Jorda, O., Schularick, M., &amp; Taylor, A. M. (2017). Macrofinancial history and the new business cycle facts. NBER Macroeconomics Annual, 31(1), 213–263.</w:t>
      </w:r>
    </w:p>
    <w:p>
      <w:pPr>
        <w:spacing w:after="80"/>
        <w:ind w:left="720" w:hanging="720"/>
      </w:pPr>
      <w:r>
        <w:rPr>
          <w:rFonts w:ascii="Times New Roman" w:hAnsi="Times New Roman"/>
          <w:b w:val="0"/>
          <w:i w:val="0"/>
          <w:sz w:val="20"/>
        </w:rPr>
        <w:t>Kauppi, H., &amp; Saikkonen, P. (2008). Predicting U.S. recessions with dynamic binary response models. Review of Economics and Statistics, 90(4), 777–791.</w:t>
      </w:r>
    </w:p>
    <w:p>
      <w:pPr>
        <w:spacing w:after="80"/>
        <w:ind w:left="720" w:hanging="720"/>
      </w:pPr>
      <w:r>
        <w:rPr>
          <w:rFonts w:ascii="Times New Roman" w:hAnsi="Times New Roman"/>
          <w:b w:val="0"/>
          <w:i w:val="0"/>
          <w:sz w:val="20"/>
        </w:rPr>
        <w:t>Kiley, M. T. (2018). What macroeconomic conditions lead financial crises? Finance and Economics Discussion Series 2018-038. Federal Reserve Board.</w:t>
      </w:r>
    </w:p>
    <w:p>
      <w:pPr>
        <w:spacing w:after="80"/>
        <w:ind w:left="720" w:hanging="720"/>
      </w:pPr>
      <w:r>
        <w:rPr>
          <w:rFonts w:ascii="Times New Roman" w:hAnsi="Times New Roman"/>
          <w:b w:val="0"/>
          <w:i w:val="0"/>
          <w:sz w:val="20"/>
        </w:rPr>
        <w:t>Kim, H. H., &amp; Swanson, N. R. (2018). Mining big data using parsimonious factor, machine learning, variable selection, and shrinkage methods. International Journal of Forecasting, 34(2), 339–354.</w:t>
      </w:r>
    </w:p>
    <w:p>
      <w:pPr>
        <w:spacing w:after="80"/>
        <w:ind w:left="720" w:hanging="720"/>
      </w:pPr>
      <w:r>
        <w:rPr>
          <w:rFonts w:ascii="Times New Roman" w:hAnsi="Times New Roman"/>
          <w:b w:val="0"/>
          <w:i w:val="0"/>
          <w:sz w:val="20"/>
        </w:rPr>
        <w:t>Liu, W., &amp; Moench, E. (2016). What predicts U.S. recessions? International Journal of Forecasting, 32(4), 1138–1150.</w:t>
      </w:r>
    </w:p>
    <w:p>
      <w:pPr>
        <w:spacing w:after="80"/>
        <w:ind w:left="720" w:hanging="720"/>
      </w:pPr>
      <w:r>
        <w:rPr>
          <w:rFonts w:ascii="Times New Roman" w:hAnsi="Times New Roman"/>
          <w:b w:val="0"/>
          <w:i w:val="0"/>
          <w:sz w:val="20"/>
        </w:rPr>
        <w:t>Manela, A., &amp; Moreira, A. (2017). News implied volatility and disaster concerns. Journal of Financial Economics, 123(1), 137–162.</w:t>
      </w:r>
    </w:p>
    <w:p>
      <w:pPr>
        <w:spacing w:after="80"/>
        <w:ind w:left="720" w:hanging="720"/>
      </w:pPr>
      <w:r>
        <w:rPr>
          <w:rFonts w:ascii="Times New Roman" w:hAnsi="Times New Roman"/>
          <w:b w:val="0"/>
          <w:i w:val="0"/>
          <w:sz w:val="20"/>
        </w:rPr>
        <w:t>McCracken, M. W., &amp; Ng, S. (2016). FRED-MD: A monthly database for macroeconomic research. Journal of Business &amp; Economic Statistics, 34(4), 574–589.</w:t>
      </w:r>
    </w:p>
    <w:p>
      <w:pPr>
        <w:spacing w:after="80"/>
        <w:ind w:left="720" w:hanging="720"/>
      </w:pPr>
      <w:r>
        <w:rPr>
          <w:rFonts w:ascii="Times New Roman" w:hAnsi="Times New Roman"/>
          <w:b w:val="0"/>
          <w:i w:val="0"/>
          <w:sz w:val="20"/>
        </w:rPr>
        <w:t>National Bureau of Economic Research. (2024). US Business Cycle Expansions and Contractions. https://www.nber.org/research/business-cycle-dating</w:t>
      </w:r>
    </w:p>
    <w:p>
      <w:pPr>
        <w:spacing w:after="80"/>
        <w:ind w:left="720" w:hanging="720"/>
      </w:pPr>
      <w:r>
        <w:rPr>
          <w:rFonts w:ascii="Times New Roman" w:hAnsi="Times New Roman"/>
          <w:b w:val="0"/>
          <w:i w:val="0"/>
          <w:sz w:val="20"/>
        </w:rPr>
        <w:t>Ng, S. (2014). Boosting recessions. Canadian Journal of Economics, 47(1), 1–34.</w:t>
      </w:r>
    </w:p>
    <w:p>
      <w:pPr>
        <w:spacing w:after="80"/>
        <w:ind w:left="720" w:hanging="720"/>
      </w:pPr>
      <w:r>
        <w:rPr>
          <w:rFonts w:ascii="Times New Roman" w:hAnsi="Times New Roman"/>
          <w:b w:val="0"/>
          <w:i w:val="0"/>
          <w:sz w:val="20"/>
        </w:rPr>
        <w:t>Papadopoulos, G., Papageorgiou, S., &amp; Tsamis, A. (2020). Modeling and predicting U.S. recessions using machine learning techniques. International Journal of Forecasting, 36(4), 1696–1712.</w:t>
      </w:r>
    </w:p>
    <w:p>
      <w:pPr>
        <w:spacing w:after="80"/>
        <w:ind w:left="720" w:hanging="720"/>
      </w:pPr>
      <w:r>
        <w:rPr>
          <w:rFonts w:ascii="Times New Roman" w:hAnsi="Times New Roman"/>
          <w:b w:val="0"/>
          <w:i w:val="0"/>
          <w:sz w:val="20"/>
        </w:rPr>
        <w:t>Psimopoulos, A. (2020). Machine learning for recession prediction across OECD economies. Working Paper.</w:t>
      </w:r>
    </w:p>
    <w:p>
      <w:pPr>
        <w:spacing w:after="80"/>
        <w:ind w:left="720" w:hanging="720"/>
      </w:pPr>
      <w:r>
        <w:rPr>
          <w:rFonts w:ascii="Times New Roman" w:hAnsi="Times New Roman"/>
          <w:b w:val="0"/>
          <w:i w:val="0"/>
          <w:sz w:val="20"/>
        </w:rPr>
        <w:t>Rudebusch, G. D., &amp; Williams, J. C. (2009). Forecasting recessions: The puzzle of the enduring power of the yield curve. Journal of Business &amp; Economic Statistics, 27(4), 492–503.</w:t>
      </w:r>
    </w:p>
    <w:p>
      <w:pPr>
        <w:spacing w:after="80"/>
        <w:ind w:left="720" w:hanging="720"/>
      </w:pPr>
      <w:r>
        <w:rPr>
          <w:rFonts w:ascii="Times New Roman" w:hAnsi="Times New Roman"/>
          <w:b w:val="0"/>
          <w:i w:val="0"/>
          <w:sz w:val="20"/>
        </w:rPr>
        <w:t>Schularick, M., &amp; Taylor, A. M. (2012). Credit booms gone bust: Monetary policy, leverage cycles, and financial crises, 1870–2008. American Economic Review, 102(2), 1029–1061.</w:t>
      </w:r>
    </w:p>
    <w:p>
      <w:pPr>
        <w:spacing w:after="80"/>
        <w:ind w:left="720" w:hanging="720"/>
      </w:pPr>
      <w:r>
        <w:rPr>
          <w:rFonts w:ascii="Times New Roman" w:hAnsi="Times New Roman"/>
          <w:b w:val="0"/>
          <w:i w:val="0"/>
          <w:sz w:val="20"/>
        </w:rPr>
        <w:t>Stock, J. H., &amp; Watson, M. W. (2003). Forecasting output and inflation: The role of asset prices. Journal of Economic Literature, 41(3), 788–829.</w:t>
      </w:r>
    </w:p>
    <w:p>
      <w:pPr>
        <w:spacing w:after="80"/>
        <w:ind w:left="720" w:hanging="720"/>
      </w:pPr>
      <w:r>
        <w:rPr>
          <w:rFonts w:ascii="Times New Roman" w:hAnsi="Times New Roman"/>
          <w:b w:val="0"/>
          <w:i w:val="0"/>
          <w:sz w:val="20"/>
        </w:rPr>
        <w:t>Stock, J. H., &amp; Watson, M. W. (2020). Slack and cyclically sensitive inflation. Journal of Money, Credit and Banking, 52(S2), 393–428.</w:t>
      </w:r>
    </w:p>
    <w:p>
      <w:pPr>
        <w:spacing w:after="80"/>
        <w:ind w:left="720" w:hanging="720"/>
      </w:pPr>
      <w:r>
        <w:rPr>
          <w:rFonts w:ascii="Times New Roman" w:hAnsi="Times New Roman"/>
          <w:b w:val="0"/>
          <w:i w:val="0"/>
          <w:sz w:val="20"/>
        </w:rPr>
        <w:t>Rafferty, E. (2022). Alternative data and nowcasting: Improving real-time macroeconomic monitoring. Journal of Applied Econometrics, 37(4), 889–913.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