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jc w:val="center"/>
      </w:pPr>
      <w:r>
        <w:rPr>
          <w:color w:val="256F6D"/>
        </w:rPr>
        <w:t xml:space="preserve">Attribute Origination Portal</w:t>
      </w:r>
    </w:p>
    <w:p>
      <w:pPr>
        <w:spacing w:after="60"/>
        <w:jc w:val="center"/>
      </w:pPr>
      <w:r>
        <w:rPr>
          <w:color w:val="1E2A2E"/>
          <w:sz w:val="24"/>
          <w:szCs w:val="24"/>
        </w:rPr>
        <w:t xml:space="preserve">User Guide — clear version and ELI5 version, side by side</w:t>
      </w:r>
    </w:p>
    <w:p>
      <w:pPr>
        <w:spacing w:after="300"/>
        <w:jc w:val="center"/>
      </w:pPr>
      <w:r>
        <w:rPr>
          <w:i/>
          <w:iCs/>
          <w:color w:val="68777B"/>
          <w:sz w:val="20"/>
          <w:szCs w:val="20"/>
        </w:rPr>
        <w:t xml:space="preserve">Every section comes twice: a clear explanation, then an “explain it like I’m five” retelling. They say the same thing — read whichever suits you.</w:t>
      </w:r>
    </w:p>
    <w:p>
      <w:pPr>
        <w:pStyle w:val="Heading1"/>
        <w:spacing w:after="160" w:before="360"/>
      </w:pPr>
      <w:r>
        <w:rPr>
          <w:color w:val="1E2A2E"/>
        </w:rPr>
        <w:t xml:space="preserve">1. What is this portal?</w:t>
      </w:r>
    </w:p>
    <w:tbl>
      <w:tblPr>
        <w:tblW w:type="dxa" w:w="9360"/>
        <w:tblBorders>
          <w:top w:val="none"/>
          <w:left w:val="none"/>
          <w:bottom w:val="none"/>
          <w:right w:val="none"/>
          <w:insideH w:val="none"/>
          <w:insideV w:val="none"/>
        </w:tblBorders>
      </w:tblPr>
      <w:tblGrid>
        <w:gridCol w:w="9360"/>
      </w:tblGrid>
      <w:tr>
        <w:tc>
          <w:tcPr>
            <w:tcW w:type="dxa" w:w="9360"/>
            <w:shd w:fill="E6F0EF" w:val="clear"/>
            <w:tcMar>
              <w:top w:type="dxa" w:w="120"/>
              <w:left w:type="dxa" w:w="160"/>
              <w:bottom w:type="dxa" w:w="120"/>
              <w:right w:type="dxa" w:w="160"/>
            </w:tcMar>
          </w:tcPr>
          <w:p>
            <w:pPr>
              <w:spacing w:after="60"/>
            </w:pPr>
            <w:r>
              <w:rPr>
                <w:b/>
                <w:bCs/>
                <w:color w:val="256F6D"/>
                <w:sz w:val="18"/>
                <w:szCs w:val="18"/>
              </w:rPr>
              <w:t xml:space="preserve">CLEAR</w:t>
            </w:r>
          </w:p>
          <w:p>
            <w:r>
              <w:rPr>
                <w:b w:val="false"/>
                <w:bCs w:val="false"/>
                <w:color w:val="1E2A2E"/>
              </w:rPr>
              <w:t xml:space="preserve">The portal collects your solar generation data, checks it from three independent sources, converts it into certified environmental attributes (I-RECs and carbon credits), sells them, and pays site owners — while keeping a tamper-evident audit trail an external auditor can verify years later.</w:t>
            </w:r>
          </w:p>
        </w:tc>
      </w:tr>
    </w:tbl>
    <w:p>
      <w:pPr>
        <w:spacing w:after="120"/>
      </w:pPr>
    </w:p>
    <w:tbl>
      <w:tblPr>
        <w:tblW w:type="dxa" w:w="9360"/>
        <w:tblBorders>
          <w:top w:val="none"/>
          <w:left w:val="none"/>
          <w:bottom w:val="none"/>
          <w:right w:val="none"/>
          <w:insideH w:val="none"/>
          <w:insideV w:val="none"/>
        </w:tblBorders>
      </w:tblPr>
      <w:tblGrid>
        <w:gridCol w:w="9360"/>
      </w:tblGrid>
      <w:tr>
        <w:tc>
          <w:tcPr>
            <w:tcW w:type="dxa" w:w="9360"/>
            <w:shd w:fill="FAF0D8" w:val="clear"/>
            <w:tcMar>
              <w:top w:type="dxa" w:w="120"/>
              <w:left w:type="dxa" w:w="160"/>
              <w:bottom w:type="dxa" w:w="120"/>
              <w:right w:type="dxa" w:w="160"/>
            </w:tcMar>
          </w:tcPr>
          <w:p>
            <w:pPr>
              <w:spacing w:after="60"/>
            </w:pPr>
            <w:r>
              <w:rPr>
                <w:b/>
                <w:bCs/>
                <w:color w:val="846010"/>
                <w:sz w:val="18"/>
                <w:szCs w:val="18"/>
              </w:rPr>
              <w:t xml:space="preserve">ELI5 — EXPLAIN IT LIKE I’M FIVE</w:t>
            </w:r>
          </w:p>
          <w:p>
            <w:r>
              <w:rPr>
                <w:b w:val="false"/>
                <w:bCs w:val="false"/>
                <w:color w:val="1E2A2E"/>
              </w:rPr>
              <w:t xml:space="preserve">Your solar panels make two things: electricity, and bragging rights that the electricity was clean. Companies pay real money for those bragging rights. This portal is the machine that collects the proof, gets the bragging rights officially certified, sells them, and sends you your share — and it keeps receipts for everything, forever, so nobody can ever accuse anyone of cheating.</w:t>
            </w:r>
          </w:p>
        </w:tc>
      </w:tr>
    </w:tbl>
    <w:p>
      <w:pPr>
        <w:spacing w:after="120"/>
      </w:pPr>
    </w:p>
    <w:p>
      <w:pPr>
        <w:pStyle w:val="Heading1"/>
        <w:spacing w:after="160" w:before="360"/>
      </w:pPr>
      <w:r>
        <w:rPr>
          <w:color w:val="1E2A2E"/>
        </w:rPr>
        <w:t xml:space="preserve">2. Signing in</w:t>
      </w:r>
    </w:p>
    <w:tbl>
      <w:tblPr>
        <w:tblW w:type="dxa" w:w="9360"/>
        <w:tblBorders>
          <w:top w:val="none"/>
          <w:left w:val="none"/>
          <w:bottom w:val="none"/>
          <w:right w:val="none"/>
          <w:insideH w:val="none"/>
          <w:insideV w:val="none"/>
        </w:tblBorders>
      </w:tblPr>
      <w:tblGrid>
        <w:gridCol w:w="9360"/>
      </w:tblGrid>
      <w:tr>
        <w:tc>
          <w:tcPr>
            <w:tcW w:type="dxa" w:w="9360"/>
            <w:shd w:fill="E6F0EF" w:val="clear"/>
            <w:tcMar>
              <w:top w:type="dxa" w:w="120"/>
              <w:left w:type="dxa" w:w="160"/>
              <w:bottom w:type="dxa" w:w="120"/>
              <w:right w:type="dxa" w:w="160"/>
            </w:tcMar>
          </w:tcPr>
          <w:p>
            <w:pPr>
              <w:spacing w:after="60"/>
            </w:pPr>
            <w:r>
              <w:rPr>
                <w:b/>
                <w:bCs/>
                <w:color w:val="256F6D"/>
                <w:sz w:val="18"/>
                <w:szCs w:val="18"/>
              </w:rPr>
              <w:t xml:space="preserve">CLEAR</w:t>
            </w:r>
          </w:p>
          <w:p>
            <w:r>
              <w:rPr>
                <w:b w:val="false"/>
                <w:bCs w:val="false"/>
                <w:color w:val="1E2A2E"/>
              </w:rPr>
              <w:t xml:space="preserve">Enter your email and password. The interface is in Armenian by default; switch with the Հայերեն / English buttons on the login page. Your role decides what you see: operators land on the console, owners on “My solar”, installers on “Fleet”, auditors on the auditor console. Every strange word has a small ⓘ icon next to it — hover for one line, click for a plain-language explanation with an example. The full dictionary lives at /glossary.</w:t>
            </w:r>
          </w:p>
        </w:tc>
      </w:tr>
    </w:tbl>
    <w:p>
      <w:pPr>
        <w:spacing w:after="120"/>
      </w:pPr>
    </w:p>
    <w:tbl>
      <w:tblPr>
        <w:tblW w:type="dxa" w:w="9360"/>
        <w:tblBorders>
          <w:top w:val="none"/>
          <w:left w:val="none"/>
          <w:bottom w:val="none"/>
          <w:right w:val="none"/>
          <w:insideH w:val="none"/>
          <w:insideV w:val="none"/>
        </w:tblBorders>
      </w:tblPr>
      <w:tblGrid>
        <w:gridCol w:w="9360"/>
      </w:tblGrid>
      <w:tr>
        <w:tc>
          <w:tcPr>
            <w:tcW w:type="dxa" w:w="9360"/>
            <w:shd w:fill="FAF0D8" w:val="clear"/>
            <w:tcMar>
              <w:top w:type="dxa" w:w="120"/>
              <w:left w:type="dxa" w:w="160"/>
              <w:bottom w:type="dxa" w:w="120"/>
              <w:right w:type="dxa" w:w="160"/>
            </w:tcMar>
          </w:tcPr>
          <w:p>
            <w:pPr>
              <w:spacing w:after="60"/>
            </w:pPr>
            <w:r>
              <w:rPr>
                <w:b/>
                <w:bCs/>
                <w:color w:val="846010"/>
                <w:sz w:val="18"/>
                <w:szCs w:val="18"/>
              </w:rPr>
              <w:t xml:space="preserve">ELI5 — EXPLAIN IT LIKE I’M FIVE</w:t>
            </w:r>
          </w:p>
          <w:p>
            <w:r>
              <w:rPr>
                <w:b w:val="false"/>
                <w:bCs w:val="false"/>
                <w:color w:val="1E2A2E"/>
              </w:rPr>
              <w:t xml:space="preserve">One door, but it opens onto different rooms depending on who you are. A bakery owner sees their earnings; an auditor sees the evidence room; the operations team sees the engine room. You can’t wander into a room that isn’t yours — the doors are actually locked, not just hidden. And whenever a word looks scary, click the little ⓘ and it explains itself like a patient friend.</w:t>
            </w:r>
          </w:p>
        </w:tc>
      </w:tr>
    </w:tbl>
    <w:p>
      <w:pPr>
        <w:spacing w:after="120"/>
      </w:pPr>
    </w:p>
    <w:p>
      <w:pPr>
        <w:pStyle w:val="Heading1"/>
        <w:spacing w:after="160" w:before="360"/>
      </w:pPr>
      <w:r>
        <w:rPr>
          <w:color w:val="1E2A2E"/>
        </w:rPr>
        <w:t xml:space="preserve">3. The coloured strip at the top</w:t>
      </w:r>
    </w:p>
    <w:tbl>
      <w:tblPr>
        <w:tblW w:type="dxa" w:w="9360"/>
        <w:tblBorders>
          <w:top w:val="none"/>
          <w:left w:val="none"/>
          <w:bottom w:val="none"/>
          <w:right w:val="none"/>
          <w:insideH w:val="none"/>
          <w:insideV w:val="none"/>
        </w:tblBorders>
      </w:tblPr>
      <w:tblGrid>
        <w:gridCol w:w="9360"/>
      </w:tblGrid>
      <w:tr>
        <w:tc>
          <w:tcPr>
            <w:tcW w:type="dxa" w:w="9360"/>
            <w:shd w:fill="E6F0EF" w:val="clear"/>
            <w:tcMar>
              <w:top w:type="dxa" w:w="120"/>
              <w:left w:type="dxa" w:w="160"/>
              <w:bottom w:type="dxa" w:w="120"/>
              <w:right w:type="dxa" w:w="160"/>
            </w:tcMar>
          </w:tcPr>
          <w:p>
            <w:pPr>
              <w:spacing w:after="60"/>
            </w:pPr>
            <w:r>
              <w:rPr>
                <w:b/>
                <w:bCs/>
                <w:color w:val="256F6D"/>
                <w:sz w:val="18"/>
                <w:szCs w:val="18"/>
              </w:rPr>
              <w:t xml:space="preserve">CLEAR</w:t>
            </w:r>
          </w:p>
          <w:p>
            <w:r>
              <w:rPr>
                <w:b w:val="false"/>
                <w:bCs w:val="false"/>
                <w:color w:val="1E2A2E"/>
              </w:rPr>
              <w:t xml:space="preserve">The strip shows which environment you are in: LOCAL (grey), SANDBOX (yellow), PRODUCTION (green). Sandbox sites additionally show a yellow 🧪 banner on every screen.</w:t>
            </w:r>
          </w:p>
        </w:tc>
      </w:tr>
    </w:tbl>
    <w:p>
      <w:pPr>
        <w:spacing w:after="120"/>
      </w:pPr>
    </w:p>
    <w:tbl>
      <w:tblPr>
        <w:tblW w:type="dxa" w:w="9360"/>
        <w:tblBorders>
          <w:top w:val="none"/>
          <w:left w:val="none"/>
          <w:bottom w:val="none"/>
          <w:right w:val="none"/>
          <w:insideH w:val="none"/>
          <w:insideV w:val="none"/>
        </w:tblBorders>
      </w:tblPr>
      <w:tblGrid>
        <w:gridCol w:w="9360"/>
      </w:tblGrid>
      <w:tr>
        <w:tc>
          <w:tcPr>
            <w:tcW w:type="dxa" w:w="9360"/>
            <w:shd w:fill="FAF0D8" w:val="clear"/>
            <w:tcMar>
              <w:top w:type="dxa" w:w="120"/>
              <w:left w:type="dxa" w:w="160"/>
              <w:bottom w:type="dxa" w:w="120"/>
              <w:right w:type="dxa" w:w="160"/>
            </w:tcMar>
          </w:tcPr>
          <w:p>
            <w:pPr>
              <w:spacing w:after="60"/>
            </w:pPr>
            <w:r>
              <w:rPr>
                <w:b/>
                <w:bCs/>
                <w:color w:val="846010"/>
                <w:sz w:val="18"/>
                <w:szCs w:val="18"/>
              </w:rPr>
              <w:t xml:space="preserve">ELI5 — EXPLAIN IT LIKE I’M FIVE</w:t>
            </w:r>
          </w:p>
          <w:p>
            <w:r>
              <w:rPr>
                <w:b w:val="false"/>
                <w:bCs w:val="false"/>
                <w:color w:val="1E2A2E"/>
              </w:rPr>
              <w:t xml:space="preserve">Yellow means practice mode — like a flight simulator wired into a real cockpit. All the buttons work, but the plane cannot take off: sandbox data is physically blocked from ever reaching the real certificate registry. Practice fearlessly when you see yellow.</w:t>
            </w:r>
          </w:p>
        </w:tc>
      </w:tr>
    </w:tbl>
    <w:p>
      <w:pPr>
        <w:spacing w:after="120"/>
      </w:pPr>
    </w:p>
    <w:p>
      <w:pPr>
        <w:pStyle w:val="Heading1"/>
        <w:spacing w:after="160" w:before="360"/>
      </w:pPr>
      <w:r>
        <w:rPr>
          <w:color w:val="1E2A2E"/>
        </w:rPr>
        <w:t xml:space="preserve">4. For field technicians: creating a site</w:t>
      </w:r>
    </w:p>
    <w:tbl>
      <w:tblPr>
        <w:tblW w:type="dxa" w:w="9360"/>
        <w:tblBorders>
          <w:top w:val="none"/>
          <w:left w:val="none"/>
          <w:bottom w:val="none"/>
          <w:right w:val="none"/>
          <w:insideH w:val="none"/>
          <w:insideV w:val="none"/>
        </w:tblBorders>
      </w:tblPr>
      <w:tblGrid>
        <w:gridCol w:w="9360"/>
      </w:tblGrid>
      <w:tr>
        <w:tc>
          <w:tcPr>
            <w:tcW w:type="dxa" w:w="9360"/>
            <w:shd w:fill="E6F0EF" w:val="clear"/>
            <w:tcMar>
              <w:top w:type="dxa" w:w="120"/>
              <w:left w:type="dxa" w:w="160"/>
              <w:bottom w:type="dxa" w:w="120"/>
              <w:right w:type="dxa" w:w="160"/>
            </w:tcMar>
          </w:tcPr>
          <w:p>
            <w:pPr>
              <w:spacing w:after="60"/>
            </w:pPr>
            <w:r>
              <w:rPr>
                <w:b/>
                <w:bCs/>
                <w:color w:val="256F6D"/>
                <w:sz w:val="18"/>
                <w:szCs w:val="18"/>
              </w:rPr>
              <w:t xml:space="preserve">CLEAR</w:t>
            </w:r>
          </w:p>
          <w:p>
            <w:r>
              <w:rPr>
                <w:b w:val="false"/>
                <w:bCs w:val="false"/>
                <w:color w:val="1E2A2E"/>
              </w:rPr>
              <w:t xml:space="preserve">Sites → + New site. A four-step wizard: identity (site name, owner, tax ID) → technical (capacity, inverter, modules, tilt) → location (GPS capture with manual override) → review. The draft auto-saves locally, so losing signal mid-wizard loses nothing. After creation, sites move through a fixed lifecycle (LEAD → QUALIFYING → CONTRACTED → METERED → COMMISSIONED → ASSESSED → PRODUCING); every move is recorded, and illegal jumps are refused with an explanation.</w:t>
            </w:r>
          </w:p>
        </w:tc>
      </w:tr>
    </w:tbl>
    <w:p>
      <w:pPr>
        <w:spacing w:after="120"/>
      </w:pPr>
    </w:p>
    <w:tbl>
      <w:tblPr>
        <w:tblW w:type="dxa" w:w="9360"/>
        <w:tblBorders>
          <w:top w:val="none"/>
          <w:left w:val="none"/>
          <w:bottom w:val="none"/>
          <w:right w:val="none"/>
          <w:insideH w:val="none"/>
          <w:insideV w:val="none"/>
        </w:tblBorders>
      </w:tblPr>
      <w:tblGrid>
        <w:gridCol w:w="9360"/>
      </w:tblGrid>
      <w:tr>
        <w:tc>
          <w:tcPr>
            <w:tcW w:type="dxa" w:w="9360"/>
            <w:shd w:fill="FAF0D8" w:val="clear"/>
            <w:tcMar>
              <w:top w:type="dxa" w:w="120"/>
              <w:left w:type="dxa" w:w="160"/>
              <w:bottom w:type="dxa" w:w="120"/>
              <w:right w:type="dxa" w:w="160"/>
            </w:tcMar>
          </w:tcPr>
          <w:p>
            <w:pPr>
              <w:spacing w:after="60"/>
            </w:pPr>
            <w:r>
              <w:rPr>
                <w:b/>
                <w:bCs/>
                <w:color w:val="846010"/>
                <w:sz w:val="18"/>
                <w:szCs w:val="18"/>
              </w:rPr>
              <w:t xml:space="preserve">ELI5 — EXPLAIN IT LIKE I’M FIVE</w:t>
            </w:r>
          </w:p>
          <w:p>
            <w:r>
              <w:rPr>
                <w:b w:val="false"/>
                <w:bCs w:val="false"/>
                <w:color w:val="1E2A2E"/>
              </w:rPr>
              <w:t xml:space="preserve">It’s like filling a passport application for the solar plant, on your phone, while standing next to it. The app remembers everything you typed even if the connection drops in the mountains. Press the GPS button and the phone writes down exactly where the plant lives.</w:t>
            </w:r>
          </w:p>
        </w:tc>
      </w:tr>
    </w:tbl>
    <w:p>
      <w:pPr>
        <w:spacing w:after="120"/>
      </w:pPr>
    </w:p>
    <w:p>
      <w:pPr>
        <w:pStyle w:val="Heading1"/>
        <w:spacing w:after="160" w:before="360"/>
      </w:pPr>
      <w:r>
        <w:rPr>
          <w:color w:val="1E2A2E"/>
        </w:rPr>
        <w:t xml:space="preserve">5. Entering generation data by hand</w:t>
      </w:r>
    </w:p>
    <w:tbl>
      <w:tblPr>
        <w:tblW w:type="dxa" w:w="9360"/>
        <w:tblBorders>
          <w:top w:val="none"/>
          <w:left w:val="none"/>
          <w:bottom w:val="none"/>
          <w:right w:val="none"/>
          <w:insideH w:val="none"/>
          <w:insideV w:val="none"/>
        </w:tblBorders>
      </w:tblPr>
      <w:tblGrid>
        <w:gridCol w:w="9360"/>
      </w:tblGrid>
      <w:tr>
        <w:tc>
          <w:tcPr>
            <w:tcW w:type="dxa" w:w="9360"/>
            <w:shd w:fill="E6F0EF" w:val="clear"/>
            <w:tcMar>
              <w:top w:type="dxa" w:w="120"/>
              <w:left w:type="dxa" w:w="160"/>
              <w:bottom w:type="dxa" w:w="120"/>
              <w:right w:type="dxa" w:w="160"/>
            </w:tcMar>
          </w:tcPr>
          <w:p>
            <w:pPr>
              <w:spacing w:after="60"/>
            </w:pPr>
            <w:r>
              <w:rPr>
                <w:b/>
                <w:bCs/>
                <w:color w:val="256F6D"/>
                <w:sz w:val="18"/>
                <w:szCs w:val="18"/>
              </w:rPr>
              <w:t xml:space="preserve">CLEAR</w:t>
            </w:r>
          </w:p>
          <w:p>
            <w:r>
              <w:rPr>
                <w:b w:val="false"/>
                <w:bCs w:val="false"/>
                <w:color w:val="1E2A2E"/>
              </w:rPr>
              <w:t xml:space="preserve">Readings → Manual entry. Choose site and month, then type three numbers: meter export (the record of account), inverter total, and the utility bill figure — plus optional auxiliary consumption. Each figure is stored as an append-only reading tagged MANUAL with your name on it. Bulk import (CSV, twelve months at once) validates every row first; either all rows commit or none do.</w:t>
            </w:r>
          </w:p>
        </w:tc>
      </w:tr>
    </w:tbl>
    <w:p>
      <w:pPr>
        <w:spacing w:after="120"/>
      </w:pPr>
    </w:p>
    <w:tbl>
      <w:tblPr>
        <w:tblW w:type="dxa" w:w="9360"/>
        <w:tblBorders>
          <w:top w:val="none"/>
          <w:left w:val="none"/>
          <w:bottom w:val="none"/>
          <w:right w:val="none"/>
          <w:insideH w:val="none"/>
          <w:insideV w:val="none"/>
        </w:tblBorders>
      </w:tblPr>
      <w:tblGrid>
        <w:gridCol w:w="9360"/>
      </w:tblGrid>
      <w:tr>
        <w:tc>
          <w:tcPr>
            <w:tcW w:type="dxa" w:w="9360"/>
            <w:shd w:fill="FAF0D8" w:val="clear"/>
            <w:tcMar>
              <w:top w:type="dxa" w:w="120"/>
              <w:left w:type="dxa" w:w="160"/>
              <w:bottom w:type="dxa" w:w="120"/>
              <w:right w:type="dxa" w:w="160"/>
            </w:tcMar>
          </w:tcPr>
          <w:p>
            <w:pPr>
              <w:spacing w:after="60"/>
            </w:pPr>
            <w:r>
              <w:rPr>
                <w:b/>
                <w:bCs/>
                <w:color w:val="846010"/>
                <w:sz w:val="18"/>
                <w:szCs w:val="18"/>
              </w:rPr>
              <w:t xml:space="preserve">ELI5 — EXPLAIN IT LIKE I’M FIVE</w:t>
            </w:r>
          </w:p>
          <w:p>
            <w:r>
              <w:rPr>
                <w:b w:val="false"/>
                <w:bCs w:val="false"/>
                <w:color w:val="1E2A2E"/>
              </w:rPr>
              <w:t xml:space="preserve">Three different witnesses saw how much electricity your plant made: the official meter, the inverter’s own diary, and the electric company’s bill. You write down what each witness says. Everything you type gets a loud yellow ✎ MANUAL badge — a typed number is never allowed to disguise itself as a measured one — and the system never forgets who held the pen.</w:t>
            </w:r>
          </w:p>
        </w:tc>
      </w:tr>
    </w:tbl>
    <w:p>
      <w:pPr>
        <w:spacing w:after="120"/>
      </w:pPr>
    </w:p>
    <w:p>
      <w:pPr>
        <w:pStyle w:val="Heading1"/>
        <w:spacing w:after="160" w:before="360"/>
      </w:pPr>
      <w:r>
        <w:rPr>
          <w:color w:val="1E2A2E"/>
        </w:rPr>
        <w:t xml:space="preserve">6. Reconciliation: making the numbers agree</w:t>
      </w:r>
    </w:p>
    <w:tbl>
      <w:tblPr>
        <w:tblW w:type="dxa" w:w="9360"/>
        <w:tblBorders>
          <w:top w:val="none"/>
          <w:left w:val="none"/>
          <w:bottom w:val="none"/>
          <w:right w:val="none"/>
          <w:insideH w:val="none"/>
          <w:insideV w:val="none"/>
        </w:tblBorders>
      </w:tblPr>
      <w:tblGrid>
        <w:gridCol w:w="9360"/>
      </w:tblGrid>
      <w:tr>
        <w:tc>
          <w:tcPr>
            <w:tcW w:type="dxa" w:w="9360"/>
            <w:shd w:fill="E6F0EF" w:val="clear"/>
            <w:tcMar>
              <w:top w:type="dxa" w:w="120"/>
              <w:left w:type="dxa" w:w="160"/>
              <w:bottom w:type="dxa" w:w="120"/>
              <w:right w:type="dxa" w:w="160"/>
            </w:tcMar>
          </w:tcPr>
          <w:p>
            <w:pPr>
              <w:spacing w:after="60"/>
            </w:pPr>
            <w:r>
              <w:rPr>
                <w:b/>
                <w:bCs/>
                <w:color w:val="256F6D"/>
                <w:sz w:val="18"/>
                <w:szCs w:val="18"/>
              </w:rPr>
              <w:t xml:space="preserve">CLEAR</w:t>
            </w:r>
          </w:p>
          <w:p>
            <w:r>
              <w:rPr>
                <w:b w:val="false"/>
                <w:bCs w:val="false"/>
                <w:color w:val="1E2A2E"/>
              </w:rPr>
              <w:t xml:space="preserve">Reconciliation compares the three sources. Within tolerance (default 2%): the period becomes RECONCILED and the meter value is adopted as the record of account. Outside tolerance: DISPUTED, and the period joins the exception queue. Resolutions require a reason from a controlled list plus a note; both go to the audit log. Two sources may reconcile (flagged); a single source needs recorded supervisor approval.</w:t>
            </w:r>
          </w:p>
        </w:tc>
      </w:tr>
    </w:tbl>
    <w:p>
      <w:pPr>
        <w:spacing w:after="120"/>
      </w:pPr>
    </w:p>
    <w:tbl>
      <w:tblPr>
        <w:tblW w:type="dxa" w:w="9360"/>
        <w:tblBorders>
          <w:top w:val="none"/>
          <w:left w:val="none"/>
          <w:bottom w:val="none"/>
          <w:right w:val="none"/>
          <w:insideH w:val="none"/>
          <w:insideV w:val="none"/>
        </w:tblBorders>
      </w:tblPr>
      <w:tblGrid>
        <w:gridCol w:w="9360"/>
      </w:tblGrid>
      <w:tr>
        <w:tc>
          <w:tcPr>
            <w:tcW w:type="dxa" w:w="9360"/>
            <w:shd w:fill="FAF0D8" w:val="clear"/>
            <w:tcMar>
              <w:top w:type="dxa" w:w="120"/>
              <w:left w:type="dxa" w:w="160"/>
              <w:bottom w:type="dxa" w:w="120"/>
              <w:right w:type="dxa" w:w="160"/>
            </w:tcMar>
          </w:tcPr>
          <w:p>
            <w:pPr>
              <w:spacing w:after="60"/>
            </w:pPr>
            <w:r>
              <w:rPr>
                <w:b/>
                <w:bCs/>
                <w:color w:val="846010"/>
                <w:sz w:val="18"/>
                <w:szCs w:val="18"/>
              </w:rPr>
              <w:t xml:space="preserve">ELI5 — EXPLAIN IT LIKE I’M FIVE</w:t>
            </w:r>
          </w:p>
          <w:p>
            <w:r>
              <w:rPr>
                <w:b w:val="false"/>
                <w:bCs w:val="false"/>
                <w:color w:val="1E2A2E"/>
              </w:rPr>
              <w:t xml:space="preserve">The three witnesses tell their stories. If they agree (small differences are normal — wires eat a little electricity), the case is closed and the official meter’s story goes in the book. If someone’s story is way off, a human detective must write down what happened before the book can be updated. No certificate is ever printed from a story that didn’t check out.</w:t>
            </w:r>
          </w:p>
        </w:tc>
      </w:tr>
    </w:tbl>
    <w:p>
      <w:pPr>
        <w:spacing w:after="120"/>
      </w:pPr>
    </w:p>
    <w:p>
      <w:pPr>
        <w:pStyle w:val="Heading1"/>
        <w:spacing w:after="160" w:before="360"/>
      </w:pPr>
      <w:r>
        <w:rPr>
          <w:color w:val="1E2A2E"/>
        </w:rPr>
        <w:t xml:space="preserve">7. The attribute ledger: where double-selling becomes impossible</w:t>
      </w:r>
    </w:p>
    <w:tbl>
      <w:tblPr>
        <w:tblW w:type="dxa" w:w="9360"/>
        <w:tblBorders>
          <w:top w:val="none"/>
          <w:left w:val="none"/>
          <w:bottom w:val="none"/>
          <w:right w:val="none"/>
          <w:insideH w:val="none"/>
          <w:insideV w:val="none"/>
        </w:tblBorders>
      </w:tblPr>
      <w:tblGrid>
        <w:gridCol w:w="9360"/>
      </w:tblGrid>
      <w:tr>
        <w:tc>
          <w:tcPr>
            <w:tcW w:type="dxa" w:w="9360"/>
            <w:shd w:fill="E6F0EF" w:val="clear"/>
            <w:tcMar>
              <w:top w:type="dxa" w:w="120"/>
              <w:left w:type="dxa" w:w="160"/>
              <w:bottom w:type="dxa" w:w="120"/>
              <w:right w:type="dxa" w:w="160"/>
            </w:tcMar>
          </w:tcPr>
          <w:p>
            <w:pPr>
              <w:spacing w:after="60"/>
            </w:pPr>
            <w:r>
              <w:rPr>
                <w:b/>
                <w:bCs/>
                <w:color w:val="256F6D"/>
                <w:sz w:val="18"/>
                <w:szCs w:val="18"/>
              </w:rPr>
              <w:t xml:space="preserve">CLEAR</w:t>
            </w:r>
          </w:p>
          <w:p>
            <w:r>
              <w:rPr>
                <w:b w:val="false"/>
                <w:bCs w:val="false"/>
                <w:color w:val="1E2A2E"/>
              </w:rPr>
              <w:t xml:space="preserve">Each reconciled month becomes exactly one attribute row per site — a database UNIQUE constraint guarantees a second one cannot exist. Attributes move MEASURED → RECONCILED → ELIGIBLE → ALLOCATED → ISSUED → TRANSFERRED → REDEEMED. Reaching ALLOCATED requires four guards: period reconciled, contract valid across the period, meter calibration covering the whole period, and a track assigned (I-REC or Carbon — assessed once, with a named assessor and written rationale, effectively irreversible). REDEEMED is terminal.</w:t>
            </w:r>
          </w:p>
        </w:tc>
      </w:tr>
    </w:tbl>
    <w:p>
      <w:pPr>
        <w:spacing w:after="120"/>
      </w:pPr>
    </w:p>
    <w:tbl>
      <w:tblPr>
        <w:tblW w:type="dxa" w:w="9360"/>
        <w:tblBorders>
          <w:top w:val="none"/>
          <w:left w:val="none"/>
          <w:bottom w:val="none"/>
          <w:right w:val="none"/>
          <w:insideH w:val="none"/>
          <w:insideV w:val="none"/>
        </w:tblBorders>
      </w:tblPr>
      <w:tblGrid>
        <w:gridCol w:w="9360"/>
      </w:tblGrid>
      <w:tr>
        <w:tc>
          <w:tcPr>
            <w:tcW w:type="dxa" w:w="9360"/>
            <w:shd w:fill="FAF0D8" w:val="clear"/>
            <w:tcMar>
              <w:top w:type="dxa" w:w="120"/>
              <w:left w:type="dxa" w:w="160"/>
              <w:bottom w:type="dxa" w:w="120"/>
              <w:right w:type="dxa" w:w="160"/>
            </w:tcMar>
          </w:tcPr>
          <w:p>
            <w:pPr>
              <w:spacing w:after="60"/>
            </w:pPr>
            <w:r>
              <w:rPr>
                <w:b/>
                <w:bCs/>
                <w:color w:val="846010"/>
                <w:sz w:val="18"/>
                <w:szCs w:val="18"/>
              </w:rPr>
              <w:t xml:space="preserve">ELI5 — EXPLAIN IT LIKE I’M FIVE</w:t>
            </w:r>
          </w:p>
          <w:p>
            <w:r>
              <w:rPr>
                <w:b w:val="false"/>
                <w:bCs w:val="false"/>
                <w:color w:val="1E2A2E"/>
              </w:rPr>
              <w:t xml:space="preserve">Think of each month of sunshine as a golden coin that can only be minted once. The vault door physically cannot mint a second coin for the same month — it isn’t a rule someone follows, it’s how the vault is built. Before any coin leaves, four locks must open: the numbers checked out, the paperwork was signed, the meter was certified, and someone decided what kind of coin it is.</w:t>
            </w:r>
          </w:p>
        </w:tc>
      </w:tr>
    </w:tbl>
    <w:p>
      <w:pPr>
        <w:spacing w:after="120"/>
      </w:pPr>
    </w:p>
    <w:p>
      <w:pPr>
        <w:pStyle w:val="Heading1"/>
        <w:spacing w:after="160" w:before="360"/>
      </w:pPr>
      <w:r>
        <w:rPr>
          <w:color w:val="1E2A2E"/>
        </w:rPr>
        <w:t xml:space="preserve">8. Issuance: turning attributes into certificates</w:t>
      </w:r>
    </w:p>
    <w:tbl>
      <w:tblPr>
        <w:tblW w:type="dxa" w:w="9360"/>
        <w:tblBorders>
          <w:top w:val="none"/>
          <w:left w:val="none"/>
          <w:bottom w:val="none"/>
          <w:right w:val="none"/>
          <w:insideH w:val="none"/>
          <w:insideV w:val="none"/>
        </w:tblBorders>
      </w:tblPr>
      <w:tblGrid>
        <w:gridCol w:w="9360"/>
      </w:tblGrid>
      <w:tr>
        <w:tc>
          <w:tcPr>
            <w:tcW w:type="dxa" w:w="9360"/>
            <w:shd w:fill="E6F0EF" w:val="clear"/>
            <w:tcMar>
              <w:top w:type="dxa" w:w="120"/>
              <w:left w:type="dxa" w:w="160"/>
              <w:bottom w:type="dxa" w:w="120"/>
              <w:right w:type="dxa" w:w="160"/>
            </w:tcMar>
          </w:tcPr>
          <w:p>
            <w:pPr>
              <w:spacing w:after="60"/>
            </w:pPr>
            <w:r>
              <w:rPr>
                <w:b/>
                <w:bCs/>
                <w:color w:val="256F6D"/>
                <w:sz w:val="18"/>
                <w:szCs w:val="18"/>
              </w:rPr>
              <w:t xml:space="preserve">CLEAR</w:t>
            </w:r>
          </w:p>
          <w:p>
            <w:r>
              <w:rPr>
                <w:b w:val="false"/>
                <w:bCs w:val="false"/>
                <w:color w:val="1E2A2E"/>
              </w:rPr>
              <w:t xml:space="preserve">Register the site with the I-REC Issuer (documents pull from the vault), then build an issue request from ALLOCATED attributes on the I-REC track. Volume comes from the ledger and is not editable. A pre-submission checklist shows every guard that passed. Sandbox attributes are rejected at the service boundary regardless of what the screen shows. Issued serial numbers bind permanently to their attribute rows.</w:t>
            </w:r>
          </w:p>
        </w:tc>
      </w:tr>
    </w:tbl>
    <w:p>
      <w:pPr>
        <w:spacing w:after="120"/>
      </w:pPr>
    </w:p>
    <w:tbl>
      <w:tblPr>
        <w:tblW w:type="dxa" w:w="9360"/>
        <w:tblBorders>
          <w:top w:val="none"/>
          <w:left w:val="none"/>
          <w:bottom w:val="none"/>
          <w:right w:val="none"/>
          <w:insideH w:val="none"/>
          <w:insideV w:val="none"/>
        </w:tblBorders>
      </w:tblPr>
      <w:tblGrid>
        <w:gridCol w:w="9360"/>
      </w:tblGrid>
      <w:tr>
        <w:tc>
          <w:tcPr>
            <w:tcW w:type="dxa" w:w="9360"/>
            <w:shd w:fill="FAF0D8" w:val="clear"/>
            <w:tcMar>
              <w:top w:type="dxa" w:w="120"/>
              <w:left w:type="dxa" w:w="160"/>
              <w:bottom w:type="dxa" w:w="120"/>
              <w:right w:type="dxa" w:w="160"/>
            </w:tcMar>
          </w:tcPr>
          <w:p>
            <w:pPr>
              <w:spacing w:after="60"/>
            </w:pPr>
            <w:r>
              <w:rPr>
                <w:b/>
                <w:bCs/>
                <w:color w:val="846010"/>
                <w:sz w:val="18"/>
                <w:szCs w:val="18"/>
              </w:rPr>
              <w:t xml:space="preserve">ELI5 — EXPLAIN IT LIKE I’M FIVE</w:t>
            </w:r>
          </w:p>
          <w:p>
            <w:r>
              <w:rPr>
                <w:b w:val="false"/>
                <w:bCs w:val="false"/>
                <w:color w:val="1E2A2E"/>
              </w:rPr>
              <w:t xml:space="preserve">This is where the coins go to the official mint and come back with serial numbers engraved on them. You can’t tell the mint how many coins you have — the vault counts them itself. And if a practice coin somehow sneaks into the bag, the door to the mint slams shut automatically.</w:t>
            </w:r>
          </w:p>
        </w:tc>
      </w:tr>
    </w:tbl>
    <w:p>
      <w:pPr>
        <w:spacing w:after="120"/>
      </w:pPr>
    </w:p>
    <w:p>
      <w:pPr>
        <w:pStyle w:val="Heading1"/>
        <w:spacing w:after="160" w:before="360"/>
      </w:pPr>
      <w:r>
        <w:rPr>
          <w:color w:val="1E2A2E"/>
        </w:rPr>
        <w:t xml:space="preserve">9. For site owners: “My solar”</w:t>
      </w:r>
    </w:p>
    <w:tbl>
      <w:tblPr>
        <w:tblW w:type="dxa" w:w="9360"/>
        <w:tblBorders>
          <w:top w:val="none"/>
          <w:left w:val="none"/>
          <w:bottom w:val="none"/>
          <w:right w:val="none"/>
          <w:insideH w:val="none"/>
          <w:insideV w:val="none"/>
        </w:tblBorders>
      </w:tblPr>
      <w:tblGrid>
        <w:gridCol w:w="9360"/>
      </w:tblGrid>
      <w:tr>
        <w:tc>
          <w:tcPr>
            <w:tcW w:type="dxa" w:w="9360"/>
            <w:shd w:fill="E6F0EF" w:val="clear"/>
            <w:tcMar>
              <w:top w:type="dxa" w:w="120"/>
              <w:left w:type="dxa" w:w="160"/>
              <w:bottom w:type="dxa" w:w="120"/>
              <w:right w:type="dxa" w:w="160"/>
            </w:tcMar>
          </w:tcPr>
          <w:p>
            <w:pPr>
              <w:spacing w:after="60"/>
            </w:pPr>
            <w:r>
              <w:rPr>
                <w:b/>
                <w:bCs/>
                <w:color w:val="256F6D"/>
                <w:sz w:val="18"/>
                <w:szCs w:val="18"/>
              </w:rPr>
              <w:t xml:space="preserve">CLEAR</w:t>
            </w:r>
          </w:p>
          <w:p>
            <w:r>
              <w:rPr>
                <w:b w:val="false"/>
                <w:bCs w:val="false"/>
                <w:color w:val="1E2A2E"/>
              </w:rPr>
              <w:t xml:space="preserve">Your portal shows monthly generation, certificate status, payout statements (MWh, rate, gross, deductions, net — in dram), and what you may and may not claim after selling your attributes, including your retained share and its downloadable claim statement.</w:t>
            </w:r>
          </w:p>
        </w:tc>
      </w:tr>
    </w:tbl>
    <w:p>
      <w:pPr>
        <w:spacing w:after="120"/>
      </w:pPr>
    </w:p>
    <w:tbl>
      <w:tblPr>
        <w:tblW w:type="dxa" w:w="9360"/>
        <w:tblBorders>
          <w:top w:val="none"/>
          <w:left w:val="none"/>
          <w:bottom w:val="none"/>
          <w:right w:val="none"/>
          <w:insideH w:val="none"/>
          <w:insideV w:val="none"/>
        </w:tblBorders>
      </w:tblPr>
      <w:tblGrid>
        <w:gridCol w:w="9360"/>
      </w:tblGrid>
      <w:tr>
        <w:tc>
          <w:tcPr>
            <w:tcW w:type="dxa" w:w="9360"/>
            <w:shd w:fill="FAF0D8" w:val="clear"/>
            <w:tcMar>
              <w:top w:type="dxa" w:w="120"/>
              <w:left w:type="dxa" w:w="160"/>
              <w:bottom w:type="dxa" w:w="120"/>
              <w:right w:type="dxa" w:w="160"/>
            </w:tcMar>
          </w:tcPr>
          <w:p>
            <w:pPr>
              <w:spacing w:after="60"/>
            </w:pPr>
            <w:r>
              <w:rPr>
                <w:b/>
                <w:bCs/>
                <w:color w:val="846010"/>
                <w:sz w:val="18"/>
                <w:szCs w:val="18"/>
              </w:rPr>
              <w:t xml:space="preserve">ELI5 — EXPLAIN IT LIKE I’M FIVE</w:t>
            </w:r>
          </w:p>
          <w:p>
            <w:r>
              <w:rPr>
                <w:b w:val="false"/>
                <w:bCs w:val="false"/>
                <w:color w:val="1E2A2E"/>
              </w:rPr>
              <w:t xml:space="preserve">Your page answers three questions: How much did my roof make? When do I get paid? What am I allowed to say about it? Once you sell the bragging rights for March, the buyer owns them — saying “my bakery ran on solar in March” would be selling the same thing twice, the one unforgivable sin in this business. The part you kept stays yours to brag about, with a paper that proves it.</w:t>
            </w:r>
          </w:p>
        </w:tc>
      </w:tr>
    </w:tbl>
    <w:p>
      <w:pPr>
        <w:spacing w:after="120"/>
      </w:pPr>
    </w:p>
    <w:p>
      <w:pPr>
        <w:pStyle w:val="Heading1"/>
        <w:spacing w:after="160" w:before="360"/>
      </w:pPr>
      <w:r>
        <w:rPr>
          <w:color w:val="1E2A2E"/>
        </w:rPr>
        <w:t xml:space="preserve">10. For installers: “Fleet”</w:t>
      </w:r>
    </w:p>
    <w:tbl>
      <w:tblPr>
        <w:tblW w:type="dxa" w:w="9360"/>
        <w:tblBorders>
          <w:top w:val="none"/>
          <w:left w:val="none"/>
          <w:bottom w:val="none"/>
          <w:right w:val="none"/>
          <w:insideH w:val="none"/>
          <w:insideV w:val="none"/>
        </w:tblBorders>
      </w:tblPr>
      <w:tblGrid>
        <w:gridCol w:w="9360"/>
      </w:tblGrid>
      <w:tr>
        <w:tc>
          <w:tcPr>
            <w:tcW w:type="dxa" w:w="9360"/>
            <w:shd w:fill="E6F0EF" w:val="clear"/>
            <w:tcMar>
              <w:top w:type="dxa" w:w="120"/>
              <w:left w:type="dxa" w:w="160"/>
              <w:bottom w:type="dxa" w:w="120"/>
              <w:right w:type="dxa" w:w="160"/>
            </w:tcMar>
          </w:tcPr>
          <w:p>
            <w:pPr>
              <w:spacing w:after="60"/>
            </w:pPr>
            <w:r>
              <w:rPr>
                <w:b/>
                <w:bCs/>
                <w:color w:val="256F6D"/>
                <w:sz w:val="18"/>
                <w:szCs w:val="18"/>
              </w:rPr>
              <w:t xml:space="preserve">CLEAR</w:t>
            </w:r>
          </w:p>
          <w:p>
            <w:r>
              <w:rPr>
                <w:b w:val="false"/>
                <w:bCs w:val="false"/>
                <w:color w:val="1E2A2E"/>
              </w:rPr>
              <w:t xml:space="preserve">Vendors see their whole installed base (including non-contracted sites), site statuses, and commission statements accrued from certificate sales of referred sites.</w:t>
            </w:r>
          </w:p>
        </w:tc>
      </w:tr>
    </w:tbl>
    <w:p>
      <w:pPr>
        <w:spacing w:after="120"/>
      </w:pPr>
    </w:p>
    <w:tbl>
      <w:tblPr>
        <w:tblW w:type="dxa" w:w="9360"/>
        <w:tblBorders>
          <w:top w:val="none"/>
          <w:left w:val="none"/>
          <w:bottom w:val="none"/>
          <w:right w:val="none"/>
          <w:insideH w:val="none"/>
          <w:insideV w:val="none"/>
        </w:tblBorders>
      </w:tblPr>
      <w:tblGrid>
        <w:gridCol w:w="9360"/>
      </w:tblGrid>
      <w:tr>
        <w:tc>
          <w:tcPr>
            <w:tcW w:type="dxa" w:w="9360"/>
            <w:shd w:fill="FAF0D8" w:val="clear"/>
            <w:tcMar>
              <w:top w:type="dxa" w:w="120"/>
              <w:left w:type="dxa" w:w="160"/>
              <w:bottom w:type="dxa" w:w="120"/>
              <w:right w:type="dxa" w:w="160"/>
            </w:tcMar>
          </w:tcPr>
          <w:p>
            <w:pPr>
              <w:spacing w:after="60"/>
            </w:pPr>
            <w:r>
              <w:rPr>
                <w:b/>
                <w:bCs/>
                <w:color w:val="846010"/>
                <w:sz w:val="18"/>
                <w:szCs w:val="18"/>
              </w:rPr>
              <w:t xml:space="preserve">ELI5 — EXPLAIN IT LIKE I’M FIVE</w:t>
            </w:r>
          </w:p>
          <w:p>
            <w:r>
              <w:rPr>
                <w:b w:val="false"/>
                <w:bCs w:val="false"/>
                <w:color w:val="1E2A2E"/>
              </w:rPr>
              <w:t xml:space="preserve">One screen showing every roof you’ve ever installed, whether it’s healthy, and how much pocket money each one sends you for having made the introduction.</w:t>
            </w:r>
          </w:p>
        </w:tc>
      </w:tr>
    </w:tbl>
    <w:p>
      <w:pPr>
        <w:spacing w:after="120"/>
      </w:pPr>
    </w:p>
    <w:p>
      <w:pPr>
        <w:pStyle w:val="Heading1"/>
        <w:spacing w:after="160" w:before="360"/>
      </w:pPr>
      <w:r>
        <w:rPr>
          <w:color w:val="1E2A2E"/>
        </w:rPr>
        <w:t xml:space="preserve">11. For auditors: the console</w:t>
      </w:r>
    </w:p>
    <w:tbl>
      <w:tblPr>
        <w:tblW w:type="dxa" w:w="9360"/>
        <w:tblBorders>
          <w:top w:val="none"/>
          <w:left w:val="none"/>
          <w:bottom w:val="none"/>
          <w:right w:val="none"/>
          <w:insideH w:val="none"/>
          <w:insideV w:val="none"/>
        </w:tblBorders>
      </w:tblPr>
      <w:tblGrid>
        <w:gridCol w:w="9360"/>
      </w:tblGrid>
      <w:tr>
        <w:tc>
          <w:tcPr>
            <w:tcW w:type="dxa" w:w="9360"/>
            <w:shd w:fill="E6F0EF" w:val="clear"/>
            <w:tcMar>
              <w:top w:type="dxa" w:w="120"/>
              <w:left w:type="dxa" w:w="160"/>
              <w:bottom w:type="dxa" w:w="120"/>
              <w:right w:type="dxa" w:w="160"/>
            </w:tcMar>
          </w:tcPr>
          <w:p>
            <w:pPr>
              <w:spacing w:after="60"/>
            </w:pPr>
            <w:r>
              <w:rPr>
                <w:b/>
                <w:bCs/>
                <w:color w:val="256F6D"/>
                <w:sz w:val="18"/>
                <w:szCs w:val="18"/>
              </w:rPr>
              <w:t xml:space="preserve">CLEAR</w:t>
            </w:r>
          </w:p>
          <w:p>
            <w:r>
              <w:rPr>
                <w:b w:val="false"/>
                <w:bCs w:val="false"/>
                <w:color w:val="1E2A2E"/>
              </w:rPr>
              <w:t xml:space="preserve">Auditor accounts are read-only, time-limited, and every view is itself logged. The console offers point-in-time reconstruction (pick any past date; contracts, factors and readings render as they stood), self-service hash-chain verification, and traceable calculations — every tonne figure lists the raw readings and factor version behind it.</w:t>
            </w:r>
          </w:p>
        </w:tc>
      </w:tr>
    </w:tbl>
    <w:p>
      <w:pPr>
        <w:spacing w:after="120"/>
      </w:pPr>
    </w:p>
    <w:tbl>
      <w:tblPr>
        <w:tblW w:type="dxa" w:w="9360"/>
        <w:tblBorders>
          <w:top w:val="none"/>
          <w:left w:val="none"/>
          <w:bottom w:val="none"/>
          <w:right w:val="none"/>
          <w:insideH w:val="none"/>
          <w:insideV w:val="none"/>
        </w:tblBorders>
      </w:tblPr>
      <w:tblGrid>
        <w:gridCol w:w="9360"/>
      </w:tblGrid>
      <w:tr>
        <w:tc>
          <w:tcPr>
            <w:tcW w:type="dxa" w:w="9360"/>
            <w:shd w:fill="FAF0D8" w:val="clear"/>
            <w:tcMar>
              <w:top w:type="dxa" w:w="120"/>
              <w:left w:type="dxa" w:w="160"/>
              <w:bottom w:type="dxa" w:w="120"/>
              <w:right w:type="dxa" w:w="160"/>
            </w:tcMar>
          </w:tcPr>
          <w:p>
            <w:pPr>
              <w:spacing w:after="60"/>
            </w:pPr>
            <w:r>
              <w:rPr>
                <w:b/>
                <w:bCs/>
                <w:color w:val="846010"/>
                <w:sz w:val="18"/>
                <w:szCs w:val="18"/>
              </w:rPr>
              <w:t xml:space="preserve">ELI5 — EXPLAIN IT LIKE I’M FIVE</w:t>
            </w:r>
          </w:p>
          <w:p>
            <w:r>
              <w:rPr>
                <w:b w:val="false"/>
                <w:bCs w:val="false"/>
                <w:color w:val="1E2A2E"/>
              </w:rPr>
              <w:t xml:space="preserve">The auditor gets a time machine and a lie detector. The time machine shows the office exactly as it was on any past day — the actual filing cabinet, not a reconstruction from memory. The lie detector checks that nobody quietly rewrote an old page: every page is glued to the previous one with mathematics, so editing one leaves visible scars. The auditor can press the “check the glue” button themselves — which is exactly why audits get cheaper every year.</w:t>
            </w:r>
          </w:p>
        </w:tc>
      </w:tr>
    </w:tbl>
    <w:p>
      <w:pPr>
        <w:spacing w:after="120"/>
      </w:pPr>
    </w:p>
    <w:p>
      <w:pPr>
        <w:pStyle w:val="Heading1"/>
        <w:spacing w:after="160" w:before="360"/>
      </w:pPr>
      <w:r>
        <w:rPr>
          <w:color w:val="1E2A2E"/>
        </w:rPr>
        <w:t xml:space="preserve">12. The safety rails, in one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F2F0EB" w:val="clear"/>
            <w:tcMar>
              <w:top w:type="dxa" w:w="80"/>
              <w:left w:type="dxa" w:w="120"/>
              <w:bottom w:type="dxa" w:w="80"/>
              <w:right w:type="dxa" w:w="120"/>
            </w:tcMar>
          </w:tcPr>
          <w:p>
            <w:r>
              <w:rPr>
                <w:b/>
                <w:bCs/>
                <w:color w:val="1E2A2E"/>
              </w:rPr>
              <w:t xml:space="preserve">The rail</w:t>
            </w:r>
          </w:p>
        </w:tc>
        <w:tc>
          <w:tcPr>
            <w:tcW w:type="dxa" w:w="6160"/>
            <w:shd w:fill="F2F0EB" w:val="clear"/>
            <w:tcMar>
              <w:top w:type="dxa" w:w="80"/>
              <w:left w:type="dxa" w:w="120"/>
              <w:bottom w:type="dxa" w:w="80"/>
              <w:right w:type="dxa" w:w="120"/>
            </w:tcMar>
          </w:tcPr>
          <w:p>
            <w:r>
              <w:rPr>
                <w:b/>
                <w:bCs/>
                <w:color w:val="1E2A2E"/>
              </w:rPr>
              <w:t xml:space="preserve">What it stops</w:t>
            </w:r>
          </w:p>
        </w:tc>
      </w:tr>
      <w:tr>
        <w:tc>
          <w:tcPr>
            <w:tcW w:type="dxa" w:w="3200"/>
            <w:tcMar>
              <w:top w:type="dxa" w:w="80"/>
              <w:left w:type="dxa" w:w="120"/>
              <w:bottom w:type="dxa" w:w="80"/>
              <w:right w:type="dxa" w:w="120"/>
            </w:tcMar>
          </w:tcPr>
          <w:p>
            <w:r>
              <w:rPr>
                <w:b/>
                <w:bCs/>
                <w:color w:val="1E2A2E"/>
              </w:rPr>
              <w:t xml:space="preserve">Append-only readings</w:t>
            </w:r>
          </w:p>
        </w:tc>
        <w:tc>
          <w:tcPr>
            <w:tcW w:type="dxa" w:w="6160"/>
            <w:tcMar>
              <w:top w:type="dxa" w:w="80"/>
              <w:left w:type="dxa" w:w="120"/>
              <w:bottom w:type="dxa" w:w="80"/>
              <w:right w:type="dxa" w:w="120"/>
            </w:tcMar>
          </w:tcPr>
          <w:p>
            <w:r>
              <w:rPr>
                <w:b w:val="false"/>
                <w:bCs w:val="false"/>
                <w:color w:val="1E2A2E"/>
              </w:rPr>
              <w:t xml:space="preserve">History being edited — the database role literally cannot UPDATE</w:t>
            </w:r>
          </w:p>
        </w:tc>
      </w:tr>
      <w:tr>
        <w:tc>
          <w:tcPr>
            <w:tcW w:type="dxa" w:w="3200"/>
            <w:tcMar>
              <w:top w:type="dxa" w:w="80"/>
              <w:left w:type="dxa" w:w="120"/>
              <w:bottom w:type="dxa" w:w="80"/>
              <w:right w:type="dxa" w:w="120"/>
            </w:tcMar>
          </w:tcPr>
          <w:p>
            <w:r>
              <w:rPr>
                <w:b/>
                <w:bCs/>
                <w:color w:val="1E2A2E"/>
              </w:rPr>
              <w:t xml:space="preserve">Hash chain + nightly check</w:t>
            </w:r>
          </w:p>
        </w:tc>
        <w:tc>
          <w:tcPr>
            <w:tcW w:type="dxa" w:w="6160"/>
            <w:tcMar>
              <w:top w:type="dxa" w:w="80"/>
              <w:left w:type="dxa" w:w="120"/>
              <w:bottom w:type="dxa" w:w="80"/>
              <w:right w:type="dxa" w:w="120"/>
            </w:tcMar>
          </w:tcPr>
          <w:p>
            <w:r>
              <w:rPr>
                <w:b w:val="false"/>
                <w:bCs w:val="false"/>
                <w:color w:val="1E2A2E"/>
              </w:rPr>
              <w:t xml:space="preserve">History being edited by anyone, even a superuser — visible within a day</w:t>
            </w:r>
          </w:p>
        </w:tc>
      </w:tr>
      <w:tr>
        <w:tc>
          <w:tcPr>
            <w:tcW w:type="dxa" w:w="3200"/>
            <w:tcMar>
              <w:top w:type="dxa" w:w="80"/>
              <w:left w:type="dxa" w:w="120"/>
              <w:bottom w:type="dxa" w:w="80"/>
              <w:right w:type="dxa" w:w="120"/>
            </w:tcMar>
          </w:tcPr>
          <w:p>
            <w:r>
              <w:rPr>
                <w:b/>
                <w:bCs/>
                <w:color w:val="1E2A2E"/>
              </w:rPr>
              <w:t xml:space="preserve">One attribute per period</w:t>
            </w:r>
          </w:p>
        </w:tc>
        <w:tc>
          <w:tcPr>
            <w:tcW w:type="dxa" w:w="6160"/>
            <w:tcMar>
              <w:top w:type="dxa" w:w="80"/>
              <w:left w:type="dxa" w:w="120"/>
              <w:bottom w:type="dxa" w:w="80"/>
              <w:right w:type="dxa" w:w="120"/>
            </w:tcMar>
          </w:tcPr>
          <w:p>
            <w:r>
              <w:rPr>
                <w:b w:val="false"/>
                <w:bCs w:val="false"/>
                <w:color w:val="1E2A2E"/>
              </w:rPr>
              <w:t xml:space="preserve">The same energy being certified twice</w:t>
            </w:r>
          </w:p>
        </w:tc>
      </w:tr>
      <w:tr>
        <w:tc>
          <w:tcPr>
            <w:tcW w:type="dxa" w:w="3200"/>
            <w:tcMar>
              <w:top w:type="dxa" w:w="80"/>
              <w:left w:type="dxa" w:w="120"/>
              <w:bottom w:type="dxa" w:w="80"/>
              <w:right w:type="dxa" w:w="120"/>
            </w:tcMar>
          </w:tcPr>
          <w:p>
            <w:r>
              <w:rPr>
                <w:b/>
                <w:bCs/>
                <w:color w:val="1E2A2E"/>
              </w:rPr>
              <w:t xml:space="preserve">Four allocation guards</w:t>
            </w:r>
          </w:p>
        </w:tc>
        <w:tc>
          <w:tcPr>
            <w:tcW w:type="dxa" w:w="6160"/>
            <w:tcMar>
              <w:top w:type="dxa" w:w="80"/>
              <w:left w:type="dxa" w:w="120"/>
              <w:bottom w:type="dxa" w:w="80"/>
              <w:right w:type="dxa" w:w="120"/>
            </w:tcMar>
          </w:tcPr>
          <w:p>
            <w:r>
              <w:rPr>
                <w:b w:val="false"/>
                <w:bCs w:val="false"/>
                <w:color w:val="1E2A2E"/>
              </w:rPr>
              <w:t xml:space="preserve">Certificates from unreconciled data, lapsed contracts or uncalibrated meters</w:t>
            </w:r>
          </w:p>
        </w:tc>
      </w:tr>
      <w:tr>
        <w:tc>
          <w:tcPr>
            <w:tcW w:type="dxa" w:w="3200"/>
            <w:tcMar>
              <w:top w:type="dxa" w:w="80"/>
              <w:left w:type="dxa" w:w="120"/>
              <w:bottom w:type="dxa" w:w="80"/>
              <w:right w:type="dxa" w:w="120"/>
            </w:tcMar>
          </w:tcPr>
          <w:p>
            <w:r>
              <w:rPr>
                <w:b/>
                <w:bCs/>
                <w:color w:val="1E2A2E"/>
              </w:rPr>
              <w:t xml:space="preserve">Sandbox gate</w:t>
            </w:r>
          </w:p>
        </w:tc>
        <w:tc>
          <w:tcPr>
            <w:tcW w:type="dxa" w:w="6160"/>
            <w:tcMar>
              <w:top w:type="dxa" w:w="80"/>
              <w:left w:type="dxa" w:w="120"/>
              <w:bottom w:type="dxa" w:w="80"/>
              <w:right w:type="dxa" w:w="120"/>
            </w:tcMar>
          </w:tcPr>
          <w:p>
            <w:r>
              <w:rPr>
                <w:b w:val="false"/>
                <w:bCs w:val="false"/>
                <w:color w:val="1E2A2E"/>
              </w:rPr>
              <w:t xml:space="preserve">A typed-in practice number ever becoming a real certificate</w:t>
            </w:r>
          </w:p>
        </w:tc>
      </w:tr>
      <w:tr>
        <w:tc>
          <w:tcPr>
            <w:tcW w:type="dxa" w:w="3200"/>
            <w:tcMar>
              <w:top w:type="dxa" w:w="80"/>
              <w:left w:type="dxa" w:w="120"/>
              <w:bottom w:type="dxa" w:w="80"/>
              <w:right w:type="dxa" w:w="120"/>
            </w:tcMar>
          </w:tcPr>
          <w:p>
            <w:r>
              <w:rPr>
                <w:b/>
                <w:bCs/>
                <w:color w:val="1E2A2E"/>
              </w:rPr>
              <w:t xml:space="preserve">MANUAL badge</w:t>
            </w:r>
          </w:p>
        </w:tc>
        <w:tc>
          <w:tcPr>
            <w:tcW w:type="dxa" w:w="6160"/>
            <w:tcMar>
              <w:top w:type="dxa" w:w="80"/>
              <w:left w:type="dxa" w:w="120"/>
              <w:bottom w:type="dxa" w:w="80"/>
              <w:right w:type="dxa" w:w="120"/>
            </w:tcMar>
          </w:tcPr>
          <w:p>
            <w:r>
              <w:rPr>
                <w:b w:val="false"/>
                <w:bCs w:val="false"/>
                <w:color w:val="1E2A2E"/>
              </w:rPr>
              <w:t xml:space="preserve">A typed number pretending to be a measured one</w:t>
            </w:r>
          </w:p>
        </w:tc>
      </w:tr>
      <w:tr>
        <w:tc>
          <w:tcPr>
            <w:tcW w:type="dxa" w:w="3200"/>
            <w:tcMar>
              <w:top w:type="dxa" w:w="80"/>
              <w:left w:type="dxa" w:w="120"/>
              <w:bottom w:type="dxa" w:w="80"/>
              <w:right w:type="dxa" w:w="120"/>
            </w:tcMar>
          </w:tcPr>
          <w:p>
            <w:r>
              <w:rPr>
                <w:b/>
                <w:bCs/>
                <w:color w:val="1E2A2E"/>
              </w:rPr>
              <w:t xml:space="preserve">Audit log on everything</w:t>
            </w:r>
          </w:p>
        </w:tc>
        <w:tc>
          <w:tcPr>
            <w:tcW w:type="dxa" w:w="6160"/>
            <w:tcMar>
              <w:top w:type="dxa" w:w="80"/>
              <w:left w:type="dxa" w:w="120"/>
              <w:bottom w:type="dxa" w:w="80"/>
              <w:right w:type="dxa" w:w="120"/>
            </w:tcMar>
          </w:tcPr>
          <w:p>
            <w:r>
              <w:rPr>
                <w:b w:val="false"/>
                <w:bCs w:val="false"/>
                <w:color w:val="1E2A2E"/>
              </w:rPr>
              <w:t xml:space="preserve">“Who changed this?” ever being unanswerable</w:t>
            </w:r>
          </w:p>
        </w:tc>
      </w:tr>
    </w:tbl>
    <w:p>
      <w:pPr>
        <w:spacing w:after="120"/>
      </w:pPr>
    </w:p>
    <w:tbl>
      <w:tblPr>
        <w:tblW w:type="dxa" w:w="9360"/>
        <w:tblBorders>
          <w:top w:val="none"/>
          <w:left w:val="none"/>
          <w:bottom w:val="none"/>
          <w:right w:val="none"/>
          <w:insideH w:val="none"/>
          <w:insideV w:val="none"/>
        </w:tblBorders>
      </w:tblPr>
      <w:tblGrid>
        <w:gridCol w:w="9360"/>
      </w:tblGrid>
      <w:tr>
        <w:tc>
          <w:tcPr>
            <w:tcW w:type="dxa" w:w="9360"/>
            <w:shd w:fill="FAF0D8" w:val="clear"/>
            <w:tcMar>
              <w:top w:type="dxa" w:w="120"/>
              <w:left w:type="dxa" w:w="160"/>
              <w:bottom w:type="dxa" w:w="120"/>
              <w:right w:type="dxa" w:w="160"/>
            </w:tcMar>
          </w:tcPr>
          <w:p>
            <w:pPr>
              <w:spacing w:after="60"/>
            </w:pPr>
            <w:r>
              <w:rPr>
                <w:b/>
                <w:bCs/>
                <w:color w:val="846010"/>
                <w:sz w:val="18"/>
                <w:szCs w:val="18"/>
              </w:rPr>
              <w:t xml:space="preserve">ELI5 — EXPLAIN IT LIKE I’M FIVE</w:t>
            </w:r>
          </w:p>
          <w:p>
            <w:r>
              <w:rPr>
                <w:b w:val="false"/>
                <w:bCs w:val="false"/>
                <w:color w:val="1E2A2E"/>
              </w:rPr>
              <w:t xml:space="preserve">In one sentence: the portal is built so that being honest is the only thing it is physically capable of.</w:t>
            </w:r>
          </w:p>
        </w:tc>
      </w:tr>
    </w:tbl>
    <w:p>
      <w:pPr>
        <w:pStyle w:val="Heading1"/>
        <w:spacing w:after="160" w:before="360"/>
      </w:pPr>
      <w:r>
        <w:rPr>
          <w:color w:val="1E2A2E"/>
        </w:rPr>
        <w:t xml:space="preserve">13. Everyday how-do-I…</w:t>
      </w:r>
    </w:p>
    <w:p>
      <w:pPr>
        <w:spacing w:after="100"/>
      </w:pPr>
      <w:r>
        <w:rPr>
          <w:b/>
          <w:bCs/>
          <w:color w:val="256F6D"/>
        </w:rPr>
        <w:t xml:space="preserve">…look up a word?  </w:t>
      </w:r>
      <w:r>
        <w:rPr>
          <w:color w:val="1E2A2E"/>
        </w:rPr>
        <w:t xml:space="preserve">Click any ⓘ icon, or open /glossary.</w:t>
      </w:r>
    </w:p>
    <w:p>
      <w:pPr>
        <w:spacing w:after="100"/>
      </w:pPr>
      <w:r>
        <w:rPr>
          <w:b/>
          <w:bCs/>
          <w:color w:val="256F6D"/>
        </w:rPr>
        <w:t xml:space="preserve">…enter last month’s numbers?  </w:t>
      </w:r>
      <w:r>
        <w:rPr>
          <w:color w:val="1E2A2E"/>
        </w:rPr>
        <w:t xml:space="preserve">Readings → Manual entry → pick site &amp; month → type the three figures → Save → Run reconciliation.</w:t>
      </w:r>
    </w:p>
    <w:p>
      <w:pPr>
        <w:spacing w:after="100"/>
      </w:pPr>
      <w:r>
        <w:rPr>
          <w:b/>
          <w:bCs/>
          <w:color w:val="256F6D"/>
        </w:rPr>
        <w:t xml:space="preserve">…see why a month is stuck?  </w:t>
      </w:r>
      <w:r>
        <w:rPr>
          <w:color w:val="1E2A2E"/>
        </w:rPr>
        <w:t xml:space="preserve">Reconciliation queue — the dispute card shows all three values and what to do next.</w:t>
      </w:r>
    </w:p>
    <w:p>
      <w:pPr>
        <w:spacing w:after="100"/>
      </w:pPr>
      <w:r>
        <w:rPr>
          <w:b/>
          <w:bCs/>
          <w:color w:val="256F6D"/>
        </w:rPr>
        <w:t xml:space="preserve">…sell certificates?  </w:t>
      </w:r>
      <w:r>
        <w:rPr>
          <w:color w:val="1E2A2E"/>
        </w:rPr>
        <w:t xml:space="preserve">They must be ALLOCATED first (Attributes page); then Issuance → build the request.</w:t>
      </w:r>
    </w:p>
    <w:p>
      <w:pPr>
        <w:spacing w:after="100"/>
      </w:pPr>
      <w:r>
        <w:rPr>
          <w:b/>
          <w:bCs/>
          <w:color w:val="256F6D"/>
        </w:rPr>
        <w:t xml:space="preserve">…add a new word to the dictionary?  </w:t>
      </w:r>
      <w:r>
        <w:rPr>
          <w:color w:val="1E2A2E"/>
        </w:rPr>
        <w:t xml:space="preserve">Admin → Glossary. Both languages, always — the form nags you about the missing half.</w:t>
      </w:r>
    </w:p>
    <w:p>
      <w:pPr>
        <w:spacing w:after="100"/>
      </w:pPr>
      <w:r>
        <w:rPr>
          <w:b/>
          <w:bCs/>
          <w:color w:val="256F6D"/>
        </w:rPr>
        <w:t xml:space="preserve">…kick a user out right now?  </w:t>
      </w:r>
      <w:r>
        <w:rPr>
          <w:color w:val="1E2A2E"/>
        </w:rPr>
        <w:t xml:space="preserve">Admin → Sessions → Revoke. Their very next click is refused.</w:t>
      </w:r>
    </w:p>
    <w:p>
      <w:pPr>
        <w:spacing w:after="100"/>
      </w:pPr>
      <w:r>
        <w:rPr>
          <w:b/>
          <w:bCs/>
          <w:color w:val="256F6D"/>
        </w:rPr>
        <w:t xml:space="preserve">…prove nothing was tampered with?  </w:t>
      </w:r>
      <w:r>
        <w:rPr>
          <w:color w:val="1E2A2E"/>
        </w:rPr>
        <w:t xml:space="preserve">Audit page (or the auditor console) → Run verification now.</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2E"/>
        <w:sz w:val="21"/>
        <w:szCs w:val="21"/>
      </w:rPr>
    </w:rPrDefault>
    <w:pPrDefault/>
  </w:docDefaults>
  <w:style w:type="paragraph" w:styleId="Title">
    <w:name w:val="Title"/>
    <w:basedOn w:val="Normal"/>
    <w:next w:val="Normal"/>
    <w:qFormat/>
    <w:rPr>
      <w:rFonts w:ascii="Calibri" w:cs="Calibri" w:eastAsia="Calibri" w:hAnsi="Calibri"/>
      <w:b/>
      <w:bCs/>
      <w:sz w:val="48"/>
      <w:szCs w:val="48"/>
    </w:rPr>
  </w:style>
  <w:style w:type="paragraph" w:styleId="Heading1">
    <w:name w:val="Heading 1"/>
    <w:basedOn w:val="Normal"/>
    <w:next w:val="Normal"/>
    <w:qFormat/>
    <w:rPr>
      <w:rFonts w:ascii="Calibri" w:cs="Calibri" w:eastAsia="Calibri" w:hAnsi="Calibri"/>
      <w:b/>
      <w:bCs/>
      <w:color w:val="256F6D"/>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2026-08-07T11:06:25.334Z</dcterms:created>
  <dcterms:modified xsi:type="dcterms:W3CDTF">2026-08-07T11:06:25.334Z</dcterms:modified>
</cp:coreProperties>
</file>

<file path=docProps/custom.xml><?xml version="1.0" encoding="utf-8"?>
<Properties xmlns="http://schemas.openxmlformats.org/officeDocument/2006/custom-properties" xmlns:vt="http://schemas.openxmlformats.org/officeDocument/2006/docPropsVTypes"/>
</file>