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color w:val="256F6D"/>
        </w:rPr>
        <w:t xml:space="preserve">Attribute Origination Portal</w:t>
      </w:r>
    </w:p>
    <w:p>
      <w:pPr>
        <w:spacing w:after="60"/>
        <w:jc w:val="center"/>
      </w:pPr>
      <w:r>
        <w:rPr>
          <w:color w:val="1E2A2E"/>
          <w:sz w:val="24"/>
          <w:szCs w:val="24"/>
        </w:rPr>
        <w:t xml:space="preserve">User Guide — clear version and ELI5 version, side by side</w:t>
      </w:r>
    </w:p>
    <w:p>
      <w:pPr>
        <w:spacing w:after="300"/>
        <w:jc w:val="center"/>
      </w:pPr>
      <w:r>
        <w:rPr>
          <w:i/>
          <w:iCs/>
          <w:color w:val="68777B"/>
          <w:sz w:val="20"/>
          <w:szCs w:val="20"/>
        </w:rPr>
        <w:t xml:space="preserve">Every section comes twice: a clear explanation, then an “explain it like I’m five” retelling. They say the same thing — read whichever suits you.</w:t>
      </w:r>
    </w:p>
    <w:p>
      <w:pPr>
        <w:pStyle w:val="Heading1"/>
        <w:spacing w:after="160" w:before="360"/>
      </w:pPr>
      <w:r>
        <w:rPr>
          <w:color w:val="1E2A2E"/>
        </w:rPr>
        <w:t xml:space="preserve">1. What is this portal?</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portal collects your solar generation data, checks it from three independent sources, converts it into certified environmental attributes (I-RECs and carbon credits), sells them, and pays site owners — while keeping a tamper-evident audit trail an external auditor can verify years later.</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Your solar panels make two things: electricity, and bragging rights that the electricity was clean. Companies pay real money for those bragging rights. This portal is the machine that collects the proof, gets the bragging rights officially certified, sells them, and sends you your share — and it keeps receipts for everything, forever, so nobody can ever accuse anyone of cheating.</w:t>
            </w:r>
          </w:p>
        </w:tc>
      </w:tr>
    </w:tbl>
    <w:p>
      <w:pPr>
        <w:spacing w:after="120"/>
      </w:pPr>
    </w:p>
    <w:p>
      <w:pPr>
        <w:pStyle w:val="Heading1"/>
        <w:spacing w:after="160" w:before="360"/>
      </w:pPr>
      <w:r>
        <w:rPr>
          <w:color w:val="1E2A2E"/>
        </w:rPr>
        <w:t xml:space="preserve">2. Signing in</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Enter your email and password. The interface is in Armenian by default; switch with the Հայերեն / English buttons on the login page. Your role decides what you see: operators land on the console, owners on “My solar”, installers on “Fleet”, auditors on the auditor console. Every strange word has a small ⓘ icon next to it — hover for one line, click for a plain-language explanation with an example. The full dictionary lives at /glossary.</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One door, but it opens onto different rooms depending on who you are. A bakery owner sees their earnings; an auditor sees the evidence room; the operations team sees the engine room. You can’t wander into a room that isn’t yours — the doors are actually locked, not just hidden. And whenever a word looks scary, click the little ⓘ and it explains itself like a patient friend.</w:t>
            </w:r>
          </w:p>
        </w:tc>
      </w:tr>
    </w:tbl>
    <w:p>
      <w:pPr>
        <w:spacing w:after="120"/>
      </w:pPr>
    </w:p>
    <w:p>
      <w:pPr>
        <w:pStyle w:val="Heading1"/>
        <w:spacing w:after="160" w:before="360"/>
      </w:pPr>
      <w:r>
        <w:rPr>
          <w:color w:val="1E2A2E"/>
        </w:rPr>
        <w:t xml:space="preserve">3. The coloured strip at the top</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strip shows which environment you are in: LOCAL (grey), SANDBOX (yellow), PRODUCTION (green). Sandbox sites additionally show a yellow 🧪 banner on every screen.</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Yellow means practice mode — like a flight simulator wired into a real cockpit. All the buttons work, but the plane cannot take off: sandbox data is physically blocked from ever reaching the real certificate registry. Practice fearlessly when you see yellow.</w:t>
            </w:r>
          </w:p>
        </w:tc>
      </w:tr>
    </w:tbl>
    <w:p>
      <w:pPr>
        <w:spacing w:after="120"/>
      </w:pPr>
    </w:p>
    <w:p>
      <w:pPr>
        <w:pStyle w:val="Heading1"/>
        <w:spacing w:after="160" w:before="360"/>
      </w:pPr>
      <w:r>
        <w:rPr>
          <w:color w:val="1E2A2E"/>
        </w:rPr>
        <w:t xml:space="preserve">4. For field technicians: creating a site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Sites → + New site. A four-step wizard: identity (site name, owner, tax ID) → technical (capacity, inverter, modules, tilt) → location (GPS capture with manual override) → review. The draft auto-saves locally, so losing signal mid-wizard loses nothing. After creation, sites move through a fixed lifecycle (LEAD → QUALIFYING → CONTRACTED → METERED → COMMISSIONED → ASSESSED → PRODUCING); every move is recorded, and illegal jumps are refused with an explanation.</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It’s like filling a passport application for the solar plant, on your phone, while standing next to it. The app remembers everything you typed even if the connection drops in the mountains. Press the GPS button and the phone writes down exactly where the plant lives.</w:t>
            </w:r>
          </w:p>
        </w:tc>
      </w:tr>
    </w:tbl>
    <w:p>
      <w:pPr>
        <w:spacing w:after="120"/>
      </w:pPr>
    </w:p>
    <w:p>
      <w:pPr>
        <w:pStyle w:val="Heading1"/>
        <w:spacing w:after="160" w:before="360"/>
      </w:pPr>
      <w:r>
        <w:rPr>
          <w:color w:val="1E2A2E"/>
        </w:rPr>
        <w:t xml:space="preserve">5. Entering generation data by hand</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Readings → Manual entry. Choose site and month, then type three numbers: meter export (the record of account), inverter total, and the utility bill figure — plus optional auxiliary consumption. Each figure is stored as an append-only reading tagged MANUAL with your name on it. Bulk import (CSV, twelve months at once) validates every row first; either all rows commit or none do.</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Three different witnesses saw how much electricity your plant made: the official meter, the inverter’s own diary, and the electric company’s bill. You write down what each witness says. Everything you type gets a loud yellow ✎ MANUAL badge — a typed number is never allowed to disguise itself as a measured one — and the system never forgets who held the pen.</w:t>
            </w:r>
          </w:p>
        </w:tc>
      </w:tr>
    </w:tbl>
    <w:p>
      <w:pPr>
        <w:spacing w:after="120"/>
      </w:pPr>
    </w:p>
    <w:p>
      <w:pPr>
        <w:pStyle w:val="Heading1"/>
        <w:spacing w:after="160" w:before="360"/>
      </w:pPr>
      <w:r>
        <w:rPr>
          <w:color w:val="1E2A2E"/>
        </w:rPr>
        <w:t xml:space="preserve">5B. ENA billing data: the official numbers (Revision R1)</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The portal’s official generation record comes from ENA billing data, with the owner’s recorded consent — ENA already operates a certified, sealed meter at every grid connection. Bills arrive by feed, file drop, per-site request or owner upload; the parser extracts account, period, export and import; and a human analyst confirms every figure before it becomes a reading. ENA data lags 30–45 days, so periods show AWAITING_SOURCE and owners see clearly-marked provisional inverter figures until the official number lands. A coverage dashboard shows every site and period as received, awaited or overdue.</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Instead of installing a second electricity meter on your roof, we ask the electric company — with your written permission — for the official number they already measure (they have to: they pay you for it). Their letter takes about a month, so meanwhile the portal shows your inverter’s estimate with a big “not official yet” sticker. When the letter comes, a human reads it and checks the numbers — only then do they count. And the app number will never match the official one: the inverter counts everything your panels made, ENA counts only what left the building. The difference is what you used yourself — great for your bill, but not what certificates are issued on. The portal knows this and never raises a false alarm about it.</w:t>
            </w:r>
          </w:p>
        </w:tc>
      </w:tr>
    </w:tbl>
    <w:p>
      <w:pPr>
        <w:spacing w:after="120"/>
      </w:pPr>
    </w:p>
    <w:p>
      <w:pPr>
        <w:pStyle w:val="Heading1"/>
        <w:spacing w:after="160" w:before="360"/>
      </w:pPr>
      <w:r>
        <w:rPr>
          <w:color w:val="1E2A2E"/>
        </w:rPr>
        <w:t xml:space="preserve">6. Reconciliation: making the numbers agree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Reconciliation compares the three sources. Within tolerance (default 2%): the period becomes RECONCILED and the meter value is adopted as the record of account. Outside tolerance: DISPUTED, and the period joins the exception queue. Resolutions require a reason from a controlled list plus a note; both go to the audit log. Two sources may reconcile (flagged); a single source needs recorded supervisor approval.</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three witnesses tell their stories. If they agree (small differences are normal — wires eat a little electricity), the case is closed and the official meter’s story goes in the book. If someone’s story is way off, a human detective must write down what happened before the book can be updated. No certificate is ever printed from a story that didn’t check out.</w:t>
            </w:r>
          </w:p>
        </w:tc>
      </w:tr>
    </w:tbl>
    <w:p>
      <w:pPr>
        <w:spacing w:after="120"/>
      </w:pPr>
    </w:p>
    <w:p>
      <w:pPr>
        <w:pStyle w:val="Heading1"/>
        <w:spacing w:after="160" w:before="360"/>
      </w:pPr>
      <w:r>
        <w:rPr>
          <w:color w:val="1E2A2E"/>
        </w:rPr>
        <w:t xml:space="preserve">7. The attribute ledger: where double-selling becomes impossible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Each reconciled month becomes exactly one attribute row per site — a database UNIQUE constraint guarantees a second one cannot exist. Attributes move MEASURED → RECONCILED → ELIGIBLE → ALLOCATED → ISSUED → TRANSFERRED → REDEEMED. Reaching ALLOCATED requires four guards: period reconciled, contract valid across the period, meter calibration covering the whole period, and a track assigned (I-REC or Carbon — assessed once, with a named assessor and written rationale, effectively irreversible). REDEEMED is terminal.</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Think of each month of sunshine as a golden coin that can only be minted once. The vault door physically cannot mint a second coin for the same month — it isn’t a rule someone follows, it’s how the vault is built. Before any coin leaves, four locks must open: the numbers checked out, the paperwork was signed, the meter was certified, and someone decided what kind of coin it is.</w:t>
            </w:r>
          </w:p>
        </w:tc>
      </w:tr>
    </w:tbl>
    <w:p>
      <w:pPr>
        <w:spacing w:after="120"/>
      </w:pPr>
    </w:p>
    <w:p>
      <w:pPr>
        <w:pStyle w:val="Heading1"/>
        <w:spacing w:after="160" w:before="360"/>
      </w:pPr>
      <w:r>
        <w:rPr>
          <w:color w:val="1E2A2E"/>
        </w:rPr>
        <w:t xml:space="preserve">8. Issuance: turning attributes into certificates</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Register the site with the I-REC Issuer (documents pull from the vault), then build an issue request from ALLOCATED attributes on the I-REC track. Volume comes from the ledger and is not editable. A pre-submission checklist shows every guard that passed. Sandbox attributes are rejected at the service boundary regardless of what the screen shows. Issued serial numbers bind permanently to their attribute rows.</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This is where the coins go to the official mint and come back with serial numbers engraved on them. You can’t tell the mint how many coins you have — the vault counts them itself. And if a practice coin somehow sneaks into the bag, the door to the mint slams shut automatically.</w:t>
            </w:r>
          </w:p>
        </w:tc>
      </w:tr>
    </w:tbl>
    <w:p>
      <w:pPr>
        <w:spacing w:after="120"/>
      </w:pPr>
    </w:p>
    <w:p>
      <w:pPr>
        <w:pStyle w:val="Heading1"/>
        <w:spacing w:after="160" w:before="360"/>
      </w:pPr>
      <w:r>
        <w:rPr>
          <w:color w:val="1E2A2E"/>
        </w:rPr>
        <w:t xml:space="preserve">9. For site owners: “My solar”</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Your portal shows monthly generation, certificate status, payout statements (MWh, rate, gross, deductions, net — in dram), and what you may and may not claim after selling your attributes, including your retained share and its downloadable claim statement.</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Your page answers three questions: How much did my roof make? When do I get paid? What am I allowed to say about it? Once you sell the bragging rights for March, the buyer owns them — saying “my bakery ran on solar in March” would be selling the same thing twice, the one unforgivable sin in this business. The part you kept stays yours to brag about, with a paper that proves it.</w:t>
            </w:r>
          </w:p>
        </w:tc>
      </w:tr>
    </w:tbl>
    <w:p>
      <w:pPr>
        <w:spacing w:after="120"/>
      </w:pPr>
    </w:p>
    <w:p>
      <w:pPr>
        <w:pStyle w:val="Heading1"/>
        <w:spacing w:after="160" w:before="360"/>
      </w:pPr>
      <w:r>
        <w:rPr>
          <w:color w:val="1E2A2E"/>
        </w:rPr>
        <w:t xml:space="preserve">10. For installers: “Fleet”</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Vendors see their whole installed base (including non-contracted sites), site statuses, and commission statements accrued from certificate sales of referred sites.</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One screen showing every roof you’ve ever installed, whether it’s healthy, and how much pocket money each one sends you for having made the introduction.</w:t>
            </w:r>
          </w:p>
        </w:tc>
      </w:tr>
    </w:tbl>
    <w:p>
      <w:pPr>
        <w:spacing w:after="120"/>
      </w:pPr>
    </w:p>
    <w:p>
      <w:pPr>
        <w:pStyle w:val="Heading1"/>
        <w:spacing w:after="160" w:before="360"/>
      </w:pPr>
      <w:r>
        <w:rPr>
          <w:color w:val="1E2A2E"/>
        </w:rPr>
        <w:t xml:space="preserve">11. For auditors: the console</w:t>
      </w:r>
    </w:p>
    <w:tbl>
      <w:tblPr>
        <w:tblW w:type="dxa" w:w="9360"/>
        <w:tblBorders>
          <w:top w:val="none"/>
          <w:left w:val="none"/>
          <w:bottom w:val="none"/>
          <w:right w:val="none"/>
          <w:insideH w:val="none"/>
          <w:insideV w:val="none"/>
        </w:tblBorders>
      </w:tblPr>
      <w:tblGrid>
        <w:gridCol w:w="9360"/>
      </w:tblGrid>
      <w:tr>
        <w:tc>
          <w:tcPr>
            <w:tcW w:type="dxa" w:w="9360"/>
            <w:shd w:fill="E6F0EF" w:val="clear"/>
            <w:tcMar>
              <w:top w:type="dxa" w:w="120"/>
              <w:left w:type="dxa" w:w="160"/>
              <w:bottom w:type="dxa" w:w="120"/>
              <w:right w:type="dxa" w:w="160"/>
            </w:tcMar>
          </w:tcPr>
          <w:p>
            <w:pPr>
              <w:spacing w:after="60"/>
            </w:pPr>
            <w:r>
              <w:rPr>
                <w:b/>
                <w:bCs/>
                <w:color w:val="256F6D"/>
                <w:sz w:val="18"/>
                <w:szCs w:val="18"/>
              </w:rPr>
              <w:t xml:space="preserve">CLEAR</w:t>
            </w:r>
          </w:p>
          <w:p>
            <w:r>
              <w:rPr>
                <w:b w:val="false"/>
                <w:bCs w:val="false"/>
                <w:color w:val="1E2A2E"/>
              </w:rPr>
              <w:t xml:space="preserve">Auditor accounts are read-only, time-limited, and every view is itself logged. The console offers point-in-time reconstruction (pick any past date; contracts, factors and readings render as they stood), self-service hash-chain verification, and traceable calculations — every tonne figure lists the raw readings and factor version behind it.</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The auditor gets a time machine and a lie detector. The time machine shows the office exactly as it was on any past day — the actual filing cabinet, not a reconstruction from memory. The lie detector checks that nobody quietly rewrote an old page: every page is glued to the previous one with mathematics, so editing one leaves visible scars. The auditor can press the “check the glue” button themselves — which is exactly why audits get cheaper every year.</w:t>
            </w:r>
          </w:p>
        </w:tc>
      </w:tr>
    </w:tbl>
    <w:p>
      <w:pPr>
        <w:spacing w:after="120"/>
      </w:pPr>
    </w:p>
    <w:p>
      <w:pPr>
        <w:pStyle w:val="Heading1"/>
        <w:spacing w:after="160" w:before="360"/>
      </w:pPr>
      <w:r>
        <w:rPr>
          <w:color w:val="1E2A2E"/>
        </w:rPr>
        <w:t xml:space="preserve">12. The safety rails,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0EB" w:val="clear"/>
            <w:tcMar>
              <w:top w:type="dxa" w:w="80"/>
              <w:left w:type="dxa" w:w="120"/>
              <w:bottom w:type="dxa" w:w="80"/>
              <w:right w:type="dxa" w:w="120"/>
            </w:tcMar>
          </w:tcPr>
          <w:p>
            <w:r>
              <w:rPr>
                <w:b/>
                <w:bCs/>
                <w:color w:val="1E2A2E"/>
              </w:rPr>
              <w:t xml:space="preserve">The rail</w:t>
            </w:r>
          </w:p>
        </w:tc>
        <w:tc>
          <w:tcPr>
            <w:tcW w:type="dxa" w:w="6160"/>
            <w:shd w:fill="F2F0EB" w:val="clear"/>
            <w:tcMar>
              <w:top w:type="dxa" w:w="80"/>
              <w:left w:type="dxa" w:w="120"/>
              <w:bottom w:type="dxa" w:w="80"/>
              <w:right w:type="dxa" w:w="120"/>
            </w:tcMar>
          </w:tcPr>
          <w:p>
            <w:r>
              <w:rPr>
                <w:b/>
                <w:bCs/>
                <w:color w:val="1E2A2E"/>
              </w:rPr>
              <w:t xml:space="preserve">What it stops</w:t>
            </w:r>
          </w:p>
        </w:tc>
      </w:tr>
      <w:tr>
        <w:tc>
          <w:tcPr>
            <w:tcW w:type="dxa" w:w="3200"/>
            <w:tcMar>
              <w:top w:type="dxa" w:w="80"/>
              <w:left w:type="dxa" w:w="120"/>
              <w:bottom w:type="dxa" w:w="80"/>
              <w:right w:type="dxa" w:w="120"/>
            </w:tcMar>
          </w:tcPr>
          <w:p>
            <w:r>
              <w:rPr>
                <w:b/>
                <w:bCs/>
                <w:color w:val="1E2A2E"/>
              </w:rPr>
              <w:t xml:space="preserve">Append-only readings</w:t>
            </w:r>
          </w:p>
        </w:tc>
        <w:tc>
          <w:tcPr>
            <w:tcW w:type="dxa" w:w="6160"/>
            <w:tcMar>
              <w:top w:type="dxa" w:w="80"/>
              <w:left w:type="dxa" w:w="120"/>
              <w:bottom w:type="dxa" w:w="80"/>
              <w:right w:type="dxa" w:w="120"/>
            </w:tcMar>
          </w:tcPr>
          <w:p>
            <w:r>
              <w:rPr>
                <w:b w:val="false"/>
                <w:bCs w:val="false"/>
                <w:color w:val="1E2A2E"/>
              </w:rPr>
              <w:t xml:space="preserve">History being edited — the database role literally cannot UPDATE</w:t>
            </w:r>
          </w:p>
        </w:tc>
      </w:tr>
      <w:tr>
        <w:tc>
          <w:tcPr>
            <w:tcW w:type="dxa" w:w="3200"/>
            <w:tcMar>
              <w:top w:type="dxa" w:w="80"/>
              <w:left w:type="dxa" w:w="120"/>
              <w:bottom w:type="dxa" w:w="80"/>
              <w:right w:type="dxa" w:w="120"/>
            </w:tcMar>
          </w:tcPr>
          <w:p>
            <w:r>
              <w:rPr>
                <w:b/>
                <w:bCs/>
                <w:color w:val="1E2A2E"/>
              </w:rPr>
              <w:t xml:space="preserve">Hash chain + nightly check</w:t>
            </w:r>
          </w:p>
        </w:tc>
        <w:tc>
          <w:tcPr>
            <w:tcW w:type="dxa" w:w="6160"/>
            <w:tcMar>
              <w:top w:type="dxa" w:w="80"/>
              <w:left w:type="dxa" w:w="120"/>
              <w:bottom w:type="dxa" w:w="80"/>
              <w:right w:type="dxa" w:w="120"/>
            </w:tcMar>
          </w:tcPr>
          <w:p>
            <w:r>
              <w:rPr>
                <w:b w:val="false"/>
                <w:bCs w:val="false"/>
                <w:color w:val="1E2A2E"/>
              </w:rPr>
              <w:t xml:space="preserve">History being edited by anyone, even a superuser — visible within a day</w:t>
            </w:r>
          </w:p>
        </w:tc>
      </w:tr>
      <w:tr>
        <w:tc>
          <w:tcPr>
            <w:tcW w:type="dxa" w:w="3200"/>
            <w:tcMar>
              <w:top w:type="dxa" w:w="80"/>
              <w:left w:type="dxa" w:w="120"/>
              <w:bottom w:type="dxa" w:w="80"/>
              <w:right w:type="dxa" w:w="120"/>
            </w:tcMar>
          </w:tcPr>
          <w:p>
            <w:r>
              <w:rPr>
                <w:b/>
                <w:bCs/>
                <w:color w:val="1E2A2E"/>
              </w:rPr>
              <w:t xml:space="preserve">One attribute per period</w:t>
            </w:r>
          </w:p>
        </w:tc>
        <w:tc>
          <w:tcPr>
            <w:tcW w:type="dxa" w:w="6160"/>
            <w:tcMar>
              <w:top w:type="dxa" w:w="80"/>
              <w:left w:type="dxa" w:w="120"/>
              <w:bottom w:type="dxa" w:w="80"/>
              <w:right w:type="dxa" w:w="120"/>
            </w:tcMar>
          </w:tcPr>
          <w:p>
            <w:r>
              <w:rPr>
                <w:b w:val="false"/>
                <w:bCs w:val="false"/>
                <w:color w:val="1E2A2E"/>
              </w:rPr>
              <w:t xml:space="preserve">The same energy being certified twice</w:t>
            </w:r>
          </w:p>
        </w:tc>
      </w:tr>
      <w:tr>
        <w:tc>
          <w:tcPr>
            <w:tcW w:type="dxa" w:w="3200"/>
            <w:tcMar>
              <w:top w:type="dxa" w:w="80"/>
              <w:left w:type="dxa" w:w="120"/>
              <w:bottom w:type="dxa" w:w="80"/>
              <w:right w:type="dxa" w:w="120"/>
            </w:tcMar>
          </w:tcPr>
          <w:p>
            <w:r>
              <w:rPr>
                <w:b/>
                <w:bCs/>
                <w:color w:val="1E2A2E"/>
              </w:rPr>
              <w:t xml:space="preserve">Four allocation guards</w:t>
            </w:r>
          </w:p>
        </w:tc>
        <w:tc>
          <w:tcPr>
            <w:tcW w:type="dxa" w:w="6160"/>
            <w:tcMar>
              <w:top w:type="dxa" w:w="80"/>
              <w:left w:type="dxa" w:w="120"/>
              <w:bottom w:type="dxa" w:w="80"/>
              <w:right w:type="dxa" w:w="120"/>
            </w:tcMar>
          </w:tcPr>
          <w:p>
            <w:r>
              <w:rPr>
                <w:b w:val="false"/>
                <w:bCs w:val="false"/>
                <w:color w:val="1E2A2E"/>
              </w:rPr>
              <w:t xml:space="preserve">Certificates from unreconciled data, lapsed contracts or uncalibrated meters</w:t>
            </w:r>
          </w:p>
        </w:tc>
      </w:tr>
      <w:tr>
        <w:tc>
          <w:tcPr>
            <w:tcW w:type="dxa" w:w="3200"/>
            <w:tcMar>
              <w:top w:type="dxa" w:w="80"/>
              <w:left w:type="dxa" w:w="120"/>
              <w:bottom w:type="dxa" w:w="80"/>
              <w:right w:type="dxa" w:w="120"/>
            </w:tcMar>
          </w:tcPr>
          <w:p>
            <w:r>
              <w:rPr>
                <w:b/>
                <w:bCs/>
                <w:color w:val="1E2A2E"/>
              </w:rPr>
              <w:t xml:space="preserve">Sandbox gate</w:t>
            </w:r>
          </w:p>
        </w:tc>
        <w:tc>
          <w:tcPr>
            <w:tcW w:type="dxa" w:w="6160"/>
            <w:tcMar>
              <w:top w:type="dxa" w:w="80"/>
              <w:left w:type="dxa" w:w="120"/>
              <w:bottom w:type="dxa" w:w="80"/>
              <w:right w:type="dxa" w:w="120"/>
            </w:tcMar>
          </w:tcPr>
          <w:p>
            <w:r>
              <w:rPr>
                <w:b w:val="false"/>
                <w:bCs w:val="false"/>
                <w:color w:val="1E2A2E"/>
              </w:rPr>
              <w:t xml:space="preserve">A typed-in practice number ever becoming a real certificate</w:t>
            </w:r>
          </w:p>
        </w:tc>
      </w:tr>
      <w:tr>
        <w:tc>
          <w:tcPr>
            <w:tcW w:type="dxa" w:w="3200"/>
            <w:tcMar>
              <w:top w:type="dxa" w:w="80"/>
              <w:left w:type="dxa" w:w="120"/>
              <w:bottom w:type="dxa" w:w="80"/>
              <w:right w:type="dxa" w:w="120"/>
            </w:tcMar>
          </w:tcPr>
          <w:p>
            <w:r>
              <w:rPr>
                <w:b/>
                <w:bCs/>
                <w:color w:val="1E2A2E"/>
              </w:rPr>
              <w:t xml:space="preserve">MANUAL badge</w:t>
            </w:r>
          </w:p>
        </w:tc>
        <w:tc>
          <w:tcPr>
            <w:tcW w:type="dxa" w:w="6160"/>
            <w:tcMar>
              <w:top w:type="dxa" w:w="80"/>
              <w:left w:type="dxa" w:w="120"/>
              <w:bottom w:type="dxa" w:w="80"/>
              <w:right w:type="dxa" w:w="120"/>
            </w:tcMar>
          </w:tcPr>
          <w:p>
            <w:r>
              <w:rPr>
                <w:b w:val="false"/>
                <w:bCs w:val="false"/>
                <w:color w:val="1E2A2E"/>
              </w:rPr>
              <w:t xml:space="preserve">A typed number pretending to be a measured one</w:t>
            </w:r>
          </w:p>
        </w:tc>
      </w:tr>
      <w:tr>
        <w:tc>
          <w:tcPr>
            <w:tcW w:type="dxa" w:w="3200"/>
            <w:tcMar>
              <w:top w:type="dxa" w:w="80"/>
              <w:left w:type="dxa" w:w="120"/>
              <w:bottom w:type="dxa" w:w="80"/>
              <w:right w:type="dxa" w:w="120"/>
            </w:tcMar>
          </w:tcPr>
          <w:p>
            <w:r>
              <w:rPr>
                <w:b/>
                <w:bCs/>
                <w:color w:val="1E2A2E"/>
              </w:rPr>
              <w:t xml:space="preserve">Audit log on everything</w:t>
            </w:r>
          </w:p>
        </w:tc>
        <w:tc>
          <w:tcPr>
            <w:tcW w:type="dxa" w:w="6160"/>
            <w:tcMar>
              <w:top w:type="dxa" w:w="80"/>
              <w:left w:type="dxa" w:w="120"/>
              <w:bottom w:type="dxa" w:w="80"/>
              <w:right w:type="dxa" w:w="120"/>
            </w:tcMar>
          </w:tcPr>
          <w:p>
            <w:r>
              <w:rPr>
                <w:b w:val="false"/>
                <w:bCs w:val="false"/>
                <w:color w:val="1E2A2E"/>
              </w:rPr>
              <w:t xml:space="preserve">“Who changed this?” ever being unanswerable</w:t>
            </w:r>
          </w:p>
        </w:tc>
      </w:tr>
    </w:tbl>
    <w:p>
      <w:pPr>
        <w:spacing w:after="120"/>
      </w:pPr>
    </w:p>
    <w:tbl>
      <w:tblPr>
        <w:tblW w:type="dxa" w:w="9360"/>
        <w:tblBorders>
          <w:top w:val="none"/>
          <w:left w:val="none"/>
          <w:bottom w:val="none"/>
          <w:right w:val="none"/>
          <w:insideH w:val="none"/>
          <w:insideV w:val="none"/>
        </w:tblBorders>
      </w:tblPr>
      <w:tblGrid>
        <w:gridCol w:w="9360"/>
      </w:tblGrid>
      <w:tr>
        <w:tc>
          <w:tcPr>
            <w:tcW w:type="dxa" w:w="9360"/>
            <w:shd w:fill="FAF0D8" w:val="clear"/>
            <w:tcMar>
              <w:top w:type="dxa" w:w="120"/>
              <w:left w:type="dxa" w:w="160"/>
              <w:bottom w:type="dxa" w:w="120"/>
              <w:right w:type="dxa" w:w="160"/>
            </w:tcMar>
          </w:tcPr>
          <w:p>
            <w:pPr>
              <w:spacing w:after="60"/>
            </w:pPr>
            <w:r>
              <w:rPr>
                <w:b/>
                <w:bCs/>
                <w:color w:val="846010"/>
                <w:sz w:val="18"/>
                <w:szCs w:val="18"/>
              </w:rPr>
              <w:t xml:space="preserve">ELI5 — EXPLAIN IT LIKE I’M FIVE</w:t>
            </w:r>
          </w:p>
          <w:p>
            <w:r>
              <w:rPr>
                <w:b w:val="false"/>
                <w:bCs w:val="false"/>
                <w:color w:val="1E2A2E"/>
              </w:rPr>
              <w:t xml:space="preserve">In one sentence: the portal is built so that being honest is the only thing it is physically capable of.</w:t>
            </w:r>
          </w:p>
        </w:tc>
      </w:tr>
    </w:tbl>
    <w:p>
      <w:pPr>
        <w:pStyle w:val="Heading1"/>
        <w:spacing w:after="160" w:before="360"/>
      </w:pPr>
      <w:r>
        <w:rPr>
          <w:color w:val="1E2A2E"/>
        </w:rPr>
        <w:t xml:space="preserve">13. Everyday how-do-I…</w:t>
      </w:r>
    </w:p>
    <w:p>
      <w:pPr>
        <w:spacing w:after="100"/>
      </w:pPr>
      <w:r>
        <w:rPr>
          <w:b/>
          <w:bCs/>
          <w:color w:val="256F6D"/>
        </w:rPr>
        <w:t xml:space="preserve">…look up a word?  </w:t>
      </w:r>
      <w:r>
        <w:rPr>
          <w:color w:val="1E2A2E"/>
        </w:rPr>
        <w:t xml:space="preserve">Click any ⓘ icon, or open /glossary.</w:t>
      </w:r>
    </w:p>
    <w:p>
      <w:pPr>
        <w:spacing w:after="100"/>
      </w:pPr>
      <w:r>
        <w:rPr>
          <w:b/>
          <w:bCs/>
          <w:color w:val="256F6D"/>
        </w:rPr>
        <w:t xml:space="preserve">…enter last month’s numbers?  </w:t>
      </w:r>
      <w:r>
        <w:rPr>
          <w:color w:val="1E2A2E"/>
        </w:rPr>
        <w:t xml:space="preserve">Readings → Manual entry → pick site &amp; month → type the three figures → Save → Run reconciliation.</w:t>
      </w:r>
    </w:p>
    <w:p>
      <w:pPr>
        <w:spacing w:after="100"/>
      </w:pPr>
      <w:r>
        <w:rPr>
          <w:b/>
          <w:bCs/>
          <w:color w:val="256F6D"/>
        </w:rPr>
        <w:t xml:space="preserve">…see why a month is stuck?  </w:t>
      </w:r>
      <w:r>
        <w:rPr>
          <w:color w:val="1E2A2E"/>
        </w:rPr>
        <w:t xml:space="preserve">Reconciliation queue — the dispute card shows all three values and what to do next.</w:t>
      </w:r>
    </w:p>
    <w:p>
      <w:pPr>
        <w:spacing w:after="100"/>
      </w:pPr>
      <w:r>
        <w:rPr>
          <w:b/>
          <w:bCs/>
          <w:color w:val="256F6D"/>
        </w:rPr>
        <w:t xml:space="preserve">…sell certificates?  </w:t>
      </w:r>
      <w:r>
        <w:rPr>
          <w:color w:val="1E2A2E"/>
        </w:rPr>
        <w:t xml:space="preserve">They must be ALLOCATED first (Attributes page); then Issuance → build the request.</w:t>
      </w:r>
    </w:p>
    <w:p>
      <w:pPr>
        <w:spacing w:after="100"/>
      </w:pPr>
      <w:r>
        <w:rPr>
          <w:b/>
          <w:bCs/>
          <w:color w:val="256F6D"/>
        </w:rPr>
        <w:t xml:space="preserve">…add a new word to the dictionary?  </w:t>
      </w:r>
      <w:r>
        <w:rPr>
          <w:color w:val="1E2A2E"/>
        </w:rPr>
        <w:t xml:space="preserve">Admin → Glossary. Both languages, always — the form nags you about the missing half.</w:t>
      </w:r>
    </w:p>
    <w:p>
      <w:pPr>
        <w:spacing w:after="100"/>
      </w:pPr>
      <w:r>
        <w:rPr>
          <w:b/>
          <w:bCs/>
          <w:color w:val="256F6D"/>
        </w:rPr>
        <w:t xml:space="preserve">…kick a user out right now?  </w:t>
      </w:r>
      <w:r>
        <w:rPr>
          <w:color w:val="1E2A2E"/>
        </w:rPr>
        <w:t xml:space="preserve">Admin → Sessions → Revoke. Their very next click is refused.</w:t>
      </w:r>
    </w:p>
    <w:p>
      <w:pPr>
        <w:spacing w:after="100"/>
      </w:pPr>
      <w:r>
        <w:rPr>
          <w:b/>
          <w:bCs/>
          <w:color w:val="256F6D"/>
        </w:rPr>
        <w:t xml:space="preserve">…prove nothing was tampered with?  </w:t>
      </w:r>
      <w:r>
        <w:rPr>
          <w:color w:val="1E2A2E"/>
        </w:rPr>
        <w:t xml:space="preserve">Audit page (or the auditor console) → Run verification now.</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E"/>
        <w:sz w:val="21"/>
        <w:szCs w:val="21"/>
      </w:rPr>
    </w:rPrDefault>
    <w:pPrDefault/>
  </w:docDefaults>
  <w:style w:type="paragraph" w:styleId="Title">
    <w:name w:val="Title"/>
    <w:basedOn w:val="Normal"/>
    <w:next w:val="Normal"/>
    <w:qFormat/>
    <w:rPr>
      <w:rFonts w:ascii="Calibri" w:cs="Calibri" w:eastAsia="Calibri" w:hAnsi="Calibri"/>
      <w:b/>
      <w:bCs/>
      <w:sz w:val="48"/>
      <w:szCs w:val="48"/>
    </w:rPr>
  </w:style>
  <w:style w:type="paragraph" w:styleId="Heading1">
    <w:name w:val="Heading 1"/>
    <w:basedOn w:val="Normal"/>
    <w:next w:val="Normal"/>
    <w:qFormat/>
    <w:rPr>
      <w:rFonts w:ascii="Calibri" w:cs="Calibri" w:eastAsia="Calibri" w:hAnsi="Calibri"/>
      <w:b/>
      <w:bCs/>
      <w:color w:val="256F6D"/>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2026-08-07T12:46:52.946Z</dcterms:created>
  <dcterms:modified xsi:type="dcterms:W3CDTF">2026-08-07T12:46:52.946Z</dcterms:modified>
</cp:coreProperties>
</file>

<file path=docProps/custom.xml><?xml version="1.0" encoding="utf-8"?>
<Properties xmlns="http://schemas.openxmlformats.org/officeDocument/2006/custom-properties" xmlns:vt="http://schemas.openxmlformats.org/officeDocument/2006/docPropsVTypes"/>
</file>