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BAF7A"/>
          <w:spacing w:val="40"/>
          <w:sz w:val="17"/>
          <w:szCs w:val="17"/>
        </w:rPr>
        <w:t xml:space="preserve">CCREDITS · GUIDE 1 OF 3</w:t>
      </w:r>
    </w:p>
    <w:p>
      <w:pPr>
        <w:spacing w:after="130"/>
      </w:pPr>
      <w:r>
        <w:rPr>
          <w:b/>
          <w:bCs/>
          <w:color w:val="0B0B0B"/>
          <w:sz w:val="46"/>
          <w:szCs w:val="46"/>
        </w:rPr>
        <w:t xml:space="preserve">Using the portal</w:t>
      </w:r>
    </w:p>
    <w:p>
      <w:pPr>
        <w:pBdr>
          <w:bottom w:val="single" w:color="1BAF7A" w:sz="20" w:space="1"/>
        </w:pBdr>
        <w:spacing w:after="170"/>
      </w:pPr>
    </w:p>
    <w:p>
      <w:pPr>
        <w:spacing w:after="260" w:line="300"/>
      </w:pPr>
      <w:r>
        <w:rPr>
          <w:color w:val="52514E"/>
          <w:sz w:val="22"/>
          <w:szCs w:val="22"/>
        </w:rPr>
        <w:t xml:space="preserve">Someone drags in the Sungrow exports; the portal parses them, computes verified carbon units, and lets anyone click a credit number all the way down to the spreadsheet cell it came from. This guide covers the four screens and a demo path that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EDA100" w:sz="18"/>
              <w:bottom w:val="nil"/>
              <w:right w:val="nil"/>
            </w:tcBorders>
            <w:shd w:fill="FDF3DE" w:val="clear"/>
            <w:tcMar>
              <w:top w:type="dxa" w:w="140"/>
              <w:left w:type="dxa" w:w="180"/>
              <w:bottom w:type="dxa" w:w="140"/>
              <w:right w:type="dxa" w:w="180"/>
            </w:tcMar>
          </w:tcPr>
          <w:p>
            <w:pPr>
              <w:spacing w:line="280"/>
            </w:pPr>
            <w:r>
              <w:rPr>
                <w:b/>
                <w:bCs/>
                <w:color w:val="EDA100"/>
                <w:sz w:val="20"/>
                <w:szCs w:val="20"/>
              </w:rPr>
              <w:t xml:space="preserve">Before you start.  </w:t>
            </w:r>
            <w:r>
              <w:rPr>
                <w:color w:val="52514E"/>
                <w:sz w:val="20"/>
                <w:szCs w:val="20"/>
              </w:rPr>
              <w:t xml:space="preserve">There is no login. The banner across the top of every screen reads "Pilot data. Not verified." Leave it there until someone has actually verified the numbers — it is the first thing that makes the rest credible.</w:t>
            </w:r>
          </w:p>
        </w:tc>
      </w:tr>
    </w:tbl>
    <w:p>
      <w:pPr>
        <w:spacing w:after="200"/>
      </w:pPr>
    </w:p>
    <w:p>
      <w:pPr>
        <w:pStyle w:val="Heading2"/>
        <w:spacing w:after="100" w:before="270"/>
      </w:pPr>
      <w:r>
        <w:rPr>
          <w:b/>
          <w:bCs/>
          <w:color w:val="0B0B0B"/>
          <w:sz w:val="24"/>
          <w:szCs w:val="24"/>
        </w:rPr>
        <w:t xml:space="preserve">The four screens</w:t>
      </w:r>
    </w:p>
    <w:tbl>
      <w:tblPr>
        <w:tblW w:type="dxa" w:w="9360"/>
        <w:tblBorders>
          <w:top w:val="single" w:color="E3E2DD" w:sz="2"/>
          <w:left w:val="nil"/>
          <w:bottom w:val="single" w:color="E3E2DD" w:sz="2"/>
          <w:right w:val="nil"/>
          <w:insideH w:val="single" w:color="E3E2DD" w:sz="2"/>
          <w:insideV w:val="nil"/>
        </w:tblBorders>
      </w:tblPr>
      <w:tblGrid>
        <w:gridCol w:w="2059"/>
        <w:gridCol w:w="7301"/>
      </w:tblGrid>
      <w:tr>
        <w:trPr>
          <w:tblHeader/>
        </w:trPr>
        <w:tc>
          <w:tcPr>
            <w:tcW w:type="dxa" w:w="2059"/>
            <w:shd w:fill="1BAF7A" w:val="clear"/>
            <w:tcMar>
              <w:top w:type="dxa" w:w="90"/>
              <w:left w:type="dxa" w:w="120"/>
              <w:bottom w:type="dxa" w:w="90"/>
              <w:right w:type="dxa" w:w="120"/>
            </w:tcMar>
          </w:tcPr>
          <w:p>
            <w:pPr>
              <w:spacing w:after="0" w:before="0"/>
            </w:pPr>
            <w:r>
              <w:rPr>
                <w:b/>
                <w:bCs/>
                <w:color w:val="FFFFFF"/>
                <w:spacing w:val="20"/>
                <w:sz w:val="17"/>
                <w:szCs w:val="17"/>
              </w:rPr>
              <w:t xml:space="preserve">Screen</w:t>
            </w:r>
          </w:p>
        </w:tc>
        <w:tc>
          <w:tcPr>
            <w:tcW w:type="dxa" w:w="7301"/>
            <w:shd w:fill="1BAF7A" w:val="clear"/>
            <w:tcMar>
              <w:top w:type="dxa" w:w="90"/>
              <w:left w:type="dxa" w:w="120"/>
              <w:bottom w:type="dxa" w:w="90"/>
              <w:right w:type="dxa" w:w="120"/>
            </w:tcMar>
          </w:tcPr>
          <w:p>
            <w:pPr>
              <w:spacing w:after="0" w:before="0"/>
            </w:pPr>
            <w:r>
              <w:rPr>
                <w:b/>
                <w:bCs/>
                <w:color w:val="FFFFFF"/>
                <w:spacing w:val="20"/>
                <w:sz w:val="17"/>
                <w:szCs w:val="17"/>
              </w:rPr>
              <w:t xml:space="preserve">What it is for</w:t>
            </w:r>
          </w:p>
        </w:tc>
      </w:tr>
      <w:tr>
        <w:tc>
          <w:tcPr>
            <w:tcW w:type="dxa" w:w="2059"/>
            <w:shd w:fill="F7F7F5" w:val="clear"/>
            <w:tcMar>
              <w:top w:type="dxa" w:w="90"/>
              <w:left w:type="dxa" w:w="120"/>
              <w:bottom w:type="dxa" w:w="90"/>
              <w:right w:type="dxa" w:w="120"/>
            </w:tcMar>
          </w:tcPr>
          <w:p>
            <w:pPr>
              <w:spacing w:after="0" w:before="0" w:line="260"/>
            </w:pPr>
            <w:r>
              <w:rPr>
                <w:b/>
                <w:bCs/>
                <w:color w:val="0B0B0B"/>
                <w:sz w:val="18"/>
                <w:szCs w:val="18"/>
              </w:rPr>
              <w:t xml:space="preserve">Overview</w:t>
            </w:r>
          </w:p>
        </w:tc>
        <w:tc>
          <w:tcPr>
            <w:tcW w:type="dxa" w:w="7301"/>
            <w:shd w:fill="F7F7F5" w:val="clear"/>
            <w:tcMar>
              <w:top w:type="dxa" w:w="90"/>
              <w:left w:type="dxa" w:w="120"/>
              <w:bottom w:type="dxa" w:w="90"/>
              <w:right w:type="dxa" w:w="120"/>
            </w:tcMar>
          </w:tcPr>
          <w:p>
            <w:pPr>
              <w:spacing w:after="0" w:before="0" w:line="260"/>
            </w:pPr>
            <w:r>
              <w:rPr>
                <w:color w:val="52514E"/>
                <w:sz w:val="18"/>
                <w:szCs w:val="18"/>
              </w:rPr>
              <w:t xml:space="preserve">The headline numbers, the river, the calculation, the reference data and the stated assumptions</w:t>
            </w:r>
          </w:p>
        </w:tc>
      </w:tr>
      <w:tr>
        <w:tc>
          <w:tcPr>
            <w:tcW w:type="dxa" w:w="2059"/>
            <w:shd w:fill="FFFFFF" w:val="clear"/>
            <w:tcMar>
              <w:top w:type="dxa" w:w="90"/>
              <w:left w:type="dxa" w:w="120"/>
              <w:bottom w:type="dxa" w:w="90"/>
              <w:right w:type="dxa" w:w="120"/>
            </w:tcMar>
          </w:tcPr>
          <w:p>
            <w:pPr>
              <w:spacing w:after="0" w:before="0" w:line="260"/>
            </w:pPr>
            <w:r>
              <w:rPr>
                <w:b/>
                <w:bCs/>
                <w:color w:val="0B0B0B"/>
                <w:sz w:val="18"/>
                <w:szCs w:val="18"/>
              </w:rPr>
              <w:t xml:space="preserve">Fleet</w:t>
            </w:r>
          </w:p>
        </w:tc>
        <w:tc>
          <w:tcPr>
            <w:tcW w:type="dxa" w:w="7301"/>
            <w:shd w:fill="FFFFFF" w:val="clear"/>
            <w:tcMar>
              <w:top w:type="dxa" w:w="90"/>
              <w:left w:type="dxa" w:w="120"/>
              <w:bottom w:type="dxa" w:w="90"/>
              <w:right w:type="dxa" w:w="120"/>
            </w:tcMar>
          </w:tcPr>
          <w:p>
            <w:pPr>
              <w:spacing w:after="0" w:before="0" w:line="260"/>
            </w:pPr>
            <w:r>
              <w:rPr>
                <w:color w:val="52514E"/>
                <w:sz w:val="18"/>
                <w:szCs w:val="18"/>
              </w:rPr>
              <w:t xml:space="preserve">One row per site, every column sortable — the fastest way to find a broken site</w:t>
            </w:r>
          </w:p>
        </w:tc>
      </w:tr>
      <w:tr>
        <w:tc>
          <w:tcPr>
            <w:tcW w:type="dxa" w:w="2059"/>
            <w:shd w:fill="F7F7F5" w:val="clear"/>
            <w:tcMar>
              <w:top w:type="dxa" w:w="90"/>
              <w:left w:type="dxa" w:w="120"/>
              <w:bottom w:type="dxa" w:w="90"/>
              <w:right w:type="dxa" w:w="120"/>
            </w:tcMar>
          </w:tcPr>
          <w:p>
            <w:pPr>
              <w:spacing w:after="0" w:before="0" w:line="260"/>
            </w:pPr>
            <w:r>
              <w:rPr>
                <w:b/>
                <w:bCs/>
                <w:color w:val="0B0B0B"/>
                <w:sz w:val="18"/>
                <w:szCs w:val="18"/>
              </w:rPr>
              <w:t xml:space="preserve">Data quality</w:t>
            </w:r>
          </w:p>
        </w:tc>
        <w:tc>
          <w:tcPr>
            <w:tcW w:type="dxa" w:w="7301"/>
            <w:shd w:fill="F7F7F5" w:val="clear"/>
            <w:tcMar>
              <w:top w:type="dxa" w:w="90"/>
              <w:left w:type="dxa" w:w="120"/>
              <w:bottom w:type="dxa" w:w="90"/>
              <w:right w:type="dxa" w:w="120"/>
            </w:tcMar>
          </w:tcPr>
          <w:p>
            <w:pPr>
              <w:spacing w:after="0" w:before="0" w:line="260"/>
            </w:pPr>
            <w:r>
              <w:rPr>
                <w:color w:val="52514E"/>
                <w:sz w:val="18"/>
                <w:szCs w:val="18"/>
              </w:rPr>
              <w:t xml:space="preserve">Coverage, gaps, suspect days and overlapping uploads, shown rather than hidden</w:t>
            </w:r>
          </w:p>
        </w:tc>
      </w:tr>
      <w:tr>
        <w:tc>
          <w:tcPr>
            <w:tcW w:type="dxa" w:w="2059"/>
            <w:shd w:fill="FFFFFF" w:val="clear"/>
            <w:tcMar>
              <w:top w:type="dxa" w:w="90"/>
              <w:left w:type="dxa" w:w="120"/>
              <w:bottom w:type="dxa" w:w="90"/>
              <w:right w:type="dxa" w:w="120"/>
            </w:tcMar>
          </w:tcPr>
          <w:p>
            <w:pPr>
              <w:spacing w:after="0" w:before="0" w:line="260"/>
            </w:pPr>
            <w:r>
              <w:rPr>
                <w:b/>
                <w:bCs/>
                <w:color w:val="0B0B0B"/>
                <w:sz w:val="18"/>
                <w:szCs w:val="18"/>
              </w:rPr>
              <w:t xml:space="preserve">Upload</w:t>
            </w:r>
          </w:p>
        </w:tc>
        <w:tc>
          <w:tcPr>
            <w:tcW w:type="dxa" w:w="7301"/>
            <w:shd w:fill="FFFFFF" w:val="clear"/>
            <w:tcMar>
              <w:top w:type="dxa" w:w="90"/>
              <w:left w:type="dxa" w:w="120"/>
              <w:bottom w:type="dxa" w:w="90"/>
              <w:right w:type="dxa" w:w="120"/>
            </w:tcMar>
          </w:tcPr>
          <w:p>
            <w:pPr>
              <w:spacing w:after="0" w:before="0" w:line="260"/>
            </w:pPr>
            <w:r>
              <w:rPr>
                <w:color w:val="52514E"/>
                <w:sz w:val="18"/>
                <w:szCs w:val="18"/>
              </w:rPr>
              <w:t xml:space="preserve">Drop files in and see exactly what the parser read out of them</w:t>
            </w:r>
          </w:p>
        </w:tc>
      </w:tr>
    </w:tbl>
    <w:p>
      <w:pPr>
        <w:pStyle w:val="Heading1"/>
        <w:pBdr>
          <w:bottom w:val="single" w:color="1BAF7A" w:sz="10" w:space="6"/>
        </w:pBdr>
        <w:spacing w:after="140" w:before="380"/>
      </w:pPr>
      <w:r>
        <w:rPr>
          <w:b/>
          <w:bCs/>
          <w:color w:val="1BAF7A"/>
          <w:sz w:val="30"/>
          <w:szCs w:val="30"/>
        </w:rPr>
        <w:t xml:space="preserve">1 · Start by uploading</w:t>
      </w:r>
    </w:p>
    <w:p>
      <w:pPr>
        <w:spacing w:after="120" w:before="60" w:line="280"/>
      </w:pPr>
      <w:r>
        <w:rPr>
          <w:color w:val="52514E"/>
          <w:sz w:val="20"/>
          <w:szCs w:val="20"/>
        </w:rPr>
        <w:t xml:space="preserve">Go to Upload and drop your Sungrow exports on the drop zone, or click it to choose files. Several at once is fine, in any order — the portal works out what each one is.</w:t>
      </w:r>
    </w:p>
    <w:p>
      <w:pPr>
        <w:pStyle w:val="Heading3"/>
        <w:spacing w:after="80" w:before="190"/>
      </w:pPr>
      <w:r>
        <w:rPr>
          <w:b/>
          <w:bCs/>
          <w:color w:val="52514E"/>
          <w:sz w:val="21"/>
          <w:szCs w:val="21"/>
        </w:rPr>
        <w:t xml:space="preserve">The three shapes it reads</w:t>
      </w:r>
    </w:p>
    <w:tbl>
      <w:tblPr>
        <w:tblW w:type="dxa" w:w="9360"/>
        <w:tblBorders>
          <w:top w:val="single" w:color="E3E2DD" w:sz="2"/>
          <w:left w:val="nil"/>
          <w:bottom w:val="single" w:color="E3E2DD" w:sz="2"/>
          <w:right w:val="nil"/>
          <w:insideH w:val="single" w:color="E3E2DD" w:sz="2"/>
          <w:insideV w:val="nil"/>
        </w:tblBorders>
      </w:tblPr>
      <w:tblGrid>
        <w:gridCol w:w="2059"/>
        <w:gridCol w:w="4680"/>
        <w:gridCol w:w="2621"/>
      </w:tblGrid>
      <w:tr>
        <w:trPr>
          <w:tblHeader/>
        </w:trPr>
        <w:tc>
          <w:tcPr>
            <w:tcW w:type="dxa" w:w="2059"/>
            <w:shd w:fill="1BAF7A" w:val="clear"/>
            <w:tcMar>
              <w:top w:type="dxa" w:w="90"/>
              <w:left w:type="dxa" w:w="120"/>
              <w:bottom w:type="dxa" w:w="90"/>
              <w:right w:type="dxa" w:w="120"/>
            </w:tcMar>
          </w:tcPr>
          <w:p>
            <w:pPr>
              <w:spacing w:after="0" w:before="0"/>
            </w:pPr>
            <w:r>
              <w:rPr>
                <w:b/>
                <w:bCs/>
                <w:color w:val="FFFFFF"/>
                <w:spacing w:val="20"/>
                <w:sz w:val="17"/>
                <w:szCs w:val="17"/>
              </w:rPr>
              <w:t xml:space="preserve">Export</w:t>
            </w:r>
          </w:p>
        </w:tc>
        <w:tc>
          <w:tcPr>
            <w:tcW w:type="dxa" w:w="4680"/>
            <w:shd w:fill="1BAF7A" w:val="clear"/>
            <w:tcMar>
              <w:top w:type="dxa" w:w="90"/>
              <w:left w:type="dxa" w:w="120"/>
              <w:bottom w:type="dxa" w:w="90"/>
              <w:right w:type="dxa" w:w="120"/>
            </w:tcMar>
          </w:tcPr>
          <w:p>
            <w:pPr>
              <w:spacing w:after="0" w:before="0"/>
            </w:pPr>
            <w:r>
              <w:rPr>
                <w:b/>
                <w:bCs/>
                <w:color w:val="FFFFFF"/>
                <w:spacing w:val="20"/>
                <w:sz w:val="17"/>
                <w:szCs w:val="17"/>
              </w:rPr>
              <w:t xml:space="preserve">Shape</w:t>
            </w:r>
          </w:p>
        </w:tc>
        <w:tc>
          <w:tcPr>
            <w:tcW w:type="dxa" w:w="2621"/>
            <w:shd w:fill="1BAF7A" w:val="clear"/>
            <w:tcMar>
              <w:top w:type="dxa" w:w="90"/>
              <w:left w:type="dxa" w:w="120"/>
              <w:bottom w:type="dxa" w:w="90"/>
              <w:right w:type="dxa" w:w="120"/>
            </w:tcMar>
          </w:tcPr>
          <w:p>
            <w:pPr>
              <w:spacing w:after="0" w:before="0"/>
            </w:pPr>
            <w:r>
              <w:rPr>
                <w:b/>
                <w:bCs/>
                <w:color w:val="FFFFFF"/>
                <w:spacing w:val="20"/>
                <w:sz w:val="17"/>
                <w:szCs w:val="17"/>
              </w:rPr>
              <w:t xml:space="preserve">Read as</w:t>
            </w:r>
          </w:p>
        </w:tc>
      </w:tr>
      <w:tr>
        <w:tc>
          <w:tcPr>
            <w:tcW w:type="dxa" w:w="2059"/>
            <w:shd w:fill="F7F7F5" w:val="clear"/>
            <w:tcMar>
              <w:top w:type="dxa" w:w="90"/>
              <w:left w:type="dxa" w:w="120"/>
              <w:bottom w:type="dxa" w:w="90"/>
              <w:right w:type="dxa" w:w="120"/>
            </w:tcMar>
          </w:tcPr>
          <w:p>
            <w:pPr>
              <w:spacing w:after="0" w:before="0" w:line="260"/>
            </w:pPr>
            <w:r>
              <w:rPr>
                <w:color w:val="52514E"/>
                <w:sz w:val="18"/>
                <w:szCs w:val="18"/>
              </w:rPr>
              <w:t xml:space="preserve">Plant list</w:t>
            </w:r>
          </w:p>
        </w:tc>
        <w:tc>
          <w:tcPr>
            <w:tcW w:type="dxa" w:w="4680"/>
            <w:shd w:fill="F7F7F5" w:val="clear"/>
            <w:tcMar>
              <w:top w:type="dxa" w:w="90"/>
              <w:left w:type="dxa" w:w="120"/>
              <w:bottom w:type="dxa" w:w="90"/>
              <w:right w:type="dxa" w:w="120"/>
            </w:tcMar>
          </w:tcPr>
          <w:p>
            <w:pPr>
              <w:spacing w:after="0" w:before="0" w:line="260"/>
            </w:pPr>
            <w:r>
              <w:rPr>
                <w:color w:val="52514E"/>
                <w:sz w:val="18"/>
                <w:szCs w:val="18"/>
              </w:rPr>
              <w:t xml:space="preserve">One row per site: name, capacity, grid connection date, address, status</w:t>
            </w:r>
          </w:p>
        </w:tc>
        <w:tc>
          <w:tcPr>
            <w:tcW w:type="dxa" w:w="2621"/>
            <w:shd w:fill="F7F7F5" w:val="clear"/>
            <w:tcMar>
              <w:top w:type="dxa" w:w="90"/>
              <w:left w:type="dxa" w:w="120"/>
              <w:bottom w:type="dxa" w:w="90"/>
              <w:right w:type="dxa" w:w="120"/>
            </w:tcMar>
          </w:tcPr>
          <w:p>
            <w:pPr>
              <w:spacing w:after="0" w:before="0" w:line="260"/>
            </w:pPr>
            <w:r>
              <w:rPr>
                <w:color w:val="52514E"/>
                <w:sz w:val="18"/>
                <w:szCs w:val="18"/>
              </w:rPr>
              <w:t xml:space="preserve">Fleet master. No readings.</w:t>
            </w:r>
          </w:p>
        </w:tc>
      </w:tr>
      <w:tr>
        <w:tc>
          <w:tcPr>
            <w:tcW w:type="dxa" w:w="2059"/>
            <w:shd w:fill="FFFFFF" w:val="clear"/>
            <w:tcMar>
              <w:top w:type="dxa" w:w="90"/>
              <w:left w:type="dxa" w:w="120"/>
              <w:bottom w:type="dxa" w:w="90"/>
              <w:right w:type="dxa" w:w="120"/>
            </w:tcMar>
          </w:tcPr>
          <w:p>
            <w:pPr>
              <w:spacing w:after="0" w:before="0" w:line="260"/>
            </w:pPr>
            <w:r>
              <w:rPr>
                <w:color w:val="52514E"/>
                <w:sz w:val="18"/>
                <w:szCs w:val="18"/>
              </w:rPr>
              <w:t xml:space="preserve">Plant daily yield</w:t>
            </w:r>
          </w:p>
        </w:tc>
        <w:tc>
          <w:tcPr>
            <w:tcW w:type="dxa" w:w="4680"/>
            <w:shd w:fill="FFFFFF" w:val="clear"/>
            <w:tcMar>
              <w:top w:type="dxa" w:w="90"/>
              <w:left w:type="dxa" w:w="120"/>
              <w:bottom w:type="dxa" w:w="90"/>
              <w:right w:type="dxa" w:w="120"/>
            </w:tcMar>
          </w:tcPr>
          <w:p>
            <w:pPr>
              <w:spacing w:after="0" w:before="0" w:line="260"/>
            </w:pPr>
            <w:r>
              <w:rPr>
                <w:color w:val="52514E"/>
                <w:sz w:val="18"/>
                <w:szCs w:val="18"/>
              </w:rPr>
              <w:t xml:space="preserve">Identifiers down the left, one column per day across the top</w:t>
            </w:r>
          </w:p>
        </w:tc>
        <w:tc>
          <w:tcPr>
            <w:tcW w:type="dxa" w:w="2621"/>
            <w:shd w:fill="FFFFFF" w:val="clear"/>
            <w:tcMar>
              <w:top w:type="dxa" w:w="90"/>
              <w:left w:type="dxa" w:w="120"/>
              <w:bottom w:type="dxa" w:w="90"/>
              <w:right w:type="dxa" w:w="120"/>
            </w:tcMar>
          </w:tcPr>
          <w:p>
            <w:pPr>
              <w:spacing w:after="0" w:before="0" w:line="260"/>
            </w:pPr>
            <w:r>
              <w:rPr>
                <w:color w:val="52514E"/>
                <w:sz w:val="18"/>
                <w:szCs w:val="18"/>
              </w:rPr>
              <w:t xml:space="preserve">Plant grain</w:t>
            </w:r>
          </w:p>
        </w:tc>
      </w:tr>
      <w:tr>
        <w:tc>
          <w:tcPr>
            <w:tcW w:type="dxa" w:w="2059"/>
            <w:shd w:fill="F7F7F5" w:val="clear"/>
            <w:tcMar>
              <w:top w:type="dxa" w:w="90"/>
              <w:left w:type="dxa" w:w="120"/>
              <w:bottom w:type="dxa" w:w="90"/>
              <w:right w:type="dxa" w:w="120"/>
            </w:tcMar>
          </w:tcPr>
          <w:p>
            <w:pPr>
              <w:spacing w:after="0" w:before="0" w:line="260"/>
            </w:pPr>
            <w:r>
              <w:rPr>
                <w:color w:val="52514E"/>
                <w:sz w:val="18"/>
                <w:szCs w:val="18"/>
              </w:rPr>
              <w:t xml:space="preserve">Device daily report</w:t>
            </w:r>
          </w:p>
        </w:tc>
        <w:tc>
          <w:tcPr>
            <w:tcW w:type="dxa" w:w="4680"/>
            <w:shd w:fill="F7F7F5" w:val="clear"/>
            <w:tcMar>
              <w:top w:type="dxa" w:w="90"/>
              <w:left w:type="dxa" w:w="120"/>
              <w:bottom w:type="dxa" w:w="90"/>
              <w:right w:type="dxa" w:w="120"/>
            </w:tcMar>
          </w:tcPr>
          <w:p>
            <w:pPr>
              <w:spacing w:after="0" w:before="0" w:line="260"/>
            </w:pPr>
            <w:r>
              <w:rPr>
                <w:color w:val="52514E"/>
                <w:sz w:val="18"/>
                <w:szCs w:val="18"/>
              </w:rPr>
              <w:t xml:space="preserve">One row per inverter per day</w:t>
            </w:r>
          </w:p>
        </w:tc>
        <w:tc>
          <w:tcPr>
            <w:tcW w:type="dxa" w:w="2621"/>
            <w:shd w:fill="F7F7F5" w:val="clear"/>
            <w:tcMar>
              <w:top w:type="dxa" w:w="90"/>
              <w:left w:type="dxa" w:w="120"/>
              <w:bottom w:type="dxa" w:w="90"/>
              <w:right w:type="dxa" w:w="120"/>
            </w:tcMar>
          </w:tcPr>
          <w:p>
            <w:pPr>
              <w:spacing w:after="0" w:before="0" w:line="260"/>
            </w:pPr>
            <w:r>
              <w:rPr>
                <w:color w:val="52514E"/>
                <w:sz w:val="18"/>
                <w:szCs w:val="18"/>
              </w:rPr>
              <w:t xml:space="preserve">Inverter grain, summed to a site total per day</w:t>
            </w:r>
          </w:p>
        </w:tc>
      </w:tr>
    </w:tbl>
    <w:p>
      <w:pPr>
        <w:spacing w:after="60"/>
      </w:pPr>
    </w:p>
    <w:p>
      <w:pPr>
        <w:spacing w:after="120" w:before="60" w:line="280"/>
      </w:pPr>
      <w:r>
        <w:rPr>
          <w:rFonts w:ascii="Consolas" w:cs="Consolas" w:eastAsia="Consolas" w:hAnsi="Consolas"/>
          <w:color w:val="3A2D85"/>
          <w:sz w:val="18"/>
          <w:szCs w:val="18"/>
        </w:rPr>
        <w:t xml:space="preserve">.xlsx</w:t>
      </w:r>
      <w:r>
        <w:rPr>
          <w:sz w:val="20"/>
          <w:szCs w:val="20"/>
        </w:rPr>
        <w:t xml:space="preserve">, </w:t>
      </w:r>
      <w:r>
        <w:rPr>
          <w:rFonts w:ascii="Consolas" w:cs="Consolas" w:eastAsia="Consolas" w:hAnsi="Consolas"/>
          <w:color w:val="3A2D85"/>
          <w:sz w:val="18"/>
          <w:szCs w:val="18"/>
        </w:rPr>
        <w:t xml:space="preserve">.xlsm</w:t>
      </w:r>
      <w:r>
        <w:rPr>
          <w:sz w:val="20"/>
          <w:szCs w:val="20"/>
        </w:rPr>
        <w:t xml:space="preserve">, </w:t>
      </w:r>
      <w:r>
        <w:rPr>
          <w:rFonts w:ascii="Consolas" w:cs="Consolas" w:eastAsia="Consolas" w:hAnsi="Consolas"/>
          <w:color w:val="3A2D85"/>
          <w:sz w:val="18"/>
          <w:szCs w:val="18"/>
        </w:rPr>
        <w:t xml:space="preserve">.xls</w:t>
      </w:r>
      <w:r>
        <w:rPr>
          <w:sz w:val="20"/>
          <w:szCs w:val="20"/>
        </w:rPr>
        <w:t xml:space="preserve">, </w:t>
      </w:r>
      <w:r>
        <w:rPr>
          <w:rFonts w:ascii="Consolas" w:cs="Consolas" w:eastAsia="Consolas" w:hAnsi="Consolas"/>
          <w:color w:val="3A2D85"/>
          <w:sz w:val="18"/>
          <w:szCs w:val="18"/>
        </w:rPr>
        <w:t xml:space="preserve">.csv</w:t>
      </w:r>
      <w:r>
        <w:rPr>
          <w:sz w:val="20"/>
          <w:szCs w:val="20"/>
        </w:rPr>
        <w:t xml:space="preserve"> and </w:t>
      </w:r>
      <w:r>
        <w:rPr>
          <w:rFonts w:ascii="Consolas" w:cs="Consolas" w:eastAsia="Consolas" w:hAnsi="Consolas"/>
          <w:color w:val="3A2D85"/>
          <w:sz w:val="18"/>
          <w:szCs w:val="18"/>
        </w:rPr>
        <w:t xml:space="preserve">.tsv</w:t>
      </w:r>
      <w:r>
        <w:rPr>
          <w:color w:val="52514E"/>
          <w:sz w:val="20"/>
          <w:szCs w:val="20"/>
        </w:rPr>
        <w:t xml:space="preserve"> all work. Title rows and blurb above the real header are skipped automatically.</w:t>
      </w:r>
    </w:p>
    <w:p>
      <w:pPr>
        <w:pStyle w:val="Heading3"/>
        <w:spacing w:after="80" w:before="190"/>
      </w:pPr>
      <w:r>
        <w:rPr>
          <w:b/>
          <w:bCs/>
          <w:color w:val="52514E"/>
          <w:sz w:val="21"/>
          <w:szCs w:val="21"/>
        </w:rPr>
        <w:t xml:space="preserve">Read the parse result before you move on</w:t>
      </w:r>
    </w:p>
    <w:p>
      <w:pPr>
        <w:spacing w:after="120" w:before="60" w:line="280"/>
      </w:pPr>
      <w:r>
        <w:rPr>
          <w:color w:val="52514E"/>
          <w:sz w:val="20"/>
          <w:szCs w:val="20"/>
        </w:rPr>
        <w:t xml:space="preserve">This screen is the first proof that the app read your files rather than being told what they say. For each file you get:</w:t>
      </w:r>
    </w:p>
    <w:tbl>
      <w:tblPr>
        <w:tblW w:type="dxa" w:w="9360"/>
        <w:tblBorders>
          <w:top w:val="single" w:color="E3E2DD" w:sz="2"/>
          <w:left w:val="nil"/>
          <w:bottom w:val="single" w:color="E3E2DD" w:sz="2"/>
          <w:right w:val="nil"/>
          <w:insideH w:val="single" w:color="E3E2DD" w:sz="2"/>
          <w:insideV w:val="nil"/>
        </w:tblBorders>
      </w:tblPr>
      <w:tblGrid>
        <w:gridCol w:w="2621"/>
        <w:gridCol w:w="6739"/>
      </w:tblGrid>
      <w:tr>
        <w:trPr>
          <w:tblHeader/>
        </w:trPr>
        <w:tc>
          <w:tcPr>
            <w:tcW w:type="dxa" w:w="2621"/>
            <w:shd w:fill="1BAF7A" w:val="clear"/>
            <w:tcMar>
              <w:top w:type="dxa" w:w="90"/>
              <w:left w:type="dxa" w:w="120"/>
              <w:bottom w:type="dxa" w:w="90"/>
              <w:right w:type="dxa" w:w="120"/>
            </w:tcMar>
          </w:tcPr>
          <w:p>
            <w:pPr>
              <w:spacing w:after="0" w:before="0"/>
            </w:pPr>
            <w:r>
              <w:rPr>
                <w:b/>
                <w:bCs/>
                <w:color w:val="FFFFFF"/>
                <w:spacing w:val="20"/>
                <w:sz w:val="17"/>
                <w:szCs w:val="17"/>
              </w:rPr>
              <w:t xml:space="preserve">Field</w:t>
            </w:r>
          </w:p>
        </w:tc>
        <w:tc>
          <w:tcPr>
            <w:tcW w:type="dxa" w:w="6739"/>
            <w:shd w:fill="1BAF7A" w:val="clear"/>
            <w:tcMar>
              <w:top w:type="dxa" w:w="90"/>
              <w:left w:type="dxa" w:w="120"/>
              <w:bottom w:type="dxa" w:w="90"/>
              <w:right w:type="dxa" w:w="120"/>
            </w:tcMar>
          </w:tcPr>
          <w:p>
            <w:pPr>
              <w:spacing w:after="0" w:before="0"/>
            </w:pPr>
            <w:r>
              <w:rPr>
                <w:b/>
                <w:bCs/>
                <w:color w:val="FFFFFF"/>
                <w:spacing w:val="20"/>
                <w:sz w:val="17"/>
                <w:szCs w:val="17"/>
              </w:rPr>
              <w:t xml:space="preserve">What to check</w:t>
            </w:r>
          </w:p>
        </w:tc>
      </w:tr>
      <w:tr>
        <w:tc>
          <w:tcPr>
            <w:tcW w:type="dxa" w:w="2621"/>
            <w:shd w:fill="F7F7F5" w:val="clear"/>
            <w:tcMar>
              <w:top w:type="dxa" w:w="90"/>
              <w:left w:type="dxa" w:w="120"/>
              <w:bottom w:type="dxa" w:w="90"/>
              <w:right w:type="dxa" w:w="120"/>
            </w:tcMar>
          </w:tcPr>
          <w:p>
            <w:pPr>
              <w:spacing w:after="0" w:before="0" w:line="260"/>
            </w:pPr>
            <w:r>
              <w:rPr>
                <w:color w:val="52514E"/>
                <w:sz w:val="18"/>
                <w:szCs w:val="18"/>
              </w:rPr>
              <w:t xml:space="preserve">Layout / grain</w:t>
            </w:r>
          </w:p>
        </w:tc>
        <w:tc>
          <w:tcPr>
            <w:tcW w:type="dxa" w:w="6739"/>
            <w:shd w:fill="F7F7F5" w:val="clear"/>
            <w:tcMar>
              <w:top w:type="dxa" w:w="90"/>
              <w:left w:type="dxa" w:w="120"/>
              <w:bottom w:type="dxa" w:w="90"/>
              <w:right w:type="dxa" w:w="120"/>
            </w:tcMar>
          </w:tcPr>
          <w:p>
            <w:pPr>
              <w:spacing w:after="0" w:before="0" w:line="260"/>
            </w:pPr>
            <w:r>
              <w:rPr>
                <w:color w:val="52514E"/>
                <w:sz w:val="18"/>
                <w:szCs w:val="18"/>
              </w:rPr>
              <w:t xml:space="preserve">Did it read the file the way you expected — plant or inverter?</w:t>
            </w:r>
          </w:p>
        </w:tc>
      </w:tr>
      <w:tr>
        <w:tc>
          <w:tcPr>
            <w:tcW w:type="dxa" w:w="2621"/>
            <w:shd w:fill="FFFFFF" w:val="clear"/>
            <w:tcMar>
              <w:top w:type="dxa" w:w="90"/>
              <w:left w:type="dxa" w:w="120"/>
              <w:bottom w:type="dxa" w:w="90"/>
              <w:right w:type="dxa" w:w="120"/>
            </w:tcMar>
          </w:tcPr>
          <w:p>
            <w:pPr>
              <w:spacing w:after="0" w:before="0" w:line="260"/>
            </w:pPr>
            <w:r>
              <w:rPr>
                <w:color w:val="52514E"/>
                <w:sz w:val="18"/>
                <w:szCs w:val="18"/>
              </w:rPr>
              <w:t xml:space="preserve">Sheet, header row</w:t>
            </w:r>
          </w:p>
        </w:tc>
        <w:tc>
          <w:tcPr>
            <w:tcW w:type="dxa" w:w="6739"/>
            <w:shd w:fill="FFFFFF" w:val="clear"/>
            <w:tcMar>
              <w:top w:type="dxa" w:w="90"/>
              <w:left w:type="dxa" w:w="120"/>
              <w:bottom w:type="dxa" w:w="90"/>
              <w:right w:type="dxa" w:w="120"/>
            </w:tcMar>
          </w:tcPr>
          <w:p>
            <w:pPr>
              <w:spacing w:after="0" w:before="0" w:line="260"/>
            </w:pPr>
            <w:r>
              <w:rPr>
                <w:color w:val="52514E"/>
                <w:sz w:val="18"/>
                <w:szCs w:val="18"/>
              </w:rPr>
              <w:t xml:space="preserve">Did it find the real header, not a title row?</w:t>
            </w:r>
          </w:p>
        </w:tc>
      </w:tr>
      <w:tr>
        <w:tc>
          <w:tcPr>
            <w:tcW w:type="dxa" w:w="2621"/>
            <w:shd w:fill="F7F7F5" w:val="clear"/>
            <w:tcMar>
              <w:top w:type="dxa" w:w="90"/>
              <w:left w:type="dxa" w:w="120"/>
              <w:bottom w:type="dxa" w:w="90"/>
              <w:right w:type="dxa" w:w="120"/>
            </w:tcMar>
          </w:tcPr>
          <w:p>
            <w:pPr>
              <w:spacing w:after="0" w:before="0" w:line="260"/>
            </w:pPr>
            <w:r>
              <w:rPr>
                <w:color w:val="52514E"/>
                <w:sz w:val="18"/>
                <w:szCs w:val="18"/>
              </w:rPr>
              <w:t xml:space="preserve">Period</w:t>
            </w:r>
          </w:p>
        </w:tc>
        <w:tc>
          <w:tcPr>
            <w:tcW w:type="dxa" w:w="6739"/>
            <w:shd w:fill="F7F7F5" w:val="clear"/>
            <w:tcMar>
              <w:top w:type="dxa" w:w="90"/>
              <w:left w:type="dxa" w:w="120"/>
              <w:bottom w:type="dxa" w:w="90"/>
              <w:right w:type="dxa" w:w="120"/>
            </w:tcMar>
          </w:tcPr>
          <w:p>
            <w:pPr>
              <w:spacing w:after="0" w:before="0" w:line="260"/>
            </w:pPr>
            <w:r>
              <w:rPr>
                <w:color w:val="52514E"/>
                <w:sz w:val="18"/>
                <w:szCs w:val="18"/>
              </w:rPr>
              <w:t xml:space="preserve">Do the dates match the export you asked for?</w:t>
            </w:r>
          </w:p>
        </w:tc>
      </w:tr>
      <w:tr>
        <w:tc>
          <w:tcPr>
            <w:tcW w:type="dxa" w:w="2621"/>
            <w:shd w:fill="FFFFFF" w:val="clear"/>
            <w:tcMar>
              <w:top w:type="dxa" w:w="90"/>
              <w:left w:type="dxa" w:w="120"/>
              <w:bottom w:type="dxa" w:w="90"/>
              <w:right w:type="dxa" w:w="120"/>
            </w:tcMar>
          </w:tcPr>
          <w:p>
            <w:pPr>
              <w:spacing w:after="0" w:before="0" w:line="260"/>
            </w:pPr>
            <w:r>
              <w:rPr>
                <w:color w:val="52514E"/>
                <w:sz w:val="18"/>
                <w:szCs w:val="18"/>
              </w:rPr>
              <w:t xml:space="preserve">Rows read</w:t>
            </w:r>
          </w:p>
        </w:tc>
        <w:tc>
          <w:tcPr>
            <w:tcW w:type="dxa" w:w="6739"/>
            <w:shd w:fill="FFFFFF" w:val="clear"/>
            <w:tcMar>
              <w:top w:type="dxa" w:w="90"/>
              <w:left w:type="dxa" w:w="120"/>
              <w:bottom w:type="dxa" w:w="90"/>
              <w:right w:type="dxa" w:w="120"/>
            </w:tcMar>
          </w:tcPr>
          <w:p>
            <w:pPr>
              <w:spacing w:after="0" w:before="0" w:line="260"/>
            </w:pPr>
            <w:r>
              <w:rPr>
                <w:color w:val="52514E"/>
                <w:sz w:val="18"/>
                <w:szCs w:val="18"/>
              </w:rPr>
              <w:t xml:space="preserve">Does this match the number of sites, or of device-days?</w:t>
            </w:r>
          </w:p>
        </w:tc>
      </w:tr>
      <w:tr>
        <w:tc>
          <w:tcPr>
            <w:tcW w:type="dxa" w:w="2621"/>
            <w:shd w:fill="F7F7F5" w:val="clear"/>
            <w:tcMar>
              <w:top w:type="dxa" w:w="90"/>
              <w:left w:type="dxa" w:w="120"/>
              <w:bottom w:type="dxa" w:w="90"/>
              <w:right w:type="dxa" w:w="120"/>
            </w:tcMar>
          </w:tcPr>
          <w:p>
            <w:pPr>
              <w:spacing w:after="0" w:before="0" w:line="260"/>
            </w:pPr>
            <w:r>
              <w:rPr>
                <w:color w:val="52514E"/>
                <w:sz w:val="18"/>
                <w:szCs w:val="18"/>
              </w:rPr>
              <w:t xml:space="preserve">Values kept / blank</w:t>
            </w:r>
          </w:p>
        </w:tc>
        <w:tc>
          <w:tcPr>
            <w:tcW w:type="dxa" w:w="6739"/>
            <w:shd w:fill="F7F7F5" w:val="clear"/>
            <w:tcMar>
              <w:top w:type="dxa" w:w="90"/>
              <w:left w:type="dxa" w:w="120"/>
              <w:bottom w:type="dxa" w:w="90"/>
              <w:right w:type="dxa" w:w="120"/>
            </w:tcMar>
          </w:tcPr>
          <w:p>
            <w:pPr>
              <w:spacing w:after="0" w:before="0" w:line="260"/>
            </w:pPr>
            <w:r>
              <w:rPr>
                <w:color w:val="52514E"/>
                <w:sz w:val="18"/>
                <w:szCs w:val="18"/>
              </w:rPr>
              <w:t xml:space="preserve">A high blank count means the export itself has holes</w:t>
            </w:r>
          </w:p>
        </w:tc>
      </w:tr>
      <w:tr>
        <w:tc>
          <w:tcPr>
            <w:tcW w:type="dxa" w:w="2621"/>
            <w:shd w:fill="FFFFFF" w:val="clear"/>
            <w:tcMar>
              <w:top w:type="dxa" w:w="90"/>
              <w:left w:type="dxa" w:w="120"/>
              <w:bottom w:type="dxa" w:w="90"/>
              <w:right w:type="dxa" w:w="120"/>
            </w:tcMar>
          </w:tcPr>
          <w:p>
            <w:pPr>
              <w:spacing w:after="0" w:before="0" w:line="260"/>
            </w:pPr>
            <w:r>
              <w:rPr>
                <w:color w:val="52514E"/>
                <w:sz w:val="18"/>
                <w:szCs w:val="18"/>
              </w:rPr>
              <w:t xml:space="preserve">Blank by metric</w:t>
            </w:r>
          </w:p>
        </w:tc>
        <w:tc>
          <w:tcPr>
            <w:tcW w:type="dxa" w:w="6739"/>
            <w:shd w:fill="FFFFFF" w:val="clear"/>
            <w:tcMar>
              <w:top w:type="dxa" w:w="90"/>
              <w:left w:type="dxa" w:w="120"/>
              <w:bottom w:type="dxa" w:w="90"/>
              <w:right w:type="dxa" w:w="120"/>
            </w:tcMar>
          </w:tcPr>
          <w:p>
            <w:pPr>
              <w:spacing w:after="0" w:before="0" w:line="260"/>
            </w:pPr>
            <w:r>
              <w:rPr>
                <w:color w:val="52514E"/>
                <w:sz w:val="18"/>
                <w:szCs w:val="18"/>
              </w:rPr>
              <w:t xml:space="preserve">Which column those holes are in</w:t>
            </w:r>
          </w:p>
        </w:tc>
      </w:tr>
      <w:tr>
        <w:tc>
          <w:tcPr>
            <w:tcW w:type="dxa" w:w="2621"/>
            <w:shd w:fill="F7F7F5" w:val="clear"/>
            <w:tcMar>
              <w:top w:type="dxa" w:w="90"/>
              <w:left w:type="dxa" w:w="120"/>
              <w:bottom w:type="dxa" w:w="90"/>
              <w:right w:type="dxa" w:w="120"/>
            </w:tcMar>
          </w:tcPr>
          <w:p>
            <w:pPr>
              <w:spacing w:after="0" w:before="0" w:line="260"/>
            </w:pPr>
            <w:r>
              <w:rPr>
                <w:color w:val="52514E"/>
                <w:sz w:val="18"/>
                <w:szCs w:val="18"/>
              </w:rPr>
              <w:t xml:space="preserve">SHA-256</w:t>
            </w:r>
          </w:p>
        </w:tc>
        <w:tc>
          <w:tcPr>
            <w:tcW w:type="dxa" w:w="6739"/>
            <w:shd w:fill="F7F7F5" w:val="clear"/>
            <w:tcMar>
              <w:top w:type="dxa" w:w="90"/>
              <w:left w:type="dxa" w:w="120"/>
              <w:bottom w:type="dxa" w:w="90"/>
              <w:right w:type="dxa" w:w="120"/>
            </w:tcMar>
          </w:tcPr>
          <w:p>
            <w:pPr>
              <w:spacing w:after="0" w:before="0" w:line="260"/>
            </w:pPr>
            <w:r>
              <w:rPr>
                <w:color w:val="52514E"/>
                <w:sz w:val="18"/>
                <w:szCs w:val="18"/>
              </w:rPr>
              <w:t xml:space="preserve">The fingerprint of the file, stored with it and shown again at the bottom of every drill-down</w:t>
            </w:r>
          </w:p>
        </w:tc>
      </w:tr>
    </w:tbl>
    <w:p>
      <w:pPr>
        <w:spacing w:after="80"/>
      </w:pPr>
    </w:p>
    <w:p>
      <w:pPr>
        <w:spacing w:after="120" w:before="60" w:line="280"/>
      </w:pPr>
      <w:r>
        <w:rPr>
          <w:color w:val="52514E"/>
          <w:sz w:val="20"/>
          <w:szCs w:val="20"/>
        </w:rPr>
        <w:t xml:space="preserve">Any column the parser recognised but did not use is listed as a note. Anything it could not read at all is a note too. Nothing is dropped silently.</w:t>
      </w:r>
    </w:p>
    <w:p>
      <w:pPr>
        <w:pStyle w:val="Heading3"/>
        <w:spacing w:after="80" w:before="190"/>
      </w:pPr>
      <w:r>
        <w:rPr>
          <w:b/>
          <w:bCs/>
          <w:color w:val="52514E"/>
          <w:sz w:val="21"/>
          <w:szCs w:val="21"/>
        </w:rPr>
        <w:t xml:space="preserve">Uploading the same file twice</w:t>
      </w:r>
    </w:p>
    <w:p>
      <w:pPr>
        <w:spacing w:after="120" w:before="60" w:line="280"/>
      </w:pPr>
      <w:r>
        <w:rPr>
          <w:color w:val="52514E"/>
          <w:sz w:val="20"/>
          <w:szCs w:val="20"/>
        </w:rPr>
        <w:t xml:space="preserve">Nothing happens. The portal hashes every file, recognises those exact bytes, and tells you which upload it already is. It does not load it again.</w:t>
      </w:r>
    </w:p>
    <w:p>
      <w:pPr>
        <w:pStyle w:val="Heading3"/>
        <w:spacing w:after="80" w:before="190"/>
      </w:pPr>
      <w:r>
        <w:rPr>
          <w:b/>
          <w:bCs/>
          <w:color w:val="52514E"/>
          <w:sz w:val="21"/>
          <w:szCs w:val="21"/>
        </w:rPr>
        <w:t xml:space="preserve">Uploading a file that covers dates you already have</w:t>
      </w:r>
    </w:p>
    <w:p>
      <w:pPr>
        <w:spacing w:after="120" w:before="60" w:line="280"/>
      </w:pPr>
      <w:r>
        <w:rPr>
          <w:color w:val="52514E"/>
          <w:sz w:val="20"/>
          <w:szCs w:val="20"/>
        </w:rPr>
        <w:t xml:space="preserve">It loads, and the overlap is flagged. The newer upload wins for the days that overlap; the older readings are kept and marked superseded, never deleted. You can see both in the drill-down, where the losing row is labelled.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A78D6" w:sz="18"/>
              <w:bottom w:val="nil"/>
              <w:right w:val="nil"/>
            </w:tcBorders>
            <w:shd w:fill="F4F7FC" w:val="clear"/>
            <w:tcMar>
              <w:top w:type="dxa" w:w="140"/>
              <w:left w:type="dxa" w:w="180"/>
              <w:bottom w:type="dxa" w:w="140"/>
              <w:right w:type="dxa" w:w="180"/>
            </w:tcMar>
          </w:tcPr>
          <w:p>
            <w:pPr>
              <w:spacing w:line="280"/>
            </w:pPr>
            <w:r>
              <w:rPr>
                <w:b/>
                <w:bCs/>
                <w:color w:val="2A78D6"/>
                <w:sz w:val="20"/>
                <w:szCs w:val="20"/>
              </w:rPr>
              <w:t xml:space="preserve">This is how you correct data.  </w:t>
            </w:r>
            <w:r>
              <w:rPr>
                <w:color w:val="52514E"/>
                <w:sz w:val="20"/>
                <w:szCs w:val="20"/>
              </w:rPr>
              <w:t xml:space="preserve">Upload the corrected export. Nothing is ever edited in place, and the old version stays there to be looked at.</w:t>
            </w:r>
          </w:p>
        </w:tc>
      </w:tr>
    </w:tbl>
    <w:p>
      <w:pPr>
        <w:pStyle w:val="Heading1"/>
        <w:pBdr>
          <w:bottom w:val="single" w:color="2A78D6" w:sz="10" w:space="6"/>
        </w:pBdr>
        <w:spacing w:after="140" w:before="380"/>
      </w:pPr>
      <w:r>
        <w:rPr>
          <w:b/>
          <w:bCs/>
          <w:color w:val="2A78D6"/>
          <w:sz w:val="30"/>
          <w:szCs w:val="30"/>
        </w:rPr>
        <w:t xml:space="preserve">2 · Read the Overview</w:t>
      </w:r>
    </w:p>
    <w:p>
      <w:pPr>
        <w:pStyle w:val="Heading3"/>
        <w:spacing w:after="80" w:before="190"/>
      </w:pPr>
      <w:r>
        <w:rPr>
          <w:b/>
          <w:bCs/>
          <w:color w:val="52514E"/>
          <w:sz w:val="21"/>
          <w:szCs w:val="21"/>
        </w:rPr>
        <w:t xml:space="preserve">The headline cards</w:t>
      </w:r>
    </w:p>
    <w:p>
      <w:pPr>
        <w:spacing w:after="120" w:before="60" w:line="280"/>
      </w:pPr>
      <w:r>
        <w:rPr>
          <w:color w:val="52514E"/>
          <w:sz w:val="20"/>
          <w:szCs w:val="20"/>
        </w:rPr>
        <w:t xml:space="preserve">Energy generated, eligible energy, emission reduction, VCUs issuable, indicative revenue, coverage. Click any of them to open the drill-down.</w:t>
      </w:r>
    </w:p>
    <w:p>
      <w:pPr>
        <w:pStyle w:val="Heading3"/>
        <w:spacing w:after="80" w:before="190"/>
      </w:pPr>
      <w:r>
        <w:rPr>
          <w:b/>
          <w:bCs/>
          <w:color w:val="52514E"/>
          <w:sz w:val="21"/>
          <w:szCs w:val="21"/>
        </w:rPr>
        <w:t xml:space="preserve">The river</w:t>
      </w:r>
    </w:p>
    <w:p>
      <w:pPr>
        <w:spacing w:after="120" w:before="60" w:line="280"/>
      </w:pPr>
      <w:r>
        <w:rPr>
          <w:color w:val="52514E"/>
          <w:sz w:val="20"/>
          <w:szCs w:val="20"/>
        </w:rPr>
        <w:t xml:space="preserve">The neutral bar on the left is every kWh read from your files. It splits into the green Eligible stream and one coloured stream per exclusion reason, each directly labelled:</w:t>
      </w:r>
    </w:p>
    <w:tbl>
      <w:tblPr>
        <w:tblW w:type="dxa" w:w="9360"/>
        <w:tblBorders>
          <w:top w:val="single" w:color="E3E2DD" w:sz="2"/>
          <w:left w:val="nil"/>
          <w:bottom w:val="single" w:color="E3E2DD" w:sz="2"/>
          <w:right w:val="nil"/>
          <w:insideH w:val="single" w:color="E3E2DD" w:sz="2"/>
          <w:insideV w:val="nil"/>
        </w:tblBorders>
      </w:tblPr>
      <w:tblGrid>
        <w:gridCol w:w="2621"/>
        <w:gridCol w:w="1498"/>
        <w:gridCol w:w="5242"/>
      </w:tblGrid>
      <w:tr>
        <w:trPr>
          <w:tblHeader/>
        </w:trPr>
        <w:tc>
          <w:tcPr>
            <w:tcW w:type="dxa" w:w="2621"/>
            <w:shd w:fill="2A78D6" w:val="clear"/>
            <w:tcMar>
              <w:top w:type="dxa" w:w="90"/>
              <w:left w:type="dxa" w:w="120"/>
              <w:bottom w:type="dxa" w:w="90"/>
              <w:right w:type="dxa" w:w="120"/>
            </w:tcMar>
          </w:tcPr>
          <w:p>
            <w:pPr>
              <w:spacing w:after="0" w:before="0"/>
            </w:pPr>
            <w:r>
              <w:rPr>
                <w:b/>
                <w:bCs/>
                <w:color w:val="FFFFFF"/>
                <w:spacing w:val="20"/>
                <w:sz w:val="17"/>
                <w:szCs w:val="17"/>
              </w:rPr>
              <w:t xml:space="preserve">Stream</w:t>
            </w:r>
          </w:p>
        </w:tc>
        <w:tc>
          <w:tcPr>
            <w:tcW w:type="dxa" w:w="1498"/>
            <w:shd w:fill="2A78D6" w:val="clear"/>
            <w:tcMar>
              <w:top w:type="dxa" w:w="90"/>
              <w:left w:type="dxa" w:w="120"/>
              <w:bottom w:type="dxa" w:w="90"/>
              <w:right w:type="dxa" w:w="120"/>
            </w:tcMar>
          </w:tcPr>
          <w:p>
            <w:pPr>
              <w:spacing w:after="0" w:before="0"/>
            </w:pPr>
            <w:r>
              <w:rPr>
                <w:b/>
                <w:bCs/>
                <w:color w:val="FFFFFF"/>
                <w:spacing w:val="20"/>
                <w:sz w:val="17"/>
                <w:szCs w:val="17"/>
              </w:rPr>
              <w:t xml:space="preserve">Colour</w:t>
            </w:r>
          </w:p>
        </w:tc>
        <w:tc>
          <w:tcPr>
            <w:tcW w:type="dxa" w:w="5242"/>
            <w:shd w:fill="2A78D6" w:val="clear"/>
            <w:tcMar>
              <w:top w:type="dxa" w:w="90"/>
              <w:left w:type="dxa" w:w="120"/>
              <w:bottom w:type="dxa" w:w="90"/>
              <w:right w:type="dxa" w:w="120"/>
            </w:tcMar>
          </w:tcPr>
          <w:p>
            <w:pPr>
              <w:spacing w:after="0" w:before="0"/>
            </w:pPr>
            <w:r>
              <w:rPr>
                <w:b/>
                <w:bCs/>
                <w:color w:val="FFFFFF"/>
                <w:spacing w:val="20"/>
                <w:sz w:val="17"/>
                <w:szCs w:val="17"/>
              </w:rPr>
              <w:t xml:space="preserve">What it means</w:t>
            </w:r>
          </w:p>
        </w:tc>
      </w:tr>
      <w:tr>
        <w:tc>
          <w:tcPr>
            <w:tcW w:type="dxa" w:w="2621"/>
            <w:shd w:fill="F7F7F5" w:val="clear"/>
            <w:tcMar>
              <w:top w:type="dxa" w:w="90"/>
              <w:left w:type="dxa" w:w="120"/>
              <w:bottom w:type="dxa" w:w="90"/>
              <w:right w:type="dxa" w:w="120"/>
            </w:tcMar>
          </w:tcPr>
          <w:p>
            <w:pPr>
              <w:spacing w:after="0" w:before="0" w:line="260"/>
            </w:pPr>
            <w:r>
              <w:rPr>
                <w:color w:val="52514E"/>
                <w:sz w:val="18"/>
                <w:szCs w:val="18"/>
              </w:rPr>
              <w:t xml:space="preserve">Quality suspect</w:t>
            </w:r>
          </w:p>
        </w:tc>
        <w:tc>
          <w:tcPr>
            <w:tcW w:type="dxa" w:w="1498"/>
            <w:shd w:fill="F7F7F5" w:val="clear"/>
            <w:tcMar>
              <w:top w:type="dxa" w:w="90"/>
              <w:left w:type="dxa" w:w="120"/>
              <w:bottom w:type="dxa" w:w="90"/>
              <w:right w:type="dxa" w:w="120"/>
            </w:tcMar>
          </w:tcPr>
          <w:p>
            <w:pPr>
              <w:spacing w:after="0" w:before="0" w:line="260"/>
            </w:pPr>
            <w:r>
              <w:rPr>
                <w:b/>
                <w:bCs/>
                <w:color w:val="EDA100"/>
                <w:sz w:val="18"/>
                <w:szCs w:val="18"/>
              </w:rPr>
              <w:t xml:space="preserve">■ gold</w:t>
            </w:r>
          </w:p>
        </w:tc>
        <w:tc>
          <w:tcPr>
            <w:tcW w:type="dxa" w:w="5242"/>
            <w:shd w:fill="F7F7F5" w:val="clear"/>
            <w:tcMar>
              <w:top w:type="dxa" w:w="90"/>
              <w:left w:type="dxa" w:w="120"/>
              <w:bottom w:type="dxa" w:w="90"/>
              <w:right w:type="dxa" w:w="120"/>
            </w:tcMar>
          </w:tcPr>
          <w:p>
            <w:pPr>
              <w:spacing w:after="0" w:before="0" w:line="260"/>
            </w:pPr>
            <w:r>
              <w:rPr>
                <w:color w:val="52514E"/>
                <w:sz w:val="18"/>
                <w:szCs w:val="18"/>
              </w:rPr>
              <w:t xml:space="preserve">The day broke a quality rule — zero, implausible, or two files disagreeing</w:t>
            </w:r>
          </w:p>
        </w:tc>
      </w:tr>
      <w:tr>
        <w:tc>
          <w:tcPr>
            <w:tcW w:type="dxa" w:w="2621"/>
            <w:shd w:fill="FFFFFF" w:val="clear"/>
            <w:tcMar>
              <w:top w:type="dxa" w:w="90"/>
              <w:left w:type="dxa" w:w="120"/>
              <w:bottom w:type="dxa" w:w="90"/>
              <w:right w:type="dxa" w:w="120"/>
            </w:tcMar>
          </w:tcPr>
          <w:p>
            <w:pPr>
              <w:spacing w:after="0" w:before="0" w:line="260"/>
            </w:pPr>
            <w:r>
              <w:rPr>
                <w:color w:val="52514E"/>
                <w:sz w:val="18"/>
                <w:szCs w:val="18"/>
              </w:rPr>
              <w:t xml:space="preserve">Data gap</w:t>
            </w:r>
          </w:p>
        </w:tc>
        <w:tc>
          <w:tcPr>
            <w:tcW w:type="dxa" w:w="1498"/>
            <w:shd w:fill="FFFFFF" w:val="clear"/>
            <w:tcMar>
              <w:top w:type="dxa" w:w="90"/>
              <w:left w:type="dxa" w:w="120"/>
              <w:bottom w:type="dxa" w:w="90"/>
              <w:right w:type="dxa" w:w="120"/>
            </w:tcMar>
          </w:tcPr>
          <w:p>
            <w:pPr>
              <w:spacing w:after="0" w:before="0" w:line="260"/>
            </w:pPr>
            <w:r>
              <w:rPr>
                <w:b/>
                <w:bCs/>
                <w:color w:val="D03B3B"/>
                <w:sz w:val="18"/>
                <w:szCs w:val="18"/>
              </w:rPr>
              <w:t xml:space="preserve">■ red</w:t>
            </w:r>
          </w:p>
        </w:tc>
        <w:tc>
          <w:tcPr>
            <w:tcW w:type="dxa" w:w="5242"/>
            <w:shd w:fill="FFFFFF" w:val="clear"/>
            <w:tcMar>
              <w:top w:type="dxa" w:w="90"/>
              <w:left w:type="dxa" w:w="120"/>
              <w:bottom w:type="dxa" w:w="90"/>
              <w:right w:type="dxa" w:w="120"/>
            </w:tcMar>
          </w:tcPr>
          <w:p>
            <w:pPr>
              <w:spacing w:after="0" w:before="0" w:line="260"/>
            </w:pPr>
            <w:r>
              <w:rPr>
                <w:color w:val="52514E"/>
                <w:sz w:val="18"/>
                <w:szCs w:val="18"/>
              </w:rPr>
              <w:t xml:space="preserve">No row existed for that site on that day</w:t>
            </w:r>
          </w:p>
        </w:tc>
      </w:tr>
      <w:tr>
        <w:tc>
          <w:tcPr>
            <w:tcW w:type="dxa" w:w="2621"/>
            <w:shd w:fill="F7F7F5" w:val="clear"/>
            <w:tcMar>
              <w:top w:type="dxa" w:w="90"/>
              <w:left w:type="dxa" w:w="120"/>
              <w:bottom w:type="dxa" w:w="90"/>
              <w:right w:type="dxa" w:w="120"/>
            </w:tcMar>
          </w:tcPr>
          <w:p>
            <w:pPr>
              <w:spacing w:after="0" w:before="0" w:line="260"/>
            </w:pPr>
            <w:r>
              <w:rPr>
                <w:color w:val="52514E"/>
                <w:sz w:val="18"/>
                <w:szCs w:val="18"/>
              </w:rPr>
              <w:t xml:space="preserve">Before grid connection</w:t>
            </w:r>
          </w:p>
        </w:tc>
        <w:tc>
          <w:tcPr>
            <w:tcW w:type="dxa" w:w="1498"/>
            <w:shd w:fill="F7F7F5" w:val="clear"/>
            <w:tcMar>
              <w:top w:type="dxa" w:w="90"/>
              <w:left w:type="dxa" w:w="120"/>
              <w:bottom w:type="dxa" w:w="90"/>
              <w:right w:type="dxa" w:w="120"/>
            </w:tcMar>
          </w:tcPr>
          <w:p>
            <w:pPr>
              <w:spacing w:after="0" w:before="0" w:line="260"/>
            </w:pPr>
            <w:r>
              <w:rPr>
                <w:b/>
                <w:bCs/>
                <w:color w:val="4A3AA7"/>
                <w:sz w:val="18"/>
                <w:szCs w:val="18"/>
              </w:rPr>
              <w:t xml:space="preserve">■ violet</w:t>
            </w:r>
          </w:p>
        </w:tc>
        <w:tc>
          <w:tcPr>
            <w:tcW w:type="dxa" w:w="5242"/>
            <w:shd w:fill="F7F7F5" w:val="clear"/>
            <w:tcMar>
              <w:top w:type="dxa" w:w="90"/>
              <w:left w:type="dxa" w:w="120"/>
              <w:bottom w:type="dxa" w:w="90"/>
              <w:right w:type="dxa" w:w="120"/>
            </w:tcMar>
          </w:tcPr>
          <w:p>
            <w:pPr>
              <w:spacing w:after="0" w:before="0" w:line="260"/>
            </w:pPr>
            <w:r>
              <w:rPr>
                <w:color w:val="52514E"/>
                <w:sz w:val="18"/>
                <w:szCs w:val="18"/>
              </w:rPr>
              <w:t xml:space="preserve">The site was not yet connected</w:t>
            </w:r>
          </w:p>
        </w:tc>
      </w:tr>
      <w:tr>
        <w:tc>
          <w:tcPr>
            <w:tcW w:type="dxa" w:w="2621"/>
            <w:shd w:fill="FFFFFF" w:val="clear"/>
            <w:tcMar>
              <w:top w:type="dxa" w:w="90"/>
              <w:left w:type="dxa" w:w="120"/>
              <w:bottom w:type="dxa" w:w="90"/>
              <w:right w:type="dxa" w:w="120"/>
            </w:tcMar>
          </w:tcPr>
          <w:p>
            <w:pPr>
              <w:spacing w:after="0" w:before="0" w:line="260"/>
            </w:pPr>
            <w:r>
              <w:rPr>
                <w:color w:val="52514E"/>
                <w:sz w:val="18"/>
                <w:szCs w:val="18"/>
              </w:rPr>
              <w:t xml:space="preserve">Site inactive</w:t>
            </w:r>
          </w:p>
        </w:tc>
        <w:tc>
          <w:tcPr>
            <w:tcW w:type="dxa" w:w="1498"/>
            <w:shd w:fill="FFFFFF" w:val="clear"/>
            <w:tcMar>
              <w:top w:type="dxa" w:w="90"/>
              <w:left w:type="dxa" w:w="120"/>
              <w:bottom w:type="dxa" w:w="90"/>
              <w:right w:type="dxa" w:w="120"/>
            </w:tcMar>
          </w:tcPr>
          <w:p>
            <w:pPr>
              <w:spacing w:after="0" w:before="0" w:line="260"/>
            </w:pPr>
            <w:r>
              <w:rPr>
                <w:b/>
                <w:bCs/>
                <w:color w:val="2A78D6"/>
                <w:sz w:val="18"/>
                <w:szCs w:val="18"/>
              </w:rPr>
              <w:t xml:space="preserve">■ blue</w:t>
            </w:r>
          </w:p>
        </w:tc>
        <w:tc>
          <w:tcPr>
            <w:tcW w:type="dxa" w:w="5242"/>
            <w:shd w:fill="FFFFFF" w:val="clear"/>
            <w:tcMar>
              <w:top w:type="dxa" w:w="90"/>
              <w:left w:type="dxa" w:w="120"/>
              <w:bottom w:type="dxa" w:w="90"/>
              <w:right w:type="dxa" w:w="120"/>
            </w:tcMar>
          </w:tcPr>
          <w:p>
            <w:pPr>
              <w:spacing w:after="0" w:before="0" w:line="260"/>
            </w:pPr>
            <w:r>
              <w:rPr>
                <w:color w:val="52514E"/>
                <w:sz w:val="18"/>
                <w:szCs w:val="18"/>
              </w:rPr>
              <w:t xml:space="preserve">The site's status is not a running one</w:t>
            </w:r>
          </w:p>
        </w:tc>
      </w:tr>
    </w:tbl>
    <w:p>
      <w:pPr>
        <w:spacing w:after="70"/>
      </w:pPr>
    </w:p>
    <w:p>
      <w:pPr>
        <w:spacing w:after="120" w:before="60" w:line="280"/>
      </w:pPr>
      <w:r>
        <w:rPr>
          <w:color w:val="52514E"/>
          <w:sz w:val="20"/>
          <w:szCs w:val="20"/>
        </w:rPr>
        <w:t xml:space="preserve">The green stream flows on to the VCU box. Click any band to see the days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BAF7A" w:sz="18"/>
              <w:bottom w:val="nil"/>
              <w:right w:val="nil"/>
            </w:tcBorders>
            <w:shd w:fill="E4F6EF" w:val="clear"/>
            <w:tcMar>
              <w:top w:type="dxa" w:w="140"/>
              <w:left w:type="dxa" w:w="180"/>
              <w:bottom w:type="dxa" w:w="140"/>
              <w:right w:type="dxa" w:w="180"/>
            </w:tcMar>
          </w:tcPr>
          <w:p>
            <w:pPr>
              <w:spacing w:line="280"/>
            </w:pPr>
            <w:r>
              <w:rPr>
                <w:b/>
                <w:bCs/>
                <w:color w:val="1BAF7A"/>
                <w:sz w:val="20"/>
                <w:szCs w:val="20"/>
              </w:rPr>
              <w:t xml:space="preserve">The point of the river.  </w:t>
            </w:r>
            <w:r>
              <w:rPr>
                <w:color w:val="52514E"/>
                <w:sz w:val="20"/>
                <w:szCs w:val="20"/>
              </w:rPr>
              <w:t xml:space="preserve">Nothing disappears between generation and credits. Eligible plus every exclusion stream equals generated, exactly — and the tests assert it.</w:t>
            </w:r>
          </w:p>
        </w:tc>
      </w:tr>
    </w:tbl>
    <w:p>
      <w:pPr>
        <w:pStyle w:val="Heading3"/>
        <w:spacing w:after="80" w:before="190"/>
      </w:pPr>
      <w:r>
        <w:rPr>
          <w:b/>
          <w:bCs/>
          <w:color w:val="52514E"/>
          <w:sz w:val="21"/>
          <w:szCs w:val="21"/>
        </w:rPr>
        <w:t xml:space="preserve">The calculation panel</w:t>
      </w:r>
    </w:p>
    <w:p>
      <w:pPr>
        <w:spacing w:after="120" w:before="60" w:line="280"/>
      </w:pPr>
      <w:r>
        <w:rPr>
          <w:color w:val="52514E"/>
          <w:sz w:val="20"/>
          <w:szCs w:val="20"/>
        </w:rPr>
        <w:t xml:space="preserve">The formula with this period’s real numbers substituted in, one step at a time, each labelled with the SQL view that produced it: eligible energy, emission reduction, VCUs issuable, indicative revenue. The emission factor is shown with its margin, vintage, applicability and published validity — never as a bare constant.</w:t>
      </w:r>
    </w:p>
    <w:p>
      <w:pPr>
        <w:pStyle w:val="Heading3"/>
        <w:spacing w:after="80" w:before="190"/>
      </w:pPr>
      <w:r>
        <w:rPr>
          <w:b/>
          <w:bCs/>
          <w:color w:val="52514E"/>
          <w:sz w:val="21"/>
          <w:szCs w:val="21"/>
        </w:rPr>
        <w:t xml:space="preserve">Reference data</w:t>
      </w:r>
    </w:p>
    <w:p>
      <w:pPr>
        <w:spacing w:after="120" w:before="60" w:line="280"/>
      </w:pPr>
      <w:r>
        <w:rPr>
          <w:color w:val="52514E"/>
          <w:sz w:val="20"/>
          <w:szCs w:val="20"/>
        </w:rPr>
        <w:t xml:space="preserve">Every published margin from the standardized baseline is listed, with the one actually in use marked "applied" and the rest marked "reference". A verifier can see that the others were considered rather than missed. Anything nobody has checked against the source document is badged "unverified", and so is every number derived from it.</w:t>
      </w:r>
    </w:p>
    <w:p>
      <w:pPr>
        <w:pStyle w:val="Heading3"/>
        <w:spacing w:after="80" w:before="190"/>
      </w:pPr>
      <w:r>
        <w:rPr>
          <w:b/>
          <w:bCs/>
          <w:color w:val="52514E"/>
          <w:sz w:val="21"/>
          <w:szCs w:val="21"/>
        </w:rPr>
        <w:t xml:space="preserve">Stated assumptions</w:t>
      </w:r>
    </w:p>
    <w:p>
      <w:pPr>
        <w:spacing w:after="120" w:before="60" w:line="280"/>
      </w:pPr>
      <w:r>
        <w:rPr>
          <w:color w:val="52514E"/>
          <w:sz w:val="20"/>
          <w:szCs w:val="20"/>
        </w:rPr>
        <w:t xml:space="preserve">Five decisions that change the headline number, on screen rather than buried. Each shows the environment variable that controls it, so a disagreement about a threshold is a configuration change rather than an argument. Guide 2 covers all of them.</w:t>
      </w:r>
    </w:p>
    <w:p>
      <w:pPr>
        <w:pStyle w:val="Heading1"/>
        <w:pBdr>
          <w:bottom w:val="single" w:color="4A3AA7" w:sz="10" w:space="6"/>
        </w:pBdr>
        <w:spacing w:after="140" w:before="380"/>
      </w:pPr>
      <w:r>
        <w:rPr>
          <w:b/>
          <w:bCs/>
          <w:color w:val="4A3AA7"/>
          <w:sz w:val="30"/>
          <w:szCs w:val="30"/>
        </w:rPr>
        <w:t xml:space="preserve">3 · Drill down to the cell</w:t>
      </w:r>
    </w:p>
    <w:p>
      <w:pPr>
        <w:spacing w:after="120" w:before="60" w:line="280"/>
      </w:pPr>
      <w:r>
        <w:rPr>
          <w:color w:val="52514E"/>
          <w:sz w:val="20"/>
          <w:szCs w:val="20"/>
        </w:rPr>
        <w:t xml:space="preserve">This is the part worth demonstrating. Click a credit number and keep clicking:</w:t>
      </w:r>
    </w:p>
    <w:p>
      <w:pPr>
        <w:pBdr>
          <w:left w:val="single" w:color="256ABF" w:sz="12" w:space="6"/>
        </w:pBdr>
        <w:shd w:fill="EEEBFA" w:val="clear"/>
        <w:spacing w:after="150" w:before="100" w:line="250"/>
        <w:ind w:left="140" w:right="140"/>
      </w:pPr>
      <w:r>
        <w:rPr>
          <w:rFonts w:ascii="Consolas" w:cs="Consolas" w:eastAsia="Consolas" w:hAnsi="Consolas"/>
          <w:color w:val="0B0B0B"/>
          <w:sz w:val="18"/>
          <w:szCs w:val="18"/>
        </w:rPr>
        <w:t xml:space="preserve">Credits  &gt;  March 2025  &gt;  SANNOVA Kotayk 3  &gt;  01 Mar 2025  &gt;  cell BK6</w:t>
      </w:r>
    </w:p>
    <w:p>
      <w:pPr>
        <w:pStyle w:val="ListParagraph"/>
        <w:numPr>
          <w:ilvl w:val="0"/>
          <w:numId w:val="2"/>
        </w:numPr>
        <w:spacing w:after="70" w:before="40" w:line="280"/>
      </w:pPr>
      <w:r>
        <w:rPr>
          <w:b/>
          <w:bCs/>
          <w:color w:val="0B0B0B"/>
          <w:sz w:val="20"/>
          <w:szCs w:val="20"/>
        </w:rPr>
        <w:t xml:space="preserve">Credits to months. </w:t>
      </w:r>
      <w:r>
        <w:rPr>
          <w:color w:val="52514E"/>
          <w:sz w:val="20"/>
          <w:szCs w:val="20"/>
        </w:rPr>
        <w:t xml:space="preserve">Every month in the loaded window, with its eligible energy, emission reduction, VCUs and worst quality flag.</w:t>
      </w:r>
    </w:p>
    <w:p>
      <w:pPr>
        <w:pStyle w:val="ListParagraph"/>
        <w:numPr>
          <w:ilvl w:val="0"/>
          <w:numId w:val="2"/>
        </w:numPr>
        <w:spacing w:after="70" w:before="40" w:line="280"/>
      </w:pPr>
      <w:r>
        <w:rPr>
          <w:b/>
          <w:bCs/>
          <w:color w:val="0B0B0B"/>
          <w:sz w:val="20"/>
          <w:szCs w:val="20"/>
        </w:rPr>
        <w:t xml:space="preserve">Month to sites. </w:t>
      </w:r>
      <w:r>
        <w:rPr>
          <w:color w:val="52514E"/>
          <w:sz w:val="20"/>
          <w:szCs w:val="20"/>
        </w:rPr>
        <w:t xml:space="preserve">Which sites made up that month, sorted by contribution.</w:t>
      </w:r>
    </w:p>
    <w:p>
      <w:pPr>
        <w:pStyle w:val="ListParagraph"/>
        <w:numPr>
          <w:ilvl w:val="0"/>
          <w:numId w:val="2"/>
        </w:numPr>
        <w:spacing w:after="70" w:before="40" w:line="280"/>
      </w:pPr>
      <w:r>
        <w:rPr>
          <w:b/>
          <w:bCs/>
          <w:color w:val="0B0B0B"/>
          <w:sz w:val="20"/>
          <w:szCs w:val="20"/>
        </w:rPr>
        <w:t xml:space="preserve">Site to days. </w:t>
      </w:r>
      <w:r>
        <w:rPr>
          <w:color w:val="52514E"/>
          <w:sz w:val="20"/>
          <w:szCs w:val="20"/>
        </w:rPr>
        <w:t xml:space="preserve">Every day in the window — including the days with no data, which is the point. Each day shows its kWh, its specific yield, its flag and the rule that flagged it.</w:t>
      </w:r>
    </w:p>
    <w:p>
      <w:pPr>
        <w:pStyle w:val="ListParagraph"/>
        <w:numPr>
          <w:ilvl w:val="0"/>
          <w:numId w:val="2"/>
        </w:numPr>
        <w:spacing w:after="70" w:before="40" w:line="280"/>
      </w:pPr>
      <w:r>
        <w:rPr>
          <w:b/>
          <w:bCs/>
          <w:color w:val="0B0B0B"/>
          <w:sz w:val="20"/>
          <w:szCs w:val="20"/>
        </w:rPr>
        <w:t xml:space="preserve">Day to cells. </w:t>
      </w:r>
      <w:r>
        <w:rPr>
          <w:color w:val="52514E"/>
          <w:sz w:val="20"/>
          <w:szCs w:val="20"/>
        </w:rPr>
        <w:t xml:space="preserve">The actual spreadsheet cells: the value, the metric, the device, the cell reference, the filename and the file’s SHA-256. Rows superseded by a later upload appear here too, marked.</w:t>
      </w:r>
    </w:p>
    <w:p>
      <w:pPr>
        <w:spacing w:after="60"/>
      </w:pPr>
    </w:p>
    <w:p>
      <w:pPr>
        <w:spacing w:after="120" w:before="60" w:line="280"/>
      </w:pPr>
      <w:r>
        <w:rPr>
          <w:color w:val="52514E"/>
          <w:sz w:val="20"/>
          <w:szCs w:val="20"/>
        </w:rPr>
        <w:t xml:space="preserve">Every level is a click, nothing is a page load. The breadcrumb walks back up. Esc closes the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D03B3B" w:sz="18"/>
              <w:bottom w:val="nil"/>
              <w:right w:val="nil"/>
            </w:tcBorders>
            <w:shd w:fill="FBEAEA" w:val="clear"/>
            <w:tcMar>
              <w:top w:type="dxa" w:w="140"/>
              <w:left w:type="dxa" w:w="180"/>
              <w:bottom w:type="dxa" w:w="140"/>
              <w:right w:type="dxa" w:w="180"/>
            </w:tcMar>
          </w:tcPr>
          <w:p>
            <w:pPr>
              <w:spacing w:line="280"/>
            </w:pPr>
            <w:r>
              <w:rPr>
                <w:b/>
                <w:bCs/>
                <w:color w:val="D03B3B"/>
                <w:sz w:val="20"/>
                <w:szCs w:val="20"/>
              </w:rPr>
              <w:t xml:space="preserve">A day with no cells behind it.  </w:t>
            </w:r>
            <w:r>
              <w:rPr>
                <w:color w:val="52514E"/>
                <w:sz w:val="20"/>
                <w:szCs w:val="20"/>
              </w:rPr>
              <w:t xml:space="preserve">The drawer says so plainly. That is what makes it a gap — and nothing was invented to fill it.</w:t>
            </w:r>
          </w:p>
        </w:tc>
      </w:tr>
    </w:tbl>
    <w:p>
      <w:pPr>
        <w:pStyle w:val="Heading1"/>
        <w:pBdr>
          <w:bottom w:val="single" w:color="EDA100" w:sz="10" w:space="6"/>
        </w:pBdr>
        <w:spacing w:after="140" w:before="380"/>
      </w:pPr>
      <w:r>
        <w:rPr>
          <w:b/>
          <w:bCs/>
          <w:color w:val="EDA100"/>
          <w:sz w:val="30"/>
          <w:szCs w:val="30"/>
        </w:rPr>
        <w:t xml:space="preserve">4 · Find a broken site</w:t>
      </w:r>
    </w:p>
    <w:p>
      <w:pPr>
        <w:spacing w:after="120" w:before="60" w:line="280"/>
      </w:pPr>
      <w:r>
        <w:rPr>
          <w:color w:val="52514E"/>
          <w:sz w:val="20"/>
          <w:szCs w:val="20"/>
        </w:rPr>
        <w:t xml:space="preserve">The Fleet screen is one row per site: capacity, grid connection date, days covered, total and eligible kWh, specific yield, quality score, VCUs.</w:t>
      </w:r>
    </w:p>
    <w:p>
      <w:pPr>
        <w:spacing w:after="120" w:before="60" w:line="280"/>
      </w:pPr>
      <w:r>
        <w:rPr>
          <w:color w:val="52514E"/>
          <w:sz w:val="20"/>
          <w:szCs w:val="20"/>
        </w:rPr>
        <w:t xml:space="preserve">Every column sorts. </w:t>
      </w:r>
      <w:r>
        <w:rPr>
          <w:b/>
          <w:bCs/>
          <w:color w:val="8A5A00"/>
          <w:sz w:val="20"/>
          <w:szCs w:val="20"/>
        </w:rPr>
        <w:t xml:space="preserve">Sort by specific yield</w:t>
      </w:r>
      <w:r>
        <w:rPr>
          <w:color w:val="52514E"/>
          <w:sz w:val="20"/>
          <w:szCs w:val="20"/>
        </w:rPr>
        <w:t xml:space="preserve"> — kWh per kWp per day. Sites cluster tightly around the seasonal norm, so anything far below the pack is shaded, faulty or offline, and anything far above is a data problem. It is the fastest diagnostic in the app.</w:t>
      </w:r>
    </w:p>
    <w:p>
      <w:pPr>
        <w:spacing w:after="120" w:before="60" w:line="280"/>
      </w:pPr>
      <w:r>
        <w:rPr>
          <w:color w:val="52514E"/>
          <w:sz w:val="20"/>
          <w:szCs w:val="20"/>
        </w:rPr>
        <w:t xml:space="preserve">Click any row to drill into that site’s days.</w:t>
      </w:r>
    </w:p>
    <w:p>
      <w:pPr>
        <w:pStyle w:val="Heading1"/>
        <w:pBdr>
          <w:bottom w:val="single" w:color="D03B3B" w:sz="10" w:space="6"/>
        </w:pBdr>
        <w:spacing w:after="140" w:before="380"/>
      </w:pPr>
      <w:r>
        <w:rPr>
          <w:b/>
          <w:bCs/>
          <w:color w:val="D03B3B"/>
          <w:sz w:val="30"/>
          <w:szCs w:val="30"/>
        </w:rPr>
        <w:t xml:space="preserve">5 · Show the gaps on purpose</w:t>
      </w:r>
    </w:p>
    <w:p>
      <w:pPr>
        <w:spacing w:after="120" w:before="60" w:line="280"/>
      </w:pPr>
      <w:r>
        <w:rPr>
          <w:color w:val="52514E"/>
          <w:sz w:val="20"/>
          <w:szCs w:val="20"/>
        </w:rPr>
        <w:t xml:space="preserve">Coverage percentage, then a bar of ok / suspect / missing across all site-days.</w:t>
      </w:r>
    </w:p>
    <w:p>
      <w:pPr>
        <w:pStyle w:val="ListParagraph"/>
        <w:numPr>
          <w:ilvl w:val="0"/>
          <w:numId w:val="3"/>
        </w:numPr>
        <w:spacing w:after="70" w:before="40" w:line="280"/>
      </w:pPr>
      <w:r>
        <w:rPr>
          <w:b/>
          <w:bCs/>
          <w:color w:val="0B0B0B"/>
          <w:sz w:val="20"/>
          <w:szCs w:val="20"/>
        </w:rPr>
        <w:t xml:space="preserve">Gaps</w:t>
      </w:r>
      <w:r>
        <w:rPr>
          <w:color w:val="52514E"/>
          <w:sz w:val="20"/>
          <w:szCs w:val="20"/>
        </w:rPr>
        <w:t xml:space="preserve"> — every run of missing days, by site, with its length. Never interpolated, never quietly zeroed.</w:t>
      </w:r>
    </w:p>
    <w:p>
      <w:pPr>
        <w:pStyle w:val="ListParagraph"/>
        <w:numPr>
          <w:ilvl w:val="0"/>
          <w:numId w:val="3"/>
        </w:numPr>
        <w:spacing w:after="70" w:before="40" w:line="280"/>
      </w:pPr>
      <w:r>
        <w:rPr>
          <w:b/>
          <w:bCs/>
          <w:color w:val="0B0B0B"/>
          <w:sz w:val="20"/>
          <w:szCs w:val="20"/>
        </w:rPr>
        <w:t xml:space="preserve">Suspect days</w:t>
      </w:r>
      <w:r>
        <w:rPr>
          <w:color w:val="52514E"/>
          <w:sz w:val="20"/>
          <w:szCs w:val="20"/>
        </w:rPr>
        <w:t xml:space="preserve"> — each with the rule that flagged it, in words.</w:t>
      </w:r>
    </w:p>
    <w:p>
      <w:pPr>
        <w:pStyle w:val="ListParagraph"/>
        <w:numPr>
          <w:ilvl w:val="0"/>
          <w:numId w:val="3"/>
        </w:numPr>
        <w:spacing w:after="70" w:before="40" w:line="280"/>
      </w:pPr>
      <w:r>
        <w:rPr>
          <w:b/>
          <w:bCs/>
          <w:color w:val="0B0B0B"/>
          <w:sz w:val="20"/>
          <w:szCs w:val="20"/>
        </w:rPr>
        <w:t xml:space="preserve">Overlapping files</w:t>
      </w:r>
      <w:r>
        <w:rPr>
          <w:color w:val="52514E"/>
          <w:sz w:val="20"/>
          <w:szCs w:val="20"/>
        </w:rPr>
        <w:t xml:space="preserve"> — where a later upload covered ground an earlier one already had.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BAF7A" w:sz="18"/>
              <w:bottom w:val="nil"/>
              <w:right w:val="nil"/>
            </w:tcBorders>
            <w:shd w:fill="E4F6EF" w:val="clear"/>
            <w:tcMar>
              <w:top w:type="dxa" w:w="140"/>
              <w:left w:type="dxa" w:w="180"/>
              <w:bottom w:type="dxa" w:w="140"/>
              <w:right w:type="dxa" w:w="180"/>
            </w:tcMar>
          </w:tcPr>
          <w:p>
            <w:pPr>
              <w:spacing w:line="280"/>
            </w:pPr>
            <w:r>
              <w:rPr>
                <w:b/>
                <w:bCs/>
                <w:color w:val="1BAF7A"/>
                <w:sz w:val="20"/>
                <w:szCs w:val="20"/>
              </w:rPr>
              <w:t xml:space="preserve">Show this screen in a demo.  </w:t>
            </w:r>
            <w:r>
              <w:rPr>
                <w:color w:val="52514E"/>
                <w:sz w:val="20"/>
                <w:szCs w:val="20"/>
              </w:rPr>
              <w:t xml:space="preserve">A system that displays its own gaps is the one people believe. Hiding them buys nothing and costs the only thing that matters.</w:t>
            </w:r>
          </w:p>
        </w:tc>
      </w:tr>
    </w:tbl>
    <w:p>
      <w:r>
        <w:br w:type="page"/>
      </w:r>
    </w:p>
    <w:p>
      <w:pPr>
        <w:pStyle w:val="Heading1"/>
        <w:pBdr>
          <w:bottom w:val="single" w:color="256ABF" w:sz="10" w:space="6"/>
        </w:pBdr>
        <w:spacing w:after="140" w:before="380"/>
      </w:pPr>
      <w:r>
        <w:rPr>
          <w:b/>
          <w:bCs/>
          <w:color w:val="256ABF"/>
          <w:sz w:val="30"/>
          <w:szCs w:val="30"/>
        </w:rPr>
        <w:t xml:space="preserve">6 · What the rules actually are</w:t>
      </w:r>
    </w:p>
    <w:p>
      <w:pPr>
        <w:spacing w:after="120" w:before="60" w:line="280"/>
      </w:pPr>
      <w:r>
        <w:rPr>
          <w:color w:val="52514E"/>
          <w:sz w:val="20"/>
          <w:szCs w:val="20"/>
        </w:rPr>
        <w:t xml:space="preserve">Applied per site per day, in this order. The first one that matches decides.</w:t>
      </w:r>
    </w:p>
    <w:tbl>
      <w:tblPr>
        <w:tblW w:type="dxa" w:w="9360"/>
        <w:tblBorders>
          <w:top w:val="single" w:color="E3E2DD" w:sz="2"/>
          <w:left w:val="nil"/>
          <w:bottom w:val="single" w:color="E3E2DD" w:sz="2"/>
          <w:right w:val="nil"/>
          <w:insideH w:val="single" w:color="E3E2DD" w:sz="2"/>
          <w:insideV w:val="nil"/>
        </w:tblBorders>
      </w:tblPr>
      <w:tblGrid>
        <w:gridCol w:w="562"/>
        <w:gridCol w:w="2434"/>
        <w:gridCol w:w="6365"/>
      </w:tblGrid>
      <w:tr>
        <w:trPr>
          <w:tblHeader/>
        </w:trPr>
        <w:tc>
          <w:tcPr>
            <w:tcW w:type="dxa" w:w="562"/>
            <w:shd w:fill="256ABF" w:val="clear"/>
            <w:tcMar>
              <w:top w:type="dxa" w:w="90"/>
              <w:left w:type="dxa" w:w="120"/>
              <w:bottom w:type="dxa" w:w="90"/>
              <w:right w:type="dxa" w:w="120"/>
            </w:tcMar>
          </w:tcPr>
          <w:p>
            <w:pPr>
              <w:spacing w:after="0" w:before="0"/>
            </w:pPr>
            <w:r>
              <w:rPr>
                <w:b/>
                <w:bCs/>
                <w:color w:val="FFFFFF"/>
                <w:spacing w:val="20"/>
                <w:sz w:val="17"/>
                <w:szCs w:val="17"/>
              </w:rPr>
              <w:t xml:space="preserve">#</w:t>
            </w:r>
          </w:p>
        </w:tc>
        <w:tc>
          <w:tcPr>
            <w:tcW w:type="dxa" w:w="2434"/>
            <w:shd w:fill="256ABF" w:val="clear"/>
            <w:tcMar>
              <w:top w:type="dxa" w:w="90"/>
              <w:left w:type="dxa" w:w="120"/>
              <w:bottom w:type="dxa" w:w="90"/>
              <w:right w:type="dxa" w:w="120"/>
            </w:tcMar>
          </w:tcPr>
          <w:p>
            <w:pPr>
              <w:spacing w:after="0" w:before="0"/>
            </w:pPr>
            <w:r>
              <w:rPr>
                <w:b/>
                <w:bCs/>
                <w:color w:val="FFFFFF"/>
                <w:spacing w:val="20"/>
                <w:sz w:val="17"/>
                <w:szCs w:val="17"/>
              </w:rPr>
              <w:t xml:space="preserve">Rule</w:t>
            </w:r>
          </w:p>
        </w:tc>
        <w:tc>
          <w:tcPr>
            <w:tcW w:type="dxa" w:w="6365"/>
            <w:shd w:fill="256ABF" w:val="clear"/>
            <w:tcMar>
              <w:top w:type="dxa" w:w="90"/>
              <w:left w:type="dxa" w:w="120"/>
              <w:bottom w:type="dxa" w:w="90"/>
              <w:right w:type="dxa" w:w="120"/>
            </w:tcMar>
          </w:tcPr>
          <w:p>
            <w:pPr>
              <w:spacing w:after="0" w:before="0"/>
            </w:pPr>
            <w:r>
              <w:rPr>
                <w:b/>
                <w:bCs/>
                <w:color w:val="FFFFFF"/>
                <w:spacing w:val="20"/>
                <w:sz w:val="17"/>
                <w:szCs w:val="17"/>
              </w:rPr>
              <w:t xml:space="preserve">Outcome</w:t>
            </w:r>
          </w:p>
        </w:tc>
      </w:tr>
      <w:tr>
        <w:tc>
          <w:tcPr>
            <w:tcW w:type="dxa" w:w="562"/>
            <w:shd w:fill="F7F7F5" w:val="clear"/>
            <w:tcMar>
              <w:top w:type="dxa" w:w="90"/>
              <w:left w:type="dxa" w:w="120"/>
              <w:bottom w:type="dxa" w:w="90"/>
              <w:right w:type="dxa" w:w="120"/>
            </w:tcMar>
          </w:tcPr>
          <w:p>
            <w:pPr>
              <w:spacing w:after="0" w:before="0" w:line="260"/>
            </w:pPr>
            <w:r>
              <w:rPr>
                <w:color w:val="52514E"/>
                <w:sz w:val="18"/>
                <w:szCs w:val="18"/>
              </w:rPr>
              <w:t xml:space="preserve">1</w:t>
            </w:r>
          </w:p>
        </w:tc>
        <w:tc>
          <w:tcPr>
            <w:tcW w:type="dxa" w:w="2434"/>
            <w:shd w:fill="F7F7F5" w:val="clear"/>
            <w:tcMar>
              <w:top w:type="dxa" w:w="90"/>
              <w:left w:type="dxa" w:w="120"/>
              <w:bottom w:type="dxa" w:w="90"/>
              <w:right w:type="dxa" w:w="120"/>
            </w:tcMar>
          </w:tcPr>
          <w:p>
            <w:pPr>
              <w:spacing w:after="0" w:before="0" w:line="260"/>
            </w:pPr>
            <w:r>
              <w:rPr>
                <w:color w:val="52514E"/>
                <w:sz w:val="18"/>
                <w:szCs w:val="18"/>
              </w:rPr>
              <w:t xml:space="preserve">Before grid connection</w:t>
            </w:r>
          </w:p>
        </w:tc>
        <w:tc>
          <w:tcPr>
            <w:tcW w:type="dxa" w:w="6365"/>
            <w:shd w:fill="F7F7F5" w:val="clear"/>
            <w:tcMar>
              <w:top w:type="dxa" w:w="90"/>
              <w:left w:type="dxa" w:w="120"/>
              <w:bottom w:type="dxa" w:w="90"/>
              <w:right w:type="dxa" w:w="120"/>
            </w:tcMar>
          </w:tcPr>
          <w:p>
            <w:pPr>
              <w:spacing w:after="0" w:before="0" w:line="260"/>
            </w:pPr>
            <w:r>
              <w:rPr>
                <w:color w:val="52514E"/>
                <w:sz w:val="18"/>
                <w:szCs w:val="18"/>
              </w:rPr>
              <w:t xml:space="preserve">Excluded — the site was not yet earning</w:t>
            </w:r>
          </w:p>
        </w:tc>
      </w:tr>
      <w:tr>
        <w:tc>
          <w:tcPr>
            <w:tcW w:type="dxa" w:w="562"/>
            <w:shd w:fill="FFFFFF" w:val="clear"/>
            <w:tcMar>
              <w:top w:type="dxa" w:w="90"/>
              <w:left w:type="dxa" w:w="120"/>
              <w:bottom w:type="dxa" w:w="90"/>
              <w:right w:type="dxa" w:w="120"/>
            </w:tcMar>
          </w:tcPr>
          <w:p>
            <w:pPr>
              <w:spacing w:after="0" w:before="0" w:line="260"/>
            </w:pPr>
            <w:r>
              <w:rPr>
                <w:color w:val="52514E"/>
                <w:sz w:val="18"/>
                <w:szCs w:val="18"/>
              </w:rPr>
              <w:t xml:space="preserve">2</w:t>
            </w:r>
          </w:p>
        </w:tc>
        <w:tc>
          <w:tcPr>
            <w:tcW w:type="dxa" w:w="2434"/>
            <w:shd w:fill="FFFFFF" w:val="clear"/>
            <w:tcMar>
              <w:top w:type="dxa" w:w="90"/>
              <w:left w:type="dxa" w:w="120"/>
              <w:bottom w:type="dxa" w:w="90"/>
              <w:right w:type="dxa" w:w="120"/>
            </w:tcMar>
          </w:tcPr>
          <w:p>
            <w:pPr>
              <w:spacing w:after="0" w:before="0" w:line="260"/>
            </w:pPr>
            <w:r>
              <w:rPr>
                <w:color w:val="52514E"/>
                <w:sz w:val="18"/>
                <w:szCs w:val="18"/>
              </w:rPr>
              <w:t xml:space="preserve">Site inactive</w:t>
            </w:r>
          </w:p>
        </w:tc>
        <w:tc>
          <w:tcPr>
            <w:tcW w:type="dxa" w:w="6365"/>
            <w:shd w:fill="FFFFFF" w:val="clear"/>
            <w:tcMar>
              <w:top w:type="dxa" w:w="90"/>
              <w:left w:type="dxa" w:w="120"/>
              <w:bottom w:type="dxa" w:w="90"/>
              <w:right w:type="dxa" w:w="120"/>
            </w:tcMar>
          </w:tcPr>
          <w:p>
            <w:pPr>
              <w:spacing w:after="0" w:before="0" w:line="260"/>
            </w:pPr>
            <w:r>
              <w:rPr>
                <w:color w:val="52514E"/>
                <w:sz w:val="18"/>
                <w:szCs w:val="18"/>
              </w:rPr>
              <w:t xml:space="preserve">Excluded, if the plant status is not a running one</w:t>
            </w:r>
          </w:p>
        </w:tc>
      </w:tr>
      <w:tr>
        <w:tc>
          <w:tcPr>
            <w:tcW w:type="dxa" w:w="562"/>
            <w:shd w:fill="F7F7F5" w:val="clear"/>
            <w:tcMar>
              <w:top w:type="dxa" w:w="90"/>
              <w:left w:type="dxa" w:w="120"/>
              <w:bottom w:type="dxa" w:w="90"/>
              <w:right w:type="dxa" w:w="120"/>
            </w:tcMar>
          </w:tcPr>
          <w:p>
            <w:pPr>
              <w:spacing w:after="0" w:before="0" w:line="260"/>
            </w:pPr>
            <w:r>
              <w:rPr>
                <w:color w:val="52514E"/>
                <w:sz w:val="18"/>
                <w:szCs w:val="18"/>
              </w:rPr>
              <w:t xml:space="preserve">3</w:t>
            </w:r>
          </w:p>
        </w:tc>
        <w:tc>
          <w:tcPr>
            <w:tcW w:type="dxa" w:w="2434"/>
            <w:shd w:fill="F7F7F5" w:val="clear"/>
            <w:tcMar>
              <w:top w:type="dxa" w:w="90"/>
              <w:left w:type="dxa" w:w="120"/>
              <w:bottom w:type="dxa" w:w="90"/>
              <w:right w:type="dxa" w:w="120"/>
            </w:tcMar>
          </w:tcPr>
          <w:p>
            <w:pPr>
              <w:spacing w:after="0" w:before="0" w:line="260"/>
            </w:pPr>
            <w:r>
              <w:rPr>
                <w:color w:val="52514E"/>
                <w:sz w:val="18"/>
                <w:szCs w:val="18"/>
              </w:rPr>
              <w:t xml:space="preserve">Missing</w:t>
            </w:r>
          </w:p>
        </w:tc>
        <w:tc>
          <w:tcPr>
            <w:tcW w:type="dxa" w:w="6365"/>
            <w:shd w:fill="F7F7F5" w:val="clear"/>
            <w:tcMar>
              <w:top w:type="dxa" w:w="90"/>
              <w:left w:type="dxa" w:w="120"/>
              <w:bottom w:type="dxa" w:w="90"/>
              <w:right w:type="dxa" w:w="120"/>
            </w:tcMar>
          </w:tcPr>
          <w:p>
            <w:pPr>
              <w:spacing w:after="0" w:before="0" w:line="260"/>
            </w:pPr>
            <w:r>
              <w:rPr>
                <w:color w:val="52514E"/>
                <w:sz w:val="18"/>
                <w:szCs w:val="18"/>
              </w:rPr>
              <w:t xml:space="preserve">Excluded as a data gap. Never interpolated</w:t>
            </w:r>
          </w:p>
        </w:tc>
      </w:tr>
      <w:tr>
        <w:tc>
          <w:tcPr>
            <w:tcW w:type="dxa" w:w="562"/>
            <w:shd w:fill="FFFFFF" w:val="clear"/>
            <w:tcMar>
              <w:top w:type="dxa" w:w="90"/>
              <w:left w:type="dxa" w:w="120"/>
              <w:bottom w:type="dxa" w:w="90"/>
              <w:right w:type="dxa" w:w="120"/>
            </w:tcMar>
          </w:tcPr>
          <w:p>
            <w:pPr>
              <w:spacing w:after="0" w:before="0" w:line="260"/>
            </w:pPr>
            <w:r>
              <w:rPr>
                <w:color w:val="52514E"/>
                <w:sz w:val="18"/>
                <w:szCs w:val="18"/>
              </w:rPr>
              <w:t xml:space="preserve">4</w:t>
            </w:r>
          </w:p>
        </w:tc>
        <w:tc>
          <w:tcPr>
            <w:tcW w:type="dxa" w:w="2434"/>
            <w:shd w:fill="FFFFFF" w:val="clear"/>
            <w:tcMar>
              <w:top w:type="dxa" w:w="90"/>
              <w:left w:type="dxa" w:w="120"/>
              <w:bottom w:type="dxa" w:w="90"/>
              <w:right w:type="dxa" w:w="120"/>
            </w:tcMar>
          </w:tcPr>
          <w:p>
            <w:pPr>
              <w:spacing w:after="0" w:before="0" w:line="260"/>
            </w:pPr>
            <w:r>
              <w:rPr>
                <w:color w:val="52514E"/>
                <w:sz w:val="18"/>
                <w:szCs w:val="18"/>
              </w:rPr>
              <w:t xml:space="preserve">Suspect</w:t>
            </w:r>
          </w:p>
        </w:tc>
        <w:tc>
          <w:tcPr>
            <w:tcW w:type="dxa" w:w="6365"/>
            <w:shd w:fill="FFFFFF" w:val="clear"/>
            <w:tcMar>
              <w:top w:type="dxa" w:w="90"/>
              <w:left w:type="dxa" w:w="120"/>
              <w:bottom w:type="dxa" w:w="90"/>
              <w:right w:type="dxa" w:w="120"/>
            </w:tcMar>
          </w:tcPr>
          <w:p>
            <w:pPr>
              <w:spacing w:after="0" w:before="0" w:line="260"/>
            </w:pPr>
            <w:r>
              <w:rPr>
                <w:color w:val="52514E"/>
                <w:sz w:val="18"/>
                <w:szCs w:val="18"/>
              </w:rPr>
              <w:t xml:space="preserve">Excluded — negative generation; specific yield above the implausibility threshold; two files disagreeing by more than 0.5%; or zero generation, if that policy is set</w:t>
            </w:r>
          </w:p>
        </w:tc>
      </w:tr>
      <w:tr>
        <w:tc>
          <w:tcPr>
            <w:tcW w:type="dxa" w:w="562"/>
            <w:shd w:fill="F7F7F5" w:val="clear"/>
            <w:tcMar>
              <w:top w:type="dxa" w:w="90"/>
              <w:left w:type="dxa" w:w="120"/>
              <w:bottom w:type="dxa" w:w="90"/>
              <w:right w:type="dxa" w:w="120"/>
            </w:tcMar>
          </w:tcPr>
          <w:p>
            <w:pPr>
              <w:spacing w:after="0" w:before="0" w:line="260"/>
            </w:pPr>
            <w:r>
              <w:rPr>
                <w:color w:val="52514E"/>
                <w:sz w:val="18"/>
                <w:szCs w:val="18"/>
              </w:rPr>
              <w:t xml:space="preserve">5</w:t>
            </w:r>
          </w:p>
        </w:tc>
        <w:tc>
          <w:tcPr>
            <w:tcW w:type="dxa" w:w="2434"/>
            <w:shd w:fill="F7F7F5" w:val="clear"/>
            <w:tcMar>
              <w:top w:type="dxa" w:w="90"/>
              <w:left w:type="dxa" w:w="120"/>
              <w:bottom w:type="dxa" w:w="90"/>
              <w:right w:type="dxa" w:w="120"/>
            </w:tcMar>
          </w:tcPr>
          <w:p>
            <w:pPr>
              <w:spacing w:after="0" w:before="0" w:line="260"/>
            </w:pPr>
            <w:r>
              <w:rPr>
                <w:color w:val="52514E"/>
                <w:sz w:val="18"/>
                <w:szCs w:val="18"/>
              </w:rPr>
              <w:t xml:space="preserve">Otherwise</w:t>
            </w:r>
          </w:p>
        </w:tc>
        <w:tc>
          <w:tcPr>
            <w:tcW w:type="dxa" w:w="6365"/>
            <w:shd w:fill="F7F7F5" w:val="clear"/>
            <w:tcMar>
              <w:top w:type="dxa" w:w="90"/>
              <w:left w:type="dxa" w:w="120"/>
              <w:bottom w:type="dxa" w:w="90"/>
              <w:right w:type="dxa" w:w="120"/>
            </w:tcMar>
          </w:tcPr>
          <w:p>
            <w:pPr>
              <w:spacing w:after="0" w:before="0" w:line="260"/>
            </w:pPr>
            <w:r>
              <w:rPr>
                <w:b/>
                <w:bCs/>
                <w:color w:val="0A6E4C"/>
                <w:sz w:val="18"/>
                <w:szCs w:val="18"/>
              </w:rPr>
              <w:t xml:space="preserve">Eligible</w:t>
            </w:r>
          </w:p>
        </w:tc>
      </w:tr>
    </w:tbl>
    <w:p>
      <w:pPr>
        <w:pStyle w:val="Heading3"/>
        <w:spacing w:after="80" w:before="190"/>
      </w:pPr>
      <w:r>
        <w:rPr>
          <w:b/>
          <w:bCs/>
          <w:color w:val="52514E"/>
          <w:sz w:val="21"/>
          <w:szCs w:val="21"/>
        </w:rPr>
        <w:t xml:space="preserve">From eligible energy to VCUs</w:t>
      </w:r>
    </w:p>
    <w:p>
      <w:pPr>
        <w:spacing w:after="120" w:before="60" w:line="280"/>
      </w:pPr>
      <w:r>
        <w:rPr>
          <w:color w:val="52514E"/>
          <w:sz w:val="20"/>
          <w:szCs w:val="20"/>
        </w:rPr>
        <w:t xml:space="preserve">Eligible kWh becomes megawatt-hours, multiplied by the emission factor valid for that month, with project emissions and leakage shown as explicit zeros so the formula reads complete. The resulting tonnes become whole VCUs per site per month, and the fractional remainder is carried forward to the next month rather than rounded away.</w:t>
      </w:r>
    </w:p>
    <w:p>
      <w:pPr>
        <w:pBdr>
          <w:left w:val="single" w:color="256ABF" w:sz="12" w:space="6"/>
        </w:pBdr>
        <w:shd w:fill="F4F4F1" w:val="clear"/>
        <w:spacing w:after="0" w:before="100" w:line="250"/>
        <w:ind w:left="140" w:right="140"/>
      </w:pPr>
      <w:r>
        <w:rPr>
          <w:rFonts w:ascii="Consolas" w:cs="Consolas" w:eastAsia="Consolas" w:hAnsi="Consolas"/>
          <w:color w:val="0B0B0B"/>
          <w:sz w:val="18"/>
          <w:szCs w:val="18"/>
        </w:rPr>
        <w:t xml:space="preserve">eligible_MWh  x  emission_factor  -  project_emissions  -  leakage   =  tCO2e</w:t>
      </w:r>
    </w:p>
    <w:p>
      <w:pPr>
        <w:pBdr>
          <w:left w:val="single" w:color="256ABF" w:sz="12" w:space="6"/>
        </w:pBdr>
        <w:shd w:fill="F4F4F1" w:val="clear"/>
        <w:spacing w:after="150" w:before="0" w:line="250"/>
        <w:ind w:left="140" w:right="140"/>
      </w:pPr>
      <w:r>
        <w:rPr>
          <w:rFonts w:ascii="Consolas" w:cs="Consolas" w:eastAsia="Consolas" w:hAnsi="Consolas"/>
          <w:color w:val="0B0B0B"/>
          <w:sz w:val="18"/>
          <w:szCs w:val="18"/>
        </w:rPr>
        <w:t xml:space="preserve">floor( cumulative tCO2e )  -  already issued                         =  VCUs</w:t>
      </w:r>
    </w:p>
    <w:p>
      <w:pPr>
        <w:spacing w:after="120" w:before="60" w:line="280"/>
      </w:pPr>
      <w:r>
        <w:rPr>
          <w:color w:val="52514E"/>
          <w:sz w:val="20"/>
          <w:szCs w:val="20"/>
        </w:rPr>
        <w:t xml:space="preserve">A site reducing 2.16 tonnes then 3.03 tonnes issues 2 then 3, not 2 then 3 with the fractions lost.</w:t>
      </w:r>
    </w:p>
    <w:p>
      <w:pPr>
        <w:pStyle w:val="Heading3"/>
        <w:spacing w:after="80" w:before="190"/>
      </w:pPr>
      <w:r>
        <w:rPr>
          <w:b/>
          <w:bCs/>
          <w:color w:val="52514E"/>
          <w:sz w:val="21"/>
          <w:szCs w:val="21"/>
        </w:rPr>
        <w:t xml:space="preserve">Aggregates carry the worst child quality</w:t>
      </w:r>
    </w:p>
    <w:p>
      <w:pPr>
        <w:spacing w:after="120" w:before="60" w:line="280"/>
      </w:pPr>
      <w:r>
        <w:rPr>
          <w:color w:val="52514E"/>
          <w:sz w:val="20"/>
          <w:szCs w:val="20"/>
        </w:rPr>
        <w:t xml:space="preserve">Never the average. One missing day makes the month "missing". That is deliberate: an average would let a good month hide a bad week.</w:t>
      </w:r>
    </w:p>
    <w:p>
      <w:pPr>
        <w:pStyle w:val="Heading1"/>
        <w:pBdr>
          <w:bottom w:val="single" w:color="0B0B0B" w:sz="10" w:space="6"/>
        </w:pBdr>
        <w:spacing w:after="140" w:before="380"/>
      </w:pPr>
      <w:r>
        <w:rPr>
          <w:b/>
          <w:bCs/>
          <w:color w:val="0B0B0B"/>
          <w:sz w:val="30"/>
          <w:szCs w:val="30"/>
        </w:rPr>
        <w:t xml:space="preserve">7 · Things worth knowing</w:t>
      </w:r>
    </w:p>
    <w:p>
      <w:pPr>
        <w:pStyle w:val="ListParagraph"/>
        <w:numPr>
          <w:ilvl w:val="0"/>
          <w:numId w:val="3"/>
        </w:numPr>
        <w:spacing w:after="70" w:before="40" w:line="280"/>
      </w:pPr>
      <w:r>
        <w:rPr>
          <w:b/>
          <w:bCs/>
          <w:color w:val="0B0B0B"/>
          <w:sz w:val="20"/>
          <w:szCs w:val="20"/>
        </w:rPr>
        <w:t xml:space="preserve">Nothing is stored downstream of Bronze. </w:t>
      </w:r>
      <w:r>
        <w:rPr>
          <w:color w:val="52514E"/>
          <w:sz w:val="20"/>
          <w:szCs w:val="20"/>
        </w:rPr>
        <w:t xml:space="preserve">Silver and Gold are SQL views. A new upload, or a changed emission factor, recomputes everything on the next page load. There are no stale results to refresh.</w:t>
      </w:r>
    </w:p>
    <w:p>
      <w:pPr>
        <w:pStyle w:val="ListParagraph"/>
        <w:numPr>
          <w:ilvl w:val="0"/>
          <w:numId w:val="3"/>
        </w:numPr>
        <w:spacing w:after="70" w:before="40" w:line="280"/>
      </w:pPr>
      <w:r>
        <w:rPr>
          <w:b/>
          <w:bCs/>
          <w:color w:val="0B0B0B"/>
          <w:sz w:val="20"/>
          <w:szCs w:val="20"/>
        </w:rPr>
        <w:t xml:space="preserve">Bronze is immutable. </w:t>
      </w:r>
      <w:r>
        <w:rPr>
          <w:color w:val="52514E"/>
          <w:sz w:val="20"/>
          <w:szCs w:val="20"/>
        </w:rPr>
        <w:t xml:space="preserve">No row is ever updated or deleted. Corrections arrive as new files.</w:t>
      </w:r>
    </w:p>
    <w:p>
      <w:pPr>
        <w:pStyle w:val="ListParagraph"/>
        <w:numPr>
          <w:ilvl w:val="0"/>
          <w:numId w:val="3"/>
        </w:numPr>
        <w:spacing w:after="70" w:before="40" w:line="280"/>
      </w:pPr>
      <w:r>
        <w:rPr>
          <w:b/>
          <w:bCs/>
          <w:color w:val="0B0B0B"/>
          <w:sz w:val="20"/>
          <w:szCs w:val="20"/>
        </w:rPr>
        <w:t xml:space="preserve">Dates must be loadable to be visible. </w:t>
      </w:r>
      <w:r>
        <w:rPr>
          <w:color w:val="52514E"/>
          <w:sz w:val="20"/>
          <w:szCs w:val="20"/>
        </w:rPr>
        <w:t xml:space="preserve">The loaded window is the span of all uploaded files. Sites are expected to have data for every day in it, which is what makes a gap show up as a gap.</w:t>
      </w:r>
    </w:p>
    <w:p>
      <w:pPr>
        <w:pStyle w:val="ListParagraph"/>
        <w:numPr>
          <w:ilvl w:val="0"/>
          <w:numId w:val="3"/>
        </w:numPr>
        <w:spacing w:after="70" w:before="40" w:line="280"/>
      </w:pPr>
      <w:r>
        <w:rPr>
          <w:b/>
          <w:bCs/>
          <w:color w:val="0B0B0B"/>
          <w:sz w:val="20"/>
          <w:szCs w:val="20"/>
        </w:rPr>
        <w:t xml:space="preserve">Upload the plant list too. </w:t>
      </w:r>
      <w:r>
        <w:rPr>
          <w:color w:val="52514E"/>
          <w:sz w:val="20"/>
          <w:szCs w:val="20"/>
        </w:rPr>
        <w:t xml:space="preserve">A device report alone gives a site no installed capacity, so specific yield and the implausibility rule cannot be computed for it.</w:t>
      </w:r>
    </w:p>
    <w:p>
      <w:pPr>
        <w:pStyle w:val="ListParagraph"/>
        <w:numPr>
          <w:ilvl w:val="0"/>
          <w:numId w:val="3"/>
        </w:numPr>
        <w:spacing w:after="70" w:before="40" w:line="280"/>
      </w:pPr>
      <w:r>
        <w:rPr>
          <w:b/>
          <w:bCs/>
          <w:color w:val="0B0B0B"/>
          <w:sz w:val="20"/>
          <w:szCs w:val="20"/>
        </w:rPr>
        <w:t xml:space="preserve">No factor means no claim. </w:t>
      </w:r>
      <w:r>
        <w:rPr>
          <w:color w:val="52514E"/>
          <w:sz w:val="20"/>
          <w:szCs w:val="20"/>
        </w:rPr>
        <w:t xml:space="preserve">If no emission factor applies to the loaded period, the portal reports no reduction and no VCUs, and says why. It will not substitute a guess.</w:t>
      </w:r>
    </w:p>
    <w:p>
      <w:pPr>
        <w:pStyle w:val="Heading1"/>
        <w:pBdr>
          <w:bottom w:val="single" w:color="1BAF7A" w:sz="10" w:space="6"/>
        </w:pBdr>
        <w:spacing w:after="140" w:before="380"/>
      </w:pPr>
      <w:r>
        <w:rPr>
          <w:b/>
          <w:bCs/>
          <w:color w:val="1BAF7A"/>
          <w:sz w:val="30"/>
          <w:szCs w:val="30"/>
        </w:rPr>
        <w:t xml:space="preserve">8 · A demo path that works</w:t>
      </w:r>
    </w:p>
    <w:p>
      <w:pPr>
        <w:pStyle w:val="ListParagraph"/>
        <w:numPr>
          <w:ilvl w:val="0"/>
          <w:numId w:val="4"/>
        </w:numPr>
        <w:spacing w:after="70" w:before="40" w:line="280"/>
      </w:pPr>
      <w:r>
        <w:rPr>
          <w:b/>
          <w:bCs/>
          <w:color w:val="0B0B0B"/>
          <w:sz w:val="20"/>
          <w:szCs w:val="20"/>
        </w:rPr>
        <w:t xml:space="preserve">Upload </w:t>
      </w:r>
      <w:r>
        <w:rPr>
          <w:color w:val="52514E"/>
          <w:sz w:val="20"/>
          <w:szCs w:val="20"/>
        </w:rPr>
        <w:t xml:space="preserve">— drop all the exports at once and read the parse summary out loud. That is the moment it stops looking like a mock-up.</w:t>
      </w:r>
    </w:p>
    <w:p>
      <w:pPr>
        <w:pStyle w:val="ListParagraph"/>
        <w:numPr>
          <w:ilvl w:val="0"/>
          <w:numId w:val="4"/>
        </w:numPr>
        <w:spacing w:after="70" w:before="40" w:line="280"/>
      </w:pPr>
      <w:r>
        <w:rPr>
          <w:b/>
          <w:bCs/>
          <w:color w:val="0B0B0B"/>
          <w:sz w:val="20"/>
          <w:szCs w:val="20"/>
        </w:rPr>
        <w:t xml:space="preserve">Overview </w:t>
      </w:r>
      <w:r>
        <w:rPr>
          <w:color w:val="52514E"/>
          <w:sz w:val="20"/>
          <w:szCs w:val="20"/>
        </w:rPr>
        <w:t xml:space="preserve">— the river. Point at a coloured stream and say why that energy does not count.</w:t>
      </w:r>
    </w:p>
    <w:p>
      <w:pPr>
        <w:pStyle w:val="ListParagraph"/>
        <w:numPr>
          <w:ilvl w:val="0"/>
          <w:numId w:val="4"/>
        </w:numPr>
        <w:spacing w:after="70" w:before="40" w:line="280"/>
      </w:pPr>
      <w:r>
        <w:rPr>
          <w:b/>
          <w:bCs/>
          <w:color w:val="0B0B0B"/>
          <w:sz w:val="20"/>
          <w:szCs w:val="20"/>
        </w:rPr>
        <w:t xml:space="preserve">Drill </w:t>
      </w:r>
      <w:r>
        <w:rPr>
          <w:color w:val="52514E"/>
          <w:sz w:val="20"/>
          <w:szCs w:val="20"/>
        </w:rPr>
        <w:t xml:space="preserve">— click the credit number down to a cell reference and a SHA-256. That is the whole product in one gesture.</w:t>
      </w:r>
    </w:p>
    <w:p>
      <w:pPr>
        <w:pStyle w:val="ListParagraph"/>
        <w:numPr>
          <w:ilvl w:val="0"/>
          <w:numId w:val="4"/>
        </w:numPr>
        <w:spacing w:after="70" w:before="40" w:line="280"/>
      </w:pPr>
      <w:r>
        <w:rPr>
          <w:b/>
          <w:bCs/>
          <w:color w:val="0B0B0B"/>
          <w:sz w:val="20"/>
          <w:szCs w:val="20"/>
        </w:rPr>
        <w:t xml:space="preserve">Fleet </w:t>
      </w:r>
      <w:r>
        <w:rPr>
          <w:color w:val="52514E"/>
          <w:sz w:val="20"/>
          <w:szCs w:val="20"/>
        </w:rPr>
        <w:t xml:space="preserve">— sort by specific yield and find the bad site.</w:t>
      </w:r>
    </w:p>
    <w:p>
      <w:pPr>
        <w:pStyle w:val="ListParagraph"/>
        <w:numPr>
          <w:ilvl w:val="0"/>
          <w:numId w:val="4"/>
        </w:numPr>
        <w:spacing w:after="70" w:before="40" w:line="280"/>
      </w:pPr>
      <w:r>
        <w:rPr>
          <w:b/>
          <w:bCs/>
          <w:color w:val="0B0B0B"/>
          <w:sz w:val="20"/>
          <w:szCs w:val="20"/>
        </w:rPr>
        <w:t xml:space="preserve">Data quality </w:t>
      </w:r>
      <w:r>
        <w:rPr>
          <w:color w:val="52514E"/>
          <w:sz w:val="20"/>
          <w:szCs w:val="20"/>
        </w:rPr>
        <w:t xml:space="preserve">— show the gaps, deliberately.</w:t>
      </w:r>
    </w:p>
    <w:p>
      <w:pPr>
        <w:pStyle w:val="ListParagraph"/>
        <w:numPr>
          <w:ilvl w:val="0"/>
          <w:numId w:val="4"/>
        </w:numPr>
        <w:spacing w:after="70" w:before="40" w:line="280"/>
      </w:pPr>
      <w:r>
        <w:rPr>
          <w:b/>
          <w:bCs/>
          <w:color w:val="0B0B0B"/>
          <w:sz w:val="20"/>
          <w:szCs w:val="20"/>
        </w:rPr>
        <w:t xml:space="preserve">Assumptions </w:t>
      </w:r>
      <w:r>
        <w:rPr>
          <w:color w:val="52514E"/>
          <w:sz w:val="20"/>
          <w:szCs w:val="20"/>
        </w:rPr>
        <w:t xml:space="preserve">— end on the open decisions. Stating them makes the numbers more credible, not less.</w:t>
      </w:r>
    </w:p>
    <w:sectPr>
      <w:footerReference w:type="default" r:id="rId7"/>
      <w:pgSz w:w="11906" w:h="16838" w:orient="portrait"/>
      <w:pgMar w:top="118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AF7A" w:sz="6" w:space="6"/>
      </w:pBdr>
      <w:spacing w:after="60"/>
    </w:pPr>
  </w:p>
  <w:p>
    <w:pPr>
      <w:tabs>
        <w:tab w:val="right" w:pos="9360"/>
      </w:tabs>
    </w:pPr>
    <w:r>
      <w:rPr>
        <w:color w:val="7A7873"/>
        <w:sz w:val="15"/>
        <w:szCs w:val="15"/>
      </w:rPr>
      <w:t xml:space="preserve">CCredits · Guide 1 of 3 · Using the portal</w:t>
    </w:r>
    <w:r>
      <w:tab/>
    </w:r>
    <w:r>
      <w:rPr>
        <w:b/>
        <w:bCs/>
        <w:color w:val="8A5A00"/>
        <w:sz w:val="15"/>
        <w:szCs w:val="15"/>
      </w:rPr>
      <w:t xml:space="preserve">Pilot data. Not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1BAF7A"/>
        <w:sz w:val="16"/>
        <w:szCs w:val="16"/>
      </w:rPr>
    </w:lvl>
    <w:lvl w:ilvl="1" w15:tentative="1">
      <w:start w:val="1"/>
      <w:numFmt w:val="bullet"/>
      <w:lvlText w:val="○"/>
      <w:lvlJc w:val="left"/>
      <w:pPr>
        <w:ind w:left="760" w:hanging="220"/>
      </w:pPr>
      <w:rPr>
        <w:color w:val="2A78D6"/>
        <w:sz w:val="16"/>
        <w:szCs w:val="16"/>
      </w:rPr>
    </w:lvl>
  </w:abstractNum>
  <w:abstractNum w:abstractNumId="3" w15:restartNumberingAfterBreak="0">
    <w:multiLevelType w:val="hybridMultilevel"/>
    <w:lvl w:ilvl="0" w15:tentative="1">
      <w:start w:val="1"/>
      <w:numFmt w:val="decimal"/>
      <w:lvlText w:val="%1."/>
      <w:lvlJc w:val="left"/>
      <w:pPr>
        <w:ind w:left="400" w:hanging="260"/>
      </w:pPr>
      <w:rPr>
        <w:b/>
        <w:bCs/>
        <w:color w:val="256AB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2514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CCredits — Using the portal</dc:title>
  <dc:creator>CCredits</dc:creator>
  <dc:description>CCredits · Guide 1 of 3 · Using the portal</dc:description>
  <cp:lastModifiedBy>Un-named</cp:lastModifiedBy>
  <cp:revision>1</cp:revision>
  <dcterms:created xsi:type="dcterms:W3CDTF">2026-09-14T13:05:40.022Z</dcterms:created>
  <dcterms:modified xsi:type="dcterms:W3CDTF">2026-09-14T13:05:40.022Z</dcterms:modified>
</cp:coreProperties>
</file>

<file path=docProps/custom.xml><?xml version="1.0" encoding="utf-8"?>
<Properties xmlns="http://schemas.openxmlformats.org/officeDocument/2006/custom-properties" xmlns:vt="http://schemas.openxmlformats.org/officeDocument/2006/docPropsVTypes"/>
</file>