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2A78D6"/>
          <w:spacing w:val="40"/>
          <w:sz w:val="17"/>
          <w:szCs w:val="17"/>
        </w:rPr>
        <w:t xml:space="preserve">CCREDITS · GUIDE 2 OF 3</w:t>
      </w:r>
    </w:p>
    <w:p>
      <w:pPr>
        <w:spacing w:after="130"/>
      </w:pPr>
      <w:r>
        <w:rPr>
          <w:b/>
          <w:bCs/>
          <w:color w:val="0B0B0B"/>
          <w:sz w:val="46"/>
          <w:szCs w:val="46"/>
        </w:rPr>
        <w:t xml:space="preserve">Configuring the environment</w:t>
      </w:r>
    </w:p>
    <w:p>
      <w:pPr>
        <w:pBdr>
          <w:bottom w:val="single" w:color="2A78D6" w:sz="20" w:space="1"/>
        </w:pBdr>
        <w:spacing w:after="170"/>
      </w:pPr>
    </w:p>
    <w:p>
      <w:pPr>
        <w:spacing w:after="260" w:line="300"/>
      </w:pPr>
      <w:r>
        <w:rPr>
          <w:color w:val="52514E"/>
          <w:sz w:val="22"/>
          <w:szCs w:val="22"/>
        </w:rPr>
        <w:t xml:space="preserve">Every tunable in CCredits is an environment variable, read once at startup by app/config.py. The app starts with none of them set. This guide says what each one does, where to put it, and which four actually change the headline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A78D6" w:sz="18"/>
              <w:bottom w:val="nil"/>
              <w:right w:val="nil"/>
            </w:tcBorders>
            <w:shd w:fill="F4F7FC" w:val="clear"/>
            <w:tcMar>
              <w:top w:type="dxa" w:w="140"/>
              <w:left w:type="dxa" w:w="180"/>
              <w:bottom w:type="dxa" w:w="140"/>
              <w:right w:type="dxa" w:w="180"/>
            </w:tcMar>
          </w:tcPr>
          <w:p>
            <w:pPr>
              <w:spacing w:line="280"/>
            </w:pPr>
            <w:r>
              <w:rPr>
                <w:b/>
                <w:bCs/>
                <w:color w:val="2A78D6"/>
                <w:sz w:val="20"/>
                <w:szCs w:val="20"/>
              </w:rPr>
              <w:t xml:space="preserve">Where these go.  </w:t>
            </w:r>
            <w:r>
              <w:rPr>
                <w:color w:val="52514E"/>
                <w:sz w:val="20"/>
                <w:szCs w:val="20"/>
              </w:rPr>
              <w:t xml:space="preserve">Locally: copy .env.example to .env and edit it. On Azure: Container App environment variables, with anything sensitive stored as a Container App secret and referenced with secretref. Changing one restarts the revision.</w:t>
            </w:r>
          </w:p>
        </w:tc>
      </w:tr>
    </w:tbl>
    <w:p>
      <w:pPr>
        <w:spacing w:after="200"/>
      </w:pPr>
    </w:p>
    <w:p>
      <w:pPr>
        <w:pStyle w:val="Heading1"/>
        <w:pBdr>
          <w:bottom w:val="single" w:color="2A78D6" w:sz="10" w:space="6"/>
        </w:pBdr>
        <w:spacing w:after="140" w:before="380"/>
      </w:pPr>
      <w:r>
        <w:rPr>
          <w:b/>
          <w:bCs/>
          <w:color w:val="2A78D6"/>
          <w:sz w:val="30"/>
          <w:szCs w:val="30"/>
        </w:rPr>
        <w:t xml:space="preserve">1 · Where to find which variable</w:t>
      </w:r>
    </w:p>
    <w:tbl>
      <w:tblPr>
        <w:tblW w:type="dxa" w:w="9360"/>
        <w:tblBorders>
          <w:top w:val="single" w:color="E3E2DD" w:sz="2"/>
          <w:left w:val="nil"/>
          <w:bottom w:val="single" w:color="E3E2DD" w:sz="2"/>
          <w:right w:val="nil"/>
          <w:insideH w:val="single" w:color="E3E2DD" w:sz="2"/>
          <w:insideV w:val="nil"/>
        </w:tblBorders>
      </w:tblPr>
      <w:tblGrid>
        <w:gridCol w:w="3182"/>
        <w:gridCol w:w="2059"/>
        <w:gridCol w:w="4118"/>
      </w:tblGrid>
      <w:tr>
        <w:trPr>
          <w:tblHeader/>
        </w:trPr>
        <w:tc>
          <w:tcPr>
            <w:tcW w:type="dxa" w:w="3182"/>
            <w:shd w:fill="2A78D6" w:val="clear"/>
            <w:tcMar>
              <w:top w:type="dxa" w:w="90"/>
              <w:left w:type="dxa" w:w="120"/>
              <w:bottom w:type="dxa" w:w="90"/>
              <w:right w:type="dxa" w:w="120"/>
            </w:tcMar>
          </w:tcPr>
          <w:p>
            <w:pPr>
              <w:spacing w:after="0" w:before="0"/>
            </w:pPr>
            <w:r>
              <w:rPr>
                <w:b/>
                <w:bCs/>
                <w:color w:val="FFFFFF"/>
                <w:spacing w:val="20"/>
                <w:sz w:val="17"/>
                <w:szCs w:val="17"/>
              </w:rPr>
              <w:t xml:space="preserve">If you need to change…</w:t>
            </w:r>
          </w:p>
        </w:tc>
        <w:tc>
          <w:tcPr>
            <w:tcW w:type="dxa" w:w="2059"/>
            <w:shd w:fill="2A78D6" w:val="clear"/>
            <w:tcMar>
              <w:top w:type="dxa" w:w="90"/>
              <w:left w:type="dxa" w:w="120"/>
              <w:bottom w:type="dxa" w:w="90"/>
              <w:right w:type="dxa" w:w="120"/>
            </w:tcMar>
          </w:tcPr>
          <w:p>
            <w:pPr>
              <w:spacing w:after="0" w:before="0"/>
            </w:pPr>
            <w:r>
              <w:rPr>
                <w:b/>
                <w:bCs/>
                <w:color w:val="FFFFFF"/>
                <w:spacing w:val="20"/>
                <w:sz w:val="17"/>
                <w:szCs w:val="17"/>
              </w:rPr>
              <w:t xml:space="preserve">Look in section</w:t>
            </w:r>
          </w:p>
        </w:tc>
        <w:tc>
          <w:tcPr>
            <w:tcW w:type="dxa" w:w="4118"/>
            <w:shd w:fill="2A78D6" w:val="clear"/>
            <w:tcMar>
              <w:top w:type="dxa" w:w="90"/>
              <w:left w:type="dxa" w:w="120"/>
              <w:bottom w:type="dxa" w:w="90"/>
              <w:right w:type="dxa" w:w="120"/>
            </w:tcMar>
          </w:tcPr>
          <w:p>
            <w:pPr>
              <w:spacing w:after="0" w:before="0"/>
            </w:pPr>
            <w:r>
              <w:rPr>
                <w:b/>
                <w:bCs/>
                <w:color w:val="FFFFFF"/>
                <w:spacing w:val="20"/>
                <w:sz w:val="17"/>
                <w:szCs w:val="17"/>
              </w:rPr>
              <w:t xml:space="preserve">Variables</w:t>
            </w:r>
          </w:p>
        </w:tc>
      </w:tr>
      <w:tr>
        <w:tc>
          <w:tcPr>
            <w:tcW w:type="dxa" w:w="3182"/>
            <w:shd w:fill="F7F7F5" w:val="clear"/>
            <w:tcMar>
              <w:top w:type="dxa" w:w="90"/>
              <w:left w:type="dxa" w:w="120"/>
              <w:bottom w:type="dxa" w:w="90"/>
              <w:right w:type="dxa" w:w="120"/>
            </w:tcMar>
          </w:tcPr>
          <w:p>
            <w:pPr>
              <w:spacing w:after="0" w:before="0" w:line="260"/>
            </w:pPr>
            <w:r>
              <w:rPr>
                <w:color w:val="52514E"/>
                <w:sz w:val="18"/>
                <w:szCs w:val="18"/>
              </w:rPr>
              <w:t xml:space="preserve">Which database it talks to</w:t>
            </w:r>
          </w:p>
        </w:tc>
        <w:tc>
          <w:tcPr>
            <w:tcW w:type="dxa" w:w="2059"/>
            <w:shd w:fill="F7F7F5" w:val="clear"/>
            <w:tcMar>
              <w:top w:type="dxa" w:w="90"/>
              <w:left w:type="dxa" w:w="120"/>
              <w:bottom w:type="dxa" w:w="90"/>
              <w:right w:type="dxa" w:w="120"/>
            </w:tcMar>
          </w:tcPr>
          <w:p>
            <w:pPr>
              <w:spacing w:after="0" w:before="0" w:line="260"/>
            </w:pPr>
            <w:r>
              <w:rPr>
                <w:color w:val="52514E"/>
                <w:sz w:val="18"/>
                <w:szCs w:val="18"/>
              </w:rPr>
              <w:t xml:space="preserve">2 · Core</w:t>
            </w:r>
          </w:p>
        </w:tc>
        <w:tc>
          <w:tcPr>
            <w:tcW w:type="dxa" w:w="411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DATABASE_URL</w:t>
            </w:r>
          </w:p>
        </w:tc>
      </w:tr>
      <w:tr>
        <w:tc>
          <w:tcPr>
            <w:tcW w:type="dxa" w:w="3182"/>
            <w:shd w:fill="FFFFFF" w:val="clear"/>
            <w:tcMar>
              <w:top w:type="dxa" w:w="90"/>
              <w:left w:type="dxa" w:w="120"/>
              <w:bottom w:type="dxa" w:w="90"/>
              <w:right w:type="dxa" w:w="120"/>
            </w:tcMar>
          </w:tcPr>
          <w:p>
            <w:pPr>
              <w:spacing w:after="0" w:before="0" w:line="260"/>
            </w:pPr>
            <w:r>
              <w:rPr>
                <w:color w:val="52514E"/>
                <w:sz w:val="18"/>
                <w:szCs w:val="18"/>
              </w:rPr>
              <w:t xml:space="preserve">Which port it listens on</w:t>
            </w:r>
          </w:p>
        </w:tc>
        <w:tc>
          <w:tcPr>
            <w:tcW w:type="dxa" w:w="2059"/>
            <w:shd w:fill="FFFFFF" w:val="clear"/>
            <w:tcMar>
              <w:top w:type="dxa" w:w="90"/>
              <w:left w:type="dxa" w:w="120"/>
              <w:bottom w:type="dxa" w:w="90"/>
              <w:right w:type="dxa" w:w="120"/>
            </w:tcMar>
          </w:tcPr>
          <w:p>
            <w:pPr>
              <w:spacing w:after="0" w:before="0" w:line="260"/>
            </w:pPr>
            <w:r>
              <w:rPr>
                <w:color w:val="52514E"/>
                <w:sz w:val="18"/>
                <w:szCs w:val="18"/>
              </w:rPr>
              <w:t xml:space="preserve">2 · Core</w:t>
            </w:r>
          </w:p>
        </w:tc>
        <w:tc>
          <w:tcPr>
            <w:tcW w:type="dxa" w:w="4118"/>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PORT, WEBSITES_PORT</w:t>
            </w:r>
          </w:p>
        </w:tc>
      </w:tr>
      <w:tr>
        <w:tc>
          <w:tcPr>
            <w:tcW w:type="dxa" w:w="3182"/>
            <w:shd w:fill="F7F7F5" w:val="clear"/>
            <w:tcMar>
              <w:top w:type="dxa" w:w="90"/>
              <w:left w:type="dxa" w:w="120"/>
              <w:bottom w:type="dxa" w:w="90"/>
              <w:right w:type="dxa" w:w="120"/>
            </w:tcMar>
          </w:tcPr>
          <w:p>
            <w:pPr>
              <w:spacing w:after="0" w:before="0" w:line="260"/>
            </w:pPr>
            <w:r>
              <w:rPr>
                <w:color w:val="52514E"/>
                <w:sz w:val="18"/>
                <w:szCs w:val="18"/>
              </w:rPr>
              <w:t xml:space="preserve">Where uploaded files are kept</w:t>
            </w:r>
          </w:p>
        </w:tc>
        <w:tc>
          <w:tcPr>
            <w:tcW w:type="dxa" w:w="2059"/>
            <w:shd w:fill="F7F7F5" w:val="clear"/>
            <w:tcMar>
              <w:top w:type="dxa" w:w="90"/>
              <w:left w:type="dxa" w:w="120"/>
              <w:bottom w:type="dxa" w:w="90"/>
              <w:right w:type="dxa" w:w="120"/>
            </w:tcMar>
          </w:tcPr>
          <w:p>
            <w:pPr>
              <w:spacing w:after="0" w:before="0" w:line="260"/>
            </w:pPr>
            <w:r>
              <w:rPr>
                <w:color w:val="52514E"/>
                <w:sz w:val="18"/>
                <w:szCs w:val="18"/>
              </w:rPr>
              <w:t xml:space="preserve">3 · Storage</w:t>
            </w:r>
          </w:p>
        </w:tc>
        <w:tc>
          <w:tcPr>
            <w:tcW w:type="dxa" w:w="411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STORAGE_BACKEND, AZURE_*</w:t>
            </w:r>
          </w:p>
        </w:tc>
      </w:tr>
      <w:tr>
        <w:tc>
          <w:tcPr>
            <w:tcW w:type="dxa" w:w="3182"/>
            <w:shd w:fill="FFFFFF" w:val="clear"/>
            <w:tcMar>
              <w:top w:type="dxa" w:w="90"/>
              <w:left w:type="dxa" w:w="120"/>
              <w:bottom w:type="dxa" w:w="90"/>
              <w:right w:type="dxa" w:w="120"/>
            </w:tcMar>
          </w:tcPr>
          <w:p>
            <w:pPr>
              <w:spacing w:after="0" w:before="0" w:line="260"/>
            </w:pPr>
            <w:r>
              <w:rPr>
                <w:color w:val="52514E"/>
                <w:sz w:val="18"/>
                <w:szCs w:val="18"/>
              </w:rPr>
              <w:t xml:space="preserve">Who is allowed to upload</w:t>
            </w:r>
          </w:p>
        </w:tc>
        <w:tc>
          <w:tcPr>
            <w:tcW w:type="dxa" w:w="2059"/>
            <w:shd w:fill="FFFFFF" w:val="clear"/>
            <w:tcMar>
              <w:top w:type="dxa" w:w="90"/>
              <w:left w:type="dxa" w:w="120"/>
              <w:bottom w:type="dxa" w:w="90"/>
              <w:right w:type="dxa" w:w="120"/>
            </w:tcMar>
          </w:tcPr>
          <w:p>
            <w:pPr>
              <w:spacing w:after="0" w:before="0" w:line="260"/>
            </w:pPr>
            <w:r>
              <w:rPr>
                <w:color w:val="52514E"/>
                <w:sz w:val="18"/>
                <w:szCs w:val="18"/>
              </w:rPr>
              <w:t xml:space="preserve">4 · Access</w:t>
            </w:r>
          </w:p>
        </w:tc>
        <w:tc>
          <w:tcPr>
            <w:tcW w:type="dxa" w:w="4118"/>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ADMIN_TOKEN</w:t>
            </w:r>
          </w:p>
        </w:tc>
      </w:tr>
      <w:tr>
        <w:tc>
          <w:tcPr>
            <w:tcW w:type="dxa" w:w="3182"/>
            <w:shd w:fill="F7F7F5" w:val="clear"/>
            <w:tcMar>
              <w:top w:type="dxa" w:w="90"/>
              <w:left w:type="dxa" w:w="120"/>
              <w:bottom w:type="dxa" w:w="90"/>
              <w:right w:type="dxa" w:w="120"/>
            </w:tcMar>
          </w:tcPr>
          <w:p>
            <w:pPr>
              <w:spacing w:after="0" w:before="0" w:line="260"/>
            </w:pPr>
            <w:r>
              <w:rPr>
                <w:color w:val="52514E"/>
                <w:sz w:val="18"/>
                <w:szCs w:val="18"/>
              </w:rPr>
              <w:t xml:space="preserve">What counts as a bad day</w:t>
            </w:r>
          </w:p>
        </w:tc>
        <w:tc>
          <w:tcPr>
            <w:tcW w:type="dxa" w:w="2059"/>
            <w:shd w:fill="F7F7F5" w:val="clear"/>
            <w:tcMar>
              <w:top w:type="dxa" w:w="90"/>
              <w:left w:type="dxa" w:w="120"/>
              <w:bottom w:type="dxa" w:w="90"/>
              <w:right w:type="dxa" w:w="120"/>
            </w:tcMar>
          </w:tcPr>
          <w:p>
            <w:pPr>
              <w:spacing w:after="0" w:before="0" w:line="260"/>
            </w:pPr>
            <w:r>
              <w:rPr>
                <w:color w:val="52514E"/>
                <w:sz w:val="18"/>
                <w:szCs w:val="18"/>
              </w:rPr>
              <w:t xml:space="preserve">5 · Assumptions</w:t>
            </w:r>
          </w:p>
        </w:tc>
        <w:tc>
          <w:tcPr>
            <w:tcW w:type="dxa" w:w="411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IMPLAUSIBLE_KWH_PER_KWP</w:t>
            </w:r>
          </w:p>
        </w:tc>
      </w:tr>
      <w:tr>
        <w:tc>
          <w:tcPr>
            <w:tcW w:type="dxa" w:w="3182"/>
            <w:shd w:fill="FFFFFF" w:val="clear"/>
            <w:tcMar>
              <w:top w:type="dxa" w:w="90"/>
              <w:left w:type="dxa" w:w="120"/>
              <w:bottom w:type="dxa" w:w="90"/>
              <w:right w:type="dxa" w:w="120"/>
            </w:tcMar>
          </w:tcPr>
          <w:p>
            <w:pPr>
              <w:spacing w:after="0" w:before="0" w:line="260"/>
            </w:pPr>
            <w:r>
              <w:rPr>
                <w:color w:val="52514E"/>
                <w:sz w:val="18"/>
                <w:szCs w:val="18"/>
              </w:rPr>
              <w:t xml:space="preserve">How zero and missing days are treated</w:t>
            </w:r>
          </w:p>
        </w:tc>
        <w:tc>
          <w:tcPr>
            <w:tcW w:type="dxa" w:w="2059"/>
            <w:shd w:fill="FFFFFF" w:val="clear"/>
            <w:tcMar>
              <w:top w:type="dxa" w:w="90"/>
              <w:left w:type="dxa" w:w="120"/>
              <w:bottom w:type="dxa" w:w="90"/>
              <w:right w:type="dxa" w:w="120"/>
            </w:tcMar>
          </w:tcPr>
          <w:p>
            <w:pPr>
              <w:spacing w:after="0" w:before="0" w:line="260"/>
            </w:pPr>
            <w:r>
              <w:rPr>
                <w:color w:val="52514E"/>
                <w:sz w:val="18"/>
                <w:szCs w:val="18"/>
              </w:rPr>
              <w:t xml:space="preserve">5 · Assumptions</w:t>
            </w:r>
          </w:p>
        </w:tc>
        <w:tc>
          <w:tcPr>
            <w:tcW w:type="dxa" w:w="4118"/>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ZERO_DAY_POLICY, MISSING_DAY_POLICY</w:t>
            </w:r>
          </w:p>
        </w:tc>
      </w:tr>
      <w:tr>
        <w:tc>
          <w:tcPr>
            <w:tcW w:type="dxa" w:w="3182"/>
            <w:shd w:fill="F7F7F5" w:val="clear"/>
            <w:tcMar>
              <w:top w:type="dxa" w:w="90"/>
              <w:left w:type="dxa" w:w="120"/>
              <w:bottom w:type="dxa" w:w="90"/>
              <w:right w:type="dxa" w:w="120"/>
            </w:tcMar>
          </w:tcPr>
          <w:p>
            <w:pPr>
              <w:spacing w:after="0" w:before="0" w:line="260"/>
            </w:pPr>
            <w:r>
              <w:rPr>
                <w:color w:val="52514E"/>
                <w:sz w:val="18"/>
                <w:szCs w:val="18"/>
              </w:rPr>
              <w:t xml:space="preserve">The emission factor</w:t>
            </w:r>
          </w:p>
        </w:tc>
        <w:tc>
          <w:tcPr>
            <w:tcW w:type="dxa" w:w="2059"/>
            <w:shd w:fill="F7F7F5" w:val="clear"/>
            <w:tcMar>
              <w:top w:type="dxa" w:w="90"/>
              <w:left w:type="dxa" w:w="120"/>
              <w:bottom w:type="dxa" w:w="90"/>
              <w:right w:type="dxa" w:w="120"/>
            </w:tcMar>
          </w:tcPr>
          <w:p>
            <w:pPr>
              <w:spacing w:after="0" w:before="0" w:line="260"/>
            </w:pPr>
            <w:r>
              <w:rPr>
                <w:color w:val="52514E"/>
                <w:sz w:val="18"/>
                <w:szCs w:val="18"/>
              </w:rPr>
              <w:t xml:space="preserve">6 · Emission factor</w:t>
            </w:r>
          </w:p>
        </w:tc>
        <w:tc>
          <w:tcPr>
            <w:tcW w:type="dxa" w:w="411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DEFAULT_EMISSION_FACTOR, ALLOW_EXPIRED_…</w:t>
            </w:r>
          </w:p>
        </w:tc>
      </w:tr>
      <w:tr>
        <w:tc>
          <w:tcPr>
            <w:tcW w:type="dxa" w:w="3182"/>
            <w:shd w:fill="FFFFFF" w:val="clear"/>
            <w:tcMar>
              <w:top w:type="dxa" w:w="90"/>
              <w:left w:type="dxa" w:w="120"/>
              <w:bottom w:type="dxa" w:w="90"/>
              <w:right w:type="dxa" w:w="120"/>
            </w:tcMar>
          </w:tcPr>
          <w:p>
            <w:pPr>
              <w:spacing w:after="0" w:before="0" w:line="260"/>
            </w:pPr>
            <w:r>
              <w:rPr>
                <w:color w:val="52514E"/>
                <w:sz w:val="18"/>
                <w:szCs w:val="18"/>
              </w:rPr>
              <w:t xml:space="preserve">The VCU price</w:t>
            </w:r>
          </w:p>
        </w:tc>
        <w:tc>
          <w:tcPr>
            <w:tcW w:type="dxa" w:w="2059"/>
            <w:shd w:fill="FFFFFF" w:val="clear"/>
            <w:tcMar>
              <w:top w:type="dxa" w:w="90"/>
              <w:left w:type="dxa" w:w="120"/>
              <w:bottom w:type="dxa" w:w="90"/>
              <w:right w:type="dxa" w:w="120"/>
            </w:tcMar>
          </w:tcPr>
          <w:p>
            <w:pPr>
              <w:spacing w:after="0" w:before="0" w:line="260"/>
            </w:pPr>
            <w:r>
              <w:rPr>
                <w:color w:val="52514E"/>
                <w:sz w:val="18"/>
                <w:szCs w:val="18"/>
              </w:rPr>
              <w:t xml:space="preserve">7 · Price</w:t>
            </w:r>
          </w:p>
        </w:tc>
        <w:tc>
          <w:tcPr>
            <w:tcW w:type="dxa" w:w="4118"/>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DEFAULT_VCU_PRICE_PER_TCO2E</w:t>
            </w:r>
          </w:p>
        </w:tc>
      </w:tr>
      <w:tr>
        <w:tc>
          <w:tcPr>
            <w:tcW w:type="dxa" w:w="3182"/>
            <w:shd w:fill="F7F7F5" w:val="clear"/>
            <w:tcMar>
              <w:top w:type="dxa" w:w="90"/>
              <w:left w:type="dxa" w:w="120"/>
              <w:bottom w:type="dxa" w:w="90"/>
              <w:right w:type="dxa" w:w="120"/>
            </w:tcMar>
          </w:tcPr>
          <w:p>
            <w:pPr>
              <w:spacing w:after="0" w:before="0" w:line="260"/>
            </w:pPr>
            <w:r>
              <w:rPr>
                <w:color w:val="52514E"/>
                <w:sz w:val="18"/>
                <w:szCs w:val="18"/>
              </w:rPr>
              <w:t xml:space="preserve">The banner or fleet name</w:t>
            </w:r>
          </w:p>
        </w:tc>
        <w:tc>
          <w:tcPr>
            <w:tcW w:type="dxa" w:w="2059"/>
            <w:shd w:fill="F7F7F5" w:val="clear"/>
            <w:tcMar>
              <w:top w:type="dxa" w:w="90"/>
              <w:left w:type="dxa" w:w="120"/>
              <w:bottom w:type="dxa" w:w="90"/>
              <w:right w:type="dxa" w:w="120"/>
            </w:tcMar>
          </w:tcPr>
          <w:p>
            <w:pPr>
              <w:spacing w:after="0" w:before="0" w:line="260"/>
            </w:pPr>
            <w:r>
              <w:rPr>
                <w:color w:val="52514E"/>
                <w:sz w:val="18"/>
                <w:szCs w:val="18"/>
              </w:rPr>
              <w:t xml:space="preserve">8 · Presentation</w:t>
            </w:r>
          </w:p>
        </w:tc>
        <w:tc>
          <w:tcPr>
            <w:tcW w:type="dxa" w:w="411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BANNER_TEXT, FLEET_NAME</w:t>
            </w:r>
          </w:p>
        </w:tc>
      </w:tr>
    </w:tbl>
    <w:p>
      <w:pPr>
        <w:pStyle w:val="Heading3"/>
        <w:spacing w:after="80" w:before="190"/>
      </w:pPr>
      <w:r>
        <w:rPr>
          <w:b/>
          <w:bCs/>
          <w:color w:val="52514E"/>
          <w:sz w:val="21"/>
          <w:szCs w:val="21"/>
        </w:rPr>
        <w:t xml:space="preserve">The authoritative list</w:t>
      </w:r>
    </w:p>
    <w:p>
      <w:pPr>
        <w:spacing w:after="120" w:before="60" w:line="280"/>
      </w:pPr>
      <w:r>
        <w:rPr>
          <w:color w:val="52514E"/>
          <w:sz w:val="20"/>
          <w:szCs w:val="20"/>
        </w:rPr>
        <w:t xml:space="preserve">Every variable is defined in one file — </w:t>
      </w:r>
      <w:r>
        <w:rPr>
          <w:rFonts w:ascii="Consolas" w:cs="Consolas" w:eastAsia="Consolas" w:hAnsi="Consolas"/>
          <w:color w:val="3A2D85"/>
          <w:sz w:val="18"/>
          <w:szCs w:val="18"/>
        </w:rPr>
        <w:t xml:space="preserve">app/config.py</w:t>
      </w:r>
      <w:r>
        <w:rPr>
          <w:color w:val="52514E"/>
          <w:sz w:val="20"/>
          <w:szCs w:val="20"/>
        </w:rPr>
        <w:t xml:space="preserve"> — with its default beside it, and mirrored with comments in </w:t>
      </w:r>
      <w:r>
        <w:rPr>
          <w:rFonts w:ascii="Consolas" w:cs="Consolas" w:eastAsia="Consolas" w:hAnsi="Consolas"/>
          <w:color w:val="3A2D85"/>
          <w:sz w:val="18"/>
          <w:szCs w:val="18"/>
        </w:rPr>
        <w:t xml:space="preserve">.env.example</w:t>
      </w:r>
      <w:r>
        <w:rPr>
          <w:color w:val="52514E"/>
          <w:sz w:val="20"/>
          <w:szCs w:val="20"/>
        </w:rPr>
        <w:t xml:space="preserve">. If this guide and that file ever disagree, the file is right.</w:t>
      </w:r>
    </w:p>
    <w:p>
      <w:pPr>
        <w:pStyle w:val="Heading1"/>
        <w:pBdr>
          <w:bottom w:val="single" w:color="256ABF" w:sz="10" w:space="6"/>
        </w:pBdr>
        <w:spacing w:after="140" w:before="380"/>
      </w:pPr>
      <w:r>
        <w:rPr>
          <w:b/>
          <w:bCs/>
          <w:color w:val="256ABF"/>
          <w:sz w:val="30"/>
          <w:szCs w:val="30"/>
        </w:rPr>
        <w:t xml:space="preserve">2 · Core</w:t>
      </w:r>
    </w:p>
    <w:tbl>
      <w:tblPr>
        <w:tblW w:type="dxa" w:w="9360"/>
        <w:tblBorders>
          <w:top w:val="single" w:color="E3E2DD" w:sz="2"/>
          <w:left w:val="nil"/>
          <w:bottom w:val="single" w:color="E3E2DD" w:sz="2"/>
          <w:right w:val="nil"/>
          <w:insideH w:val="single" w:color="E3E2DD" w:sz="2"/>
          <w:insideV w:val="nil"/>
        </w:tblBorders>
      </w:tblPr>
      <w:tblGrid>
        <w:gridCol w:w="2808"/>
        <w:gridCol w:w="1872"/>
        <w:gridCol w:w="4680"/>
      </w:tblGrid>
      <w:tr>
        <w:trPr>
          <w:tblHeader/>
        </w:trPr>
        <w:tc>
          <w:tcPr>
            <w:tcW w:type="dxa" w:w="2808"/>
            <w:shd w:fill="256ABF" w:val="clear"/>
            <w:tcMar>
              <w:top w:type="dxa" w:w="90"/>
              <w:left w:type="dxa" w:w="120"/>
              <w:bottom w:type="dxa" w:w="90"/>
              <w:right w:type="dxa" w:w="120"/>
            </w:tcMar>
          </w:tcPr>
          <w:p>
            <w:pPr>
              <w:spacing w:after="0" w:before="0"/>
            </w:pPr>
            <w:r>
              <w:rPr>
                <w:b/>
                <w:bCs/>
                <w:color w:val="FFFFFF"/>
                <w:spacing w:val="20"/>
                <w:sz w:val="17"/>
                <w:szCs w:val="17"/>
              </w:rPr>
              <w:t xml:space="preserve">Variable</w:t>
            </w:r>
          </w:p>
        </w:tc>
        <w:tc>
          <w:tcPr>
            <w:tcW w:type="dxa" w:w="1872"/>
            <w:shd w:fill="256ABF" w:val="clear"/>
            <w:tcMar>
              <w:top w:type="dxa" w:w="90"/>
              <w:left w:type="dxa" w:w="120"/>
              <w:bottom w:type="dxa" w:w="90"/>
              <w:right w:type="dxa" w:w="120"/>
            </w:tcMar>
          </w:tcPr>
          <w:p>
            <w:pPr>
              <w:spacing w:after="0" w:before="0"/>
            </w:pPr>
            <w:r>
              <w:rPr>
                <w:b/>
                <w:bCs/>
                <w:color w:val="FFFFFF"/>
                <w:spacing w:val="20"/>
                <w:sz w:val="17"/>
                <w:szCs w:val="17"/>
              </w:rPr>
              <w:t xml:space="preserve">Default</w:t>
            </w:r>
          </w:p>
        </w:tc>
        <w:tc>
          <w:tcPr>
            <w:tcW w:type="dxa" w:w="4680"/>
            <w:shd w:fill="256ABF" w:val="clear"/>
            <w:tcMar>
              <w:top w:type="dxa" w:w="90"/>
              <w:left w:type="dxa" w:w="120"/>
              <w:bottom w:type="dxa" w:w="90"/>
              <w:right w:type="dxa" w:w="120"/>
            </w:tcMar>
          </w:tcPr>
          <w:p>
            <w:pPr>
              <w:spacing w:after="0" w:before="0"/>
            </w:pPr>
            <w:r>
              <w:rPr>
                <w:b/>
                <w:bCs/>
                <w:color w:val="FFFFFF"/>
                <w:spacing w:val="20"/>
                <w:sz w:val="17"/>
                <w:szCs w:val="17"/>
              </w:rPr>
              <w:t xml:space="preserve">What it does</w:t>
            </w:r>
          </w:p>
        </w:tc>
      </w:tr>
      <w:tr>
        <w:tc>
          <w:tcPr>
            <w:tcW w:type="dxa" w:w="280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DATABASE_URL</w:t>
            </w:r>
          </w:p>
        </w:tc>
        <w:tc>
          <w:tcPr>
            <w:tcW w:type="dxa" w:w="1872"/>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localhost/ccredits</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Postgres connection. The one you must get right.</w:t>
            </w:r>
          </w:p>
        </w:tc>
      </w:tr>
      <w:tr>
        <w:tc>
          <w:tcPr>
            <w:tcW w:type="dxa" w:w="2808"/>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PORT</w:t>
            </w:r>
          </w:p>
        </w:tc>
        <w:tc>
          <w:tcPr>
            <w:tcW w:type="dxa" w:w="1872"/>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8000</w:t>
            </w:r>
          </w:p>
        </w:tc>
        <w:tc>
          <w:tcPr>
            <w:tcW w:type="dxa" w:w="4680"/>
            <w:shd w:fill="FFFFFF" w:val="clear"/>
            <w:tcMar>
              <w:top w:type="dxa" w:w="90"/>
              <w:left w:type="dxa" w:w="120"/>
              <w:bottom w:type="dxa" w:w="90"/>
              <w:right w:type="dxa" w:w="120"/>
            </w:tcMar>
          </w:tcPr>
          <w:p>
            <w:pPr>
              <w:spacing w:after="0" w:before="0" w:line="260"/>
            </w:pPr>
            <w:r>
              <w:rPr>
                <w:color w:val="52514E"/>
                <w:sz w:val="18"/>
                <w:szCs w:val="18"/>
              </w:rPr>
              <w:t xml:space="preserve">Port to bind. Container Apps routes to the target port instead; leave unset.</w:t>
            </w:r>
          </w:p>
        </w:tc>
      </w:tr>
      <w:tr>
        <w:tc>
          <w:tcPr>
            <w:tcW w:type="dxa" w:w="280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APP_ENV</w:t>
            </w:r>
          </w:p>
        </w:tc>
        <w:tc>
          <w:tcPr>
            <w:tcW w:type="dxa" w:w="1872"/>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local</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Free-text label, echoed by /api/health.</w:t>
            </w:r>
          </w:p>
        </w:tc>
      </w:tr>
      <w:tr>
        <w:tc>
          <w:tcPr>
            <w:tcW w:type="dxa" w:w="2808"/>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LOG_LEVEL</w:t>
            </w:r>
          </w:p>
        </w:tc>
        <w:tc>
          <w:tcPr>
            <w:tcW w:type="dxa" w:w="1872"/>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info</w:t>
            </w:r>
          </w:p>
        </w:tc>
        <w:tc>
          <w:tcPr>
            <w:tcW w:type="dxa" w:w="4680"/>
            <w:shd w:fill="FFFFFF" w:val="clear"/>
            <w:tcMar>
              <w:top w:type="dxa" w:w="90"/>
              <w:left w:type="dxa" w:w="120"/>
              <w:bottom w:type="dxa" w:w="90"/>
              <w:right w:type="dxa" w:w="120"/>
            </w:tcMar>
          </w:tcPr>
          <w:p>
            <w:pPr>
              <w:spacing w:after="0" w:before="0" w:line="260"/>
            </w:pPr>
            <w:r>
              <w:rPr>
                <w:color w:val="52514E"/>
                <w:sz w:val="18"/>
                <w:szCs w:val="18"/>
              </w:rPr>
              <w:t xml:space="preserve">debug · info · warning · error</w:t>
            </w:r>
          </w:p>
        </w:tc>
      </w:tr>
      <w:tr>
        <w:tc>
          <w:tcPr>
            <w:tcW w:type="dxa" w:w="280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AUTO_MIGRATE</w:t>
            </w:r>
          </w:p>
        </w:tc>
        <w:tc>
          <w:tcPr>
            <w:tcW w:type="dxa" w:w="1872"/>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true</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Apply the schema on startup. The schema is idempotent.</w:t>
            </w:r>
          </w:p>
        </w:tc>
      </w:tr>
    </w:tbl>
    <w:p>
      <w:pPr>
        <w:pStyle w:val="Heading3"/>
        <w:spacing w:after="80" w:before="190"/>
      </w:pPr>
      <w:r>
        <w:rPr>
          <w:b/>
          <w:bCs/>
          <w:color w:val="52514E"/>
          <w:sz w:val="21"/>
          <w:szCs w:val="21"/>
        </w:rPr>
        <w:t xml:space="preserve">DATABASE_URL</w:t>
      </w:r>
    </w:p>
    <w:p>
      <w:pPr>
        <w:spacing w:after="120" w:before="60" w:line="280"/>
      </w:pPr>
      <w:r>
        <w:rPr>
          <w:color w:val="52514E"/>
          <w:sz w:val="20"/>
          <w:szCs w:val="20"/>
        </w:rPr>
        <w:t xml:space="preserve">Azure Database for PostgreSQL refuses plaintext connections, so the URL needs TLS:</w:t>
      </w:r>
    </w:p>
    <w:p>
      <w:pPr>
        <w:pBdr>
          <w:left w:val="single" w:color="256ABF" w:sz="12" w:space="6"/>
        </w:pBdr>
        <w:shd w:fill="F4F4F1" w:val="clear"/>
        <w:spacing w:after="150" w:before="100" w:line="250"/>
        <w:ind w:left="140" w:right="140"/>
      </w:pPr>
      <w:r>
        <w:rPr>
          <w:rFonts w:ascii="Consolas" w:cs="Consolas" w:eastAsia="Consolas" w:hAnsi="Consolas"/>
          <w:color w:val="0B0B0B"/>
          <w:sz w:val="18"/>
          <w:szCs w:val="18"/>
        </w:rPr>
        <w:t xml:space="preserve">postgresql://USER:PASS@HOST.postgres.database.azure.com:5432/ccredits?sslmode=require</w:t>
      </w:r>
    </w:p>
    <w:p>
      <w:pPr>
        <w:spacing w:after="120" w:before="60" w:line="280"/>
      </w:pPr>
      <w:r>
        <w:rPr>
          <w:color w:val="52514E"/>
          <w:sz w:val="20"/>
          <w:szCs w:val="20"/>
        </w:rPr>
        <w:t xml:space="preserve">Store it as a Container App secret rather than a plain variable. </w:t>
      </w:r>
      <w:r>
        <w:rPr>
          <w:rFonts w:ascii="Consolas" w:cs="Consolas" w:eastAsia="Consolas" w:hAnsi="Consolas"/>
          <w:color w:val="3A2D85"/>
          <w:sz w:val="18"/>
          <w:szCs w:val="18"/>
        </w:rPr>
        <w:t xml:space="preserve">postgres://</w:t>
      </w:r>
      <w:r>
        <w:rPr>
          <w:color w:val="52514E"/>
          <w:sz w:val="20"/>
          <w:szCs w:val="20"/>
        </w:rPr>
        <w:t xml:space="preserve"> URLs are rewritten to </w:t>
      </w:r>
      <w:r>
        <w:rPr>
          <w:rFonts w:ascii="Consolas" w:cs="Consolas" w:eastAsia="Consolas" w:hAnsi="Consolas"/>
          <w:color w:val="3A2D85"/>
          <w:sz w:val="18"/>
          <w:szCs w:val="18"/>
        </w:rPr>
        <w:t xml:space="preserve">postgresql://</w:t>
      </w:r>
      <w:r>
        <w:rPr>
          <w:color w:val="52514E"/>
          <w:sz w:val="20"/>
          <w:szCs w:val="20"/>
        </w:rPr>
        <w:t xml:space="preserve"> automatically, so either prefix works.</w:t>
      </w:r>
    </w:p>
    <w:p>
      <w:pPr>
        <w:pStyle w:val="Heading3"/>
        <w:spacing w:after="80" w:before="190"/>
      </w:pPr>
      <w:r>
        <w:rPr>
          <w:b/>
          <w:bCs/>
          <w:color w:val="52514E"/>
          <w:sz w:val="21"/>
          <w:szCs w:val="21"/>
        </w:rPr>
        <w:t xml:space="preserve">PORT and WEBSITES_PORT</w:t>
      </w:r>
    </w:p>
    <w:p>
      <w:pPr>
        <w:spacing w:after="120" w:before="60" w:line="280"/>
      </w:pPr>
      <w:r>
        <w:rPr>
          <w:color w:val="52514E"/>
          <w:sz w:val="20"/>
          <w:szCs w:val="20"/>
        </w:rPr>
        <w:t xml:space="preserve">The Dockerfile listens on 8000 and honours PORT if the host injects one. Azure Container Apps does not inject it — set --target-port 8000 instead. Azure App Service needs WEBSITES_PORT=8000 so the platform knows where to route.</w:t>
      </w:r>
    </w:p>
    <w:p>
      <w:pPr>
        <w:pStyle w:val="Heading3"/>
        <w:spacing w:after="80" w:before="190"/>
      </w:pPr>
      <w:r>
        <w:rPr>
          <w:b/>
          <w:bCs/>
          <w:color w:val="52514E"/>
          <w:sz w:val="21"/>
          <w:szCs w:val="21"/>
        </w:rPr>
        <w:t xml:space="preserve">AUTO_MIGRATE</w:t>
      </w:r>
    </w:p>
    <w:p>
      <w:pPr>
        <w:spacing w:after="120" w:before="60" w:line="280"/>
      </w:pPr>
      <w:r>
        <w:rPr>
          <w:color w:val="52514E"/>
          <w:sz w:val="20"/>
          <w:szCs w:val="20"/>
        </w:rPr>
        <w:t xml:space="preserve">Leaving this on is right for a pilot: the schema creates tables if absent and rebuilds the view graph on every start. Turn it off to make schema changes a deliberate step, then run the migration by hand:</w:t>
      </w:r>
    </w:p>
    <w:p>
      <w:pPr>
        <w:pBdr>
          <w:left w:val="single" w:color="256ABF" w:sz="12" w:space="6"/>
        </w:pBdr>
        <w:shd w:fill="F4F4F1" w:val="clear"/>
        <w:spacing w:after="150" w:before="100" w:line="250"/>
        <w:ind w:left="140" w:right="140"/>
      </w:pPr>
      <w:r>
        <w:rPr>
          <w:rFonts w:ascii="Consolas" w:cs="Consolas" w:eastAsia="Consolas" w:hAnsi="Consolas"/>
          <w:color w:val="0B0B0B"/>
          <w:sz w:val="18"/>
          <w:szCs w:val="18"/>
        </w:rPr>
        <w:t xml:space="preserve">python cli/load_bronze.py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EDA100" w:sz="18"/>
              <w:bottom w:val="nil"/>
              <w:right w:val="nil"/>
            </w:tcBorders>
            <w:shd w:fill="FDF3DE" w:val="clear"/>
            <w:tcMar>
              <w:top w:type="dxa" w:w="140"/>
              <w:left w:type="dxa" w:w="180"/>
              <w:bottom w:type="dxa" w:w="140"/>
              <w:right w:type="dxa" w:w="180"/>
            </w:tcMar>
          </w:tcPr>
          <w:p>
            <w:pPr>
              <w:spacing w:line="280"/>
            </w:pPr>
            <w:r>
              <w:rPr>
                <w:b/>
                <w:bCs/>
                <w:color w:val="EDA100"/>
                <w:sz w:val="20"/>
                <w:szCs w:val="20"/>
              </w:rPr>
              <w:t xml:space="preserve">If the database is unreachable at startup,  </w:t>
            </w:r>
            <w:r>
              <w:rPr>
                <w:color w:val="52514E"/>
                <w:sz w:val="20"/>
                <w:szCs w:val="20"/>
              </w:rPr>
              <w:t xml:space="preserve">the app still starts and /api/health reports "degraded" with the reason, rather than crash-looping. That is how you tell a bad connection string from a bad deployment.</w:t>
            </w:r>
          </w:p>
        </w:tc>
      </w:tr>
    </w:tbl>
    <w:p>
      <w:r>
        <w:br w:type="page"/>
      </w:r>
    </w:p>
    <w:p>
      <w:pPr>
        <w:pStyle w:val="Heading1"/>
        <w:pBdr>
          <w:bottom w:val="single" w:color="4A3AA7" w:sz="10" w:space="6"/>
        </w:pBdr>
        <w:spacing w:after="140" w:before="380"/>
      </w:pPr>
      <w:r>
        <w:rPr>
          <w:b/>
          <w:bCs/>
          <w:color w:val="4A3AA7"/>
          <w:sz w:val="30"/>
          <w:szCs w:val="30"/>
        </w:rPr>
        <w:t xml:space="preserve">3 · Storage</w:t>
      </w:r>
    </w:p>
    <w:p>
      <w:pPr>
        <w:spacing w:after="120" w:before="60" w:line="280"/>
      </w:pPr>
      <w:r>
        <w:rPr>
          <w:color w:val="52514E"/>
          <w:sz w:val="20"/>
          <w:szCs w:val="20"/>
        </w:rPr>
        <w:t xml:space="preserve">The original uploaded bytes are kept unmodified alongside their SHA-256. That stored file is the evidence the lineage view ultimately points at, so it has to outlive the container that received it.</w:t>
      </w:r>
    </w:p>
    <w:tbl>
      <w:tblPr>
        <w:tblW w:type="dxa" w:w="9360"/>
        <w:tblBorders>
          <w:top w:val="single" w:color="E3E2DD" w:sz="2"/>
          <w:left w:val="nil"/>
          <w:bottom w:val="single" w:color="E3E2DD" w:sz="2"/>
          <w:right w:val="nil"/>
          <w:insideH w:val="single" w:color="E3E2DD" w:sz="2"/>
          <w:insideV w:val="nil"/>
        </w:tblBorders>
      </w:tblPr>
      <w:tblGrid>
        <w:gridCol w:w="3182"/>
        <w:gridCol w:w="1685"/>
        <w:gridCol w:w="4493"/>
      </w:tblGrid>
      <w:tr>
        <w:trPr>
          <w:tblHeader/>
        </w:trPr>
        <w:tc>
          <w:tcPr>
            <w:tcW w:type="dxa" w:w="3182"/>
            <w:shd w:fill="4A3AA7" w:val="clear"/>
            <w:tcMar>
              <w:top w:type="dxa" w:w="90"/>
              <w:left w:type="dxa" w:w="120"/>
              <w:bottom w:type="dxa" w:w="90"/>
              <w:right w:type="dxa" w:w="120"/>
            </w:tcMar>
          </w:tcPr>
          <w:p>
            <w:pPr>
              <w:spacing w:after="0" w:before="0"/>
            </w:pPr>
            <w:r>
              <w:rPr>
                <w:b/>
                <w:bCs/>
                <w:color w:val="FFFFFF"/>
                <w:spacing w:val="20"/>
                <w:sz w:val="17"/>
                <w:szCs w:val="17"/>
              </w:rPr>
              <w:t xml:space="preserve">Variable</w:t>
            </w:r>
          </w:p>
        </w:tc>
        <w:tc>
          <w:tcPr>
            <w:tcW w:type="dxa" w:w="1685"/>
            <w:shd w:fill="4A3AA7" w:val="clear"/>
            <w:tcMar>
              <w:top w:type="dxa" w:w="90"/>
              <w:left w:type="dxa" w:w="120"/>
              <w:bottom w:type="dxa" w:w="90"/>
              <w:right w:type="dxa" w:w="120"/>
            </w:tcMar>
          </w:tcPr>
          <w:p>
            <w:pPr>
              <w:spacing w:after="0" w:before="0"/>
            </w:pPr>
            <w:r>
              <w:rPr>
                <w:b/>
                <w:bCs/>
                <w:color w:val="FFFFFF"/>
                <w:spacing w:val="20"/>
                <w:sz w:val="17"/>
                <w:szCs w:val="17"/>
              </w:rPr>
              <w:t xml:space="preserve">Default</w:t>
            </w:r>
          </w:p>
        </w:tc>
        <w:tc>
          <w:tcPr>
            <w:tcW w:type="dxa" w:w="4493"/>
            <w:shd w:fill="4A3AA7" w:val="clear"/>
            <w:tcMar>
              <w:top w:type="dxa" w:w="90"/>
              <w:left w:type="dxa" w:w="120"/>
              <w:bottom w:type="dxa" w:w="90"/>
              <w:right w:type="dxa" w:w="120"/>
            </w:tcMar>
          </w:tcPr>
          <w:p>
            <w:pPr>
              <w:spacing w:after="0" w:before="0"/>
            </w:pPr>
            <w:r>
              <w:rPr>
                <w:b/>
                <w:bCs/>
                <w:color w:val="FFFFFF"/>
                <w:spacing w:val="20"/>
                <w:sz w:val="17"/>
                <w:szCs w:val="17"/>
              </w:rPr>
              <w:t xml:space="preserve">What it does</w:t>
            </w:r>
          </w:p>
        </w:tc>
      </w:tr>
      <w:tr>
        <w:tc>
          <w:tcPr>
            <w:tcW w:type="dxa" w:w="3182"/>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STORAGE_BACKEND</w:t>
            </w:r>
          </w:p>
        </w:tc>
        <w:tc>
          <w:tcPr>
            <w:tcW w:type="dxa" w:w="1685"/>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local</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local · azure · s3</w:t>
            </w:r>
          </w:p>
        </w:tc>
      </w:tr>
      <w:tr>
        <w:tc>
          <w:tcPr>
            <w:tcW w:type="dxa" w:w="3182"/>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STORAGE_DIR</w:t>
            </w:r>
          </w:p>
        </w:tc>
        <w:tc>
          <w:tcPr>
            <w:tcW w:type="dxa" w:w="1685"/>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./var/uploads</w:t>
            </w:r>
          </w:p>
        </w:tc>
        <w:tc>
          <w:tcPr>
            <w:tcW w:type="dxa" w:w="4493"/>
            <w:shd w:fill="FFFFFF" w:val="clear"/>
            <w:tcMar>
              <w:top w:type="dxa" w:w="90"/>
              <w:left w:type="dxa" w:w="120"/>
              <w:bottom w:type="dxa" w:w="90"/>
              <w:right w:type="dxa" w:w="120"/>
            </w:tcMar>
          </w:tcPr>
          <w:p>
            <w:pPr>
              <w:spacing w:after="0" w:before="0" w:line="260"/>
            </w:pPr>
            <w:r>
              <w:rPr>
                <w:color w:val="52514E"/>
                <w:sz w:val="18"/>
                <w:szCs w:val="18"/>
              </w:rPr>
              <w:t xml:space="preserve">Where originals go when the backend is local</w:t>
            </w:r>
          </w:p>
        </w:tc>
      </w:tr>
      <w:tr>
        <w:tc>
          <w:tcPr>
            <w:tcW w:type="dxa" w:w="3182"/>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UPLOAD_MAX_MB</w:t>
            </w:r>
          </w:p>
        </w:tc>
        <w:tc>
          <w:tcPr>
            <w:tcW w:type="dxa" w:w="1685"/>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50</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Per-file upload limit; larger files are refused with a message</w:t>
            </w:r>
          </w:p>
        </w:tc>
      </w:tr>
      <w:tr>
        <w:tc>
          <w:tcPr>
            <w:tcW w:type="dxa" w:w="3182"/>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AZURE_STORAGE_ACCOUNT</w:t>
            </w:r>
          </w:p>
        </w:tc>
        <w:tc>
          <w:tcPr>
            <w:tcW w:type="dxa" w:w="1685"/>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FFFFF" w:val="clear"/>
            <w:tcMar>
              <w:top w:type="dxa" w:w="90"/>
              <w:left w:type="dxa" w:w="120"/>
              <w:bottom w:type="dxa" w:w="90"/>
              <w:right w:type="dxa" w:w="120"/>
            </w:tcMar>
          </w:tcPr>
          <w:p>
            <w:pPr>
              <w:spacing w:after="0" w:before="0" w:line="260"/>
            </w:pPr>
            <w:r>
              <w:rPr>
                <w:color w:val="52514E"/>
                <w:sz w:val="18"/>
                <w:szCs w:val="18"/>
              </w:rPr>
              <w:t xml:space="preserve">Storage account name. Enough on its own with a managed identity</w:t>
            </w:r>
          </w:p>
        </w:tc>
      </w:tr>
      <w:tr>
        <w:tc>
          <w:tcPr>
            <w:tcW w:type="dxa" w:w="3182"/>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AZURE_STORAGE_CONTAINER</w:t>
            </w:r>
          </w:p>
        </w:tc>
        <w:tc>
          <w:tcPr>
            <w:tcW w:type="dxa" w:w="1685"/>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uploads</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Blob container name</w:t>
            </w:r>
          </w:p>
        </w:tc>
      </w:tr>
      <w:tr>
        <w:tc>
          <w:tcPr>
            <w:tcW w:type="dxa" w:w="3182"/>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AZURE_STORAGE_CONNECTION_STRING</w:t>
            </w:r>
          </w:p>
        </w:tc>
        <w:tc>
          <w:tcPr>
            <w:tcW w:type="dxa" w:w="1685"/>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FFFFF" w:val="clear"/>
            <w:tcMar>
              <w:top w:type="dxa" w:w="90"/>
              <w:left w:type="dxa" w:w="120"/>
              <w:bottom w:type="dxa" w:w="90"/>
              <w:right w:type="dxa" w:w="120"/>
            </w:tcMar>
          </w:tcPr>
          <w:p>
            <w:pPr>
              <w:spacing w:after="0" w:before="0" w:line="260"/>
            </w:pPr>
            <w:r>
              <w:rPr>
                <w:color w:val="52514E"/>
                <w:sz w:val="18"/>
                <w:szCs w:val="18"/>
              </w:rPr>
              <w:t xml:space="preserve">Alternative to managed identity. Store as a secret</w:t>
            </w:r>
          </w:p>
        </w:tc>
      </w:tr>
      <w:tr>
        <w:tc>
          <w:tcPr>
            <w:tcW w:type="dxa" w:w="3182"/>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S3_BUCKET, S3_REGION, …</w:t>
            </w:r>
          </w:p>
        </w:tc>
        <w:tc>
          <w:tcPr>
            <w:tcW w:type="dxa" w:w="1685"/>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Only read when the backend is s3</w:t>
            </w:r>
          </w:p>
        </w:tc>
      </w:tr>
    </w:tbl>
    <w:p>
      <w:pPr>
        <w:pStyle w:val="Heading3"/>
        <w:spacing w:after="80" w:before="190"/>
      </w:pPr>
      <w:r>
        <w:rPr>
          <w:b/>
          <w:bCs/>
          <w:color w:val="52514E"/>
          <w:sz w:val="21"/>
          <w:szCs w:val="21"/>
        </w:rPr>
        <w:t xml:space="preserve">The arrangement worth using on Azure</w:t>
      </w:r>
    </w:p>
    <w:p>
      <w:pPr>
        <w:spacing w:after="120" w:before="60" w:line="280"/>
      </w:pPr>
      <w:r>
        <w:rPr>
          <w:color w:val="52514E"/>
          <w:sz w:val="20"/>
          <w:szCs w:val="20"/>
        </w:rPr>
        <w:t xml:space="preserve">Set only the account name and let the container app’s own identity authenticate. No storage key then exists in configuration at all:</w:t>
      </w:r>
    </w:p>
    <w:p>
      <w:pPr>
        <w:pBdr>
          <w:left w:val="single" w:color="256ABF" w:sz="12" w:space="6"/>
        </w:pBdr>
        <w:shd w:fill="EEEBFA" w:val="clear"/>
        <w:spacing w:after="0" w:before="100" w:line="250"/>
        <w:ind w:left="140" w:right="140"/>
      </w:pPr>
      <w:r>
        <w:rPr>
          <w:rFonts w:ascii="Consolas" w:cs="Consolas" w:eastAsia="Consolas" w:hAnsi="Consolas"/>
          <w:color w:val="0B0B0B"/>
          <w:sz w:val="18"/>
          <w:szCs w:val="18"/>
        </w:rPr>
        <w:t xml:space="preserve">STORAGE_BACKEND=azure</w:t>
      </w:r>
    </w:p>
    <w:p>
      <w:pPr>
        <w:pBdr>
          <w:left w:val="single" w:color="256ABF" w:sz="12" w:space="6"/>
        </w:pBdr>
        <w:shd w:fill="EEEBFA" w:val="clear"/>
        <w:spacing w:after="0" w:before="0" w:line="250"/>
        <w:ind w:left="140" w:right="140"/>
      </w:pPr>
      <w:r>
        <w:rPr>
          <w:rFonts w:ascii="Consolas" w:cs="Consolas" w:eastAsia="Consolas" w:hAnsi="Consolas"/>
          <w:color w:val="0B0B0B"/>
          <w:sz w:val="18"/>
          <w:szCs w:val="18"/>
        </w:rPr>
        <w:t xml:space="preserve">AZURE_STORAGE_ACCOUNT=ccreditssa</w:t>
      </w:r>
    </w:p>
    <w:p>
      <w:pPr>
        <w:pBdr>
          <w:left w:val="single" w:color="256ABF" w:sz="12" w:space="6"/>
        </w:pBdr>
        <w:shd w:fill="EEEBFA" w:val="clear"/>
        <w:spacing w:after="150" w:before="0" w:line="250"/>
        <w:ind w:left="140" w:right="140"/>
      </w:pPr>
      <w:r>
        <w:rPr>
          <w:rFonts w:ascii="Consolas" w:cs="Consolas" w:eastAsia="Consolas" w:hAnsi="Consolas"/>
          <w:color w:val="0B0B0B"/>
          <w:sz w:val="18"/>
          <w:szCs w:val="18"/>
        </w:rPr>
        <w:t xml:space="preserve">AZURE_STORAGE_CONTAINER=uploads</w:t>
      </w:r>
    </w:p>
    <w:p>
      <w:pPr>
        <w:spacing w:after="120" w:before="60" w:line="280"/>
      </w:pPr>
      <w:r>
        <w:rPr>
          <w:color w:val="52514E"/>
          <w:sz w:val="20"/>
          <w:szCs w:val="20"/>
        </w:rPr>
        <w:t xml:space="preserve">Then grant that identity the Storage Blob Data Contributor role on the account — the deployment guide has the exact command. The app falls back to DefaultAzureCredential, which picks the identity up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D03B3B" w:sz="18"/>
              <w:bottom w:val="nil"/>
              <w:right w:val="nil"/>
            </w:tcBorders>
            <w:shd w:fill="FBEAEA" w:val="clear"/>
            <w:tcMar>
              <w:top w:type="dxa" w:w="140"/>
              <w:left w:type="dxa" w:w="180"/>
              <w:bottom w:type="dxa" w:w="140"/>
              <w:right w:type="dxa" w:w="180"/>
            </w:tcMar>
          </w:tcPr>
          <w:p>
            <w:pPr>
              <w:spacing w:line="280"/>
            </w:pPr>
            <w:r>
              <w:rPr>
                <w:b/>
                <w:bCs/>
                <w:color w:val="D03B3B"/>
                <w:sz w:val="20"/>
                <w:szCs w:val="20"/>
              </w:rPr>
              <w:t xml:space="preserve">A container filesystem is ephemeral.  </w:t>
            </w:r>
            <w:r>
              <w:rPr>
                <w:color w:val="52514E"/>
                <w:sz w:val="20"/>
                <w:szCs w:val="20"/>
              </w:rPr>
              <w:t xml:space="preserve">STORAGE_BACKEND=local on a deployed container means the uploaded originals are lost on every redeploy. The parsed readings survive in the database, but the files the lineage points at do not.</w:t>
            </w:r>
          </w:p>
        </w:tc>
      </w:tr>
    </w:tbl>
    <w:p>
      <w:pPr>
        <w:pStyle w:val="Heading1"/>
        <w:pBdr>
          <w:bottom w:val="single" w:color="EDA100" w:sz="10" w:space="6"/>
        </w:pBdr>
        <w:spacing w:after="140" w:before="380"/>
      </w:pPr>
      <w:r>
        <w:rPr>
          <w:b/>
          <w:bCs/>
          <w:color w:val="EDA100"/>
          <w:sz w:val="30"/>
          <w:szCs w:val="30"/>
        </w:rPr>
        <w:t xml:space="preserve">4 · Access</w:t>
      </w:r>
    </w:p>
    <w:tbl>
      <w:tblPr>
        <w:tblW w:type="dxa" w:w="9360"/>
        <w:tblBorders>
          <w:top w:val="single" w:color="E3E2DD" w:sz="2"/>
          <w:left w:val="nil"/>
          <w:bottom w:val="single" w:color="E3E2DD" w:sz="2"/>
          <w:right w:val="nil"/>
          <w:insideH w:val="single" w:color="E3E2DD" w:sz="2"/>
          <w:insideV w:val="nil"/>
        </w:tblBorders>
      </w:tblPr>
      <w:tblGrid>
        <w:gridCol w:w="2808"/>
        <w:gridCol w:w="1872"/>
        <w:gridCol w:w="4680"/>
      </w:tblGrid>
      <w:tr>
        <w:trPr>
          <w:tblHeader/>
        </w:trPr>
        <w:tc>
          <w:tcPr>
            <w:tcW w:type="dxa" w:w="2808"/>
            <w:shd w:fill="EDA100" w:val="clear"/>
            <w:tcMar>
              <w:top w:type="dxa" w:w="90"/>
              <w:left w:type="dxa" w:w="120"/>
              <w:bottom w:type="dxa" w:w="90"/>
              <w:right w:type="dxa" w:w="120"/>
            </w:tcMar>
          </w:tcPr>
          <w:p>
            <w:pPr>
              <w:spacing w:after="0" w:before="0"/>
            </w:pPr>
            <w:r>
              <w:rPr>
                <w:b/>
                <w:bCs/>
                <w:color w:val="FFFFFF"/>
                <w:spacing w:val="20"/>
                <w:sz w:val="17"/>
                <w:szCs w:val="17"/>
              </w:rPr>
              <w:t xml:space="preserve">Variable</w:t>
            </w:r>
          </w:p>
        </w:tc>
        <w:tc>
          <w:tcPr>
            <w:tcW w:type="dxa" w:w="1872"/>
            <w:shd w:fill="EDA100" w:val="clear"/>
            <w:tcMar>
              <w:top w:type="dxa" w:w="90"/>
              <w:left w:type="dxa" w:w="120"/>
              <w:bottom w:type="dxa" w:w="90"/>
              <w:right w:type="dxa" w:w="120"/>
            </w:tcMar>
          </w:tcPr>
          <w:p>
            <w:pPr>
              <w:spacing w:after="0" w:before="0"/>
            </w:pPr>
            <w:r>
              <w:rPr>
                <w:b/>
                <w:bCs/>
                <w:color w:val="FFFFFF"/>
                <w:spacing w:val="20"/>
                <w:sz w:val="17"/>
                <w:szCs w:val="17"/>
              </w:rPr>
              <w:t xml:space="preserve">Default</w:t>
            </w:r>
          </w:p>
        </w:tc>
        <w:tc>
          <w:tcPr>
            <w:tcW w:type="dxa" w:w="4680"/>
            <w:shd w:fill="EDA100" w:val="clear"/>
            <w:tcMar>
              <w:top w:type="dxa" w:w="90"/>
              <w:left w:type="dxa" w:w="120"/>
              <w:bottom w:type="dxa" w:w="90"/>
              <w:right w:type="dxa" w:w="120"/>
            </w:tcMar>
          </w:tcPr>
          <w:p>
            <w:pPr>
              <w:spacing w:after="0" w:before="0"/>
            </w:pPr>
            <w:r>
              <w:rPr>
                <w:b/>
                <w:bCs/>
                <w:color w:val="FFFFFF"/>
                <w:spacing w:val="20"/>
                <w:sz w:val="17"/>
                <w:szCs w:val="17"/>
              </w:rPr>
              <w:t xml:space="preserve">What it does</w:t>
            </w:r>
          </w:p>
        </w:tc>
      </w:tr>
      <w:tr>
        <w:tc>
          <w:tcPr>
            <w:tcW w:type="dxa" w:w="280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ADMIN_TOKEN</w:t>
            </w:r>
          </w:p>
        </w:tc>
        <w:tc>
          <w:tcPr>
            <w:tcW w:type="dxa" w:w="1872"/>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When set, uploads require a matching X-Admin-Token header</w:t>
            </w:r>
          </w:p>
        </w:tc>
      </w:tr>
    </w:tbl>
    <w:p>
      <w:pPr>
        <w:spacing w:after="60"/>
      </w:pPr>
    </w:p>
    <w:p>
      <w:pPr>
        <w:spacing w:after="120" w:before="60" w:line="280"/>
      </w:pPr>
      <w:r>
        <w:rPr>
          <w:color w:val="52514E"/>
          <w:sz w:val="20"/>
          <w:szCs w:val="20"/>
        </w:rPr>
        <w:t xml:space="preserve">Empty by default, which means anyone with the URL can upload. That is deliberate for a laptop demo and wrong for a link you send to an investor. Reading stays open either way — only writes are gated. The portal asks for the token once and remembers it in the browser.</w:t>
      </w:r>
    </w:p>
    <w:p>
      <w:pPr>
        <w:pBdr>
          <w:left w:val="single" w:color="256ABF" w:sz="12" w:space="6"/>
        </w:pBdr>
        <w:shd w:fill="FDF3DE" w:val="clear"/>
        <w:spacing w:after="150" w:before="100" w:line="250"/>
        <w:ind w:left="140" w:right="140"/>
      </w:pPr>
      <w:r>
        <w:rPr>
          <w:rFonts w:ascii="Consolas" w:cs="Consolas" w:eastAsia="Consolas" w:hAnsi="Consolas"/>
          <w:color w:val="0B0B0B"/>
          <w:sz w:val="18"/>
          <w:szCs w:val="18"/>
        </w:rPr>
        <w:t xml:space="preserve">ADMIN_TOKEN=$(openssl rand -hex 24)</w:t>
      </w:r>
    </w:p>
    <w:p>
      <w:pPr>
        <w:pStyle w:val="Heading1"/>
        <w:pBdr>
          <w:bottom w:val="single" w:color="1BAF7A" w:sz="10" w:space="6"/>
        </w:pBdr>
        <w:spacing w:after="140" w:before="380"/>
      </w:pPr>
      <w:r>
        <w:rPr>
          <w:b/>
          <w:bCs/>
          <w:color w:val="1BAF7A"/>
          <w:sz w:val="30"/>
          <w:szCs w:val="30"/>
        </w:rPr>
        <w:t xml:space="preserve">5 · The stated assumptions</w:t>
      </w:r>
    </w:p>
    <w:p>
      <w:pPr>
        <w:spacing w:after="120" w:before="60" w:line="280"/>
      </w:pPr>
      <w:r>
        <w:rPr>
          <w:color w:val="52514E"/>
          <w:sz w:val="20"/>
          <w:szCs w:val="20"/>
        </w:rPr>
        <w:t xml:space="preserve">These are the decisions that change the headline number. They are environment variables so that a disagreement about a threshold is a configuration change rather than an argument, and all four are displayed on the Overview screen with the variable name beside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BAF7A" w:sz="18"/>
              <w:bottom w:val="nil"/>
              <w:right w:val="nil"/>
            </w:tcBorders>
            <w:shd w:fill="E4F6EF" w:val="clear"/>
            <w:tcMar>
              <w:top w:type="dxa" w:w="140"/>
              <w:left w:type="dxa" w:w="180"/>
              <w:bottom w:type="dxa" w:w="140"/>
              <w:right w:type="dxa" w:w="180"/>
            </w:tcMar>
          </w:tcPr>
          <w:p>
            <w:pPr>
              <w:spacing w:line="280"/>
            </w:pPr>
            <w:r>
              <w:rPr>
                <w:b/>
                <w:bCs/>
                <w:color w:val="1BAF7A"/>
                <w:sz w:val="20"/>
                <w:szCs w:val="20"/>
              </w:rPr>
              <w:t xml:space="preserve">Why this works.  </w:t>
            </w:r>
            <w:r>
              <w:rPr>
                <w:color w:val="52514E"/>
                <w:sz w:val="20"/>
                <w:szCs w:val="20"/>
              </w:rPr>
              <w:t xml:space="preserve">The thresholds are pushed into the silver.parameter table at startup, and the SQL views read them from there. The number on screen and the number the calculation used are therefore the same number by construction, not by discipline.</w:t>
            </w:r>
          </w:p>
        </w:tc>
      </w:tr>
    </w:tbl>
    <w:p>
      <w:pPr>
        <w:spacing w:after="120"/>
      </w:pPr>
    </w:p>
    <w:tbl>
      <w:tblPr>
        <w:tblW w:type="dxa" w:w="9360"/>
        <w:tblBorders>
          <w:top w:val="single" w:color="E3E2DD" w:sz="2"/>
          <w:left w:val="nil"/>
          <w:bottom w:val="single" w:color="E3E2DD" w:sz="2"/>
          <w:right w:val="nil"/>
          <w:insideH w:val="single" w:color="E3E2DD" w:sz="2"/>
          <w:insideV w:val="nil"/>
        </w:tblBorders>
      </w:tblPr>
      <w:tblGrid>
        <w:gridCol w:w="3182"/>
        <w:gridCol w:w="1498"/>
        <w:gridCol w:w="4680"/>
      </w:tblGrid>
      <w:tr>
        <w:trPr>
          <w:tblHeader/>
        </w:trPr>
        <w:tc>
          <w:tcPr>
            <w:tcW w:type="dxa" w:w="3182"/>
            <w:shd w:fill="1BAF7A" w:val="clear"/>
            <w:tcMar>
              <w:top w:type="dxa" w:w="90"/>
              <w:left w:type="dxa" w:w="120"/>
              <w:bottom w:type="dxa" w:w="90"/>
              <w:right w:type="dxa" w:w="120"/>
            </w:tcMar>
          </w:tcPr>
          <w:p>
            <w:pPr>
              <w:spacing w:after="0" w:before="0"/>
            </w:pPr>
            <w:r>
              <w:rPr>
                <w:b/>
                <w:bCs/>
                <w:color w:val="FFFFFF"/>
                <w:spacing w:val="20"/>
                <w:sz w:val="17"/>
                <w:szCs w:val="17"/>
              </w:rPr>
              <w:t xml:space="preserve">Variable</w:t>
            </w:r>
          </w:p>
        </w:tc>
        <w:tc>
          <w:tcPr>
            <w:tcW w:type="dxa" w:w="1498"/>
            <w:shd w:fill="1BAF7A" w:val="clear"/>
            <w:tcMar>
              <w:top w:type="dxa" w:w="90"/>
              <w:left w:type="dxa" w:w="120"/>
              <w:bottom w:type="dxa" w:w="90"/>
              <w:right w:type="dxa" w:w="120"/>
            </w:tcMar>
          </w:tcPr>
          <w:p>
            <w:pPr>
              <w:spacing w:after="0" w:before="0"/>
            </w:pPr>
            <w:r>
              <w:rPr>
                <w:b/>
                <w:bCs/>
                <w:color w:val="FFFFFF"/>
                <w:spacing w:val="20"/>
                <w:sz w:val="17"/>
                <w:szCs w:val="17"/>
              </w:rPr>
              <w:t xml:space="preserve">Default</w:t>
            </w:r>
          </w:p>
        </w:tc>
        <w:tc>
          <w:tcPr>
            <w:tcW w:type="dxa" w:w="4680"/>
            <w:shd w:fill="1BAF7A" w:val="clear"/>
            <w:tcMar>
              <w:top w:type="dxa" w:w="90"/>
              <w:left w:type="dxa" w:w="120"/>
              <w:bottom w:type="dxa" w:w="90"/>
              <w:right w:type="dxa" w:w="120"/>
            </w:tcMar>
          </w:tcPr>
          <w:p>
            <w:pPr>
              <w:spacing w:after="0" w:before="0"/>
            </w:pPr>
            <w:r>
              <w:rPr>
                <w:b/>
                <w:bCs/>
                <w:color w:val="FFFFFF"/>
                <w:spacing w:val="20"/>
                <w:sz w:val="17"/>
                <w:szCs w:val="17"/>
              </w:rPr>
              <w:t xml:space="preserve">Effect</w:t>
            </w:r>
          </w:p>
        </w:tc>
      </w:tr>
      <w:tr>
        <w:tc>
          <w:tcPr>
            <w:tcW w:type="dxa" w:w="3182"/>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IMPLAUSIBLE_KWH_PER_KWP</w:t>
            </w:r>
          </w:p>
        </w:tc>
        <w:tc>
          <w:tcPr>
            <w:tcW w:type="dxa" w:w="1498"/>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8.0</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Daily specific yield above which a day is flagged suspect and excluded</w:t>
            </w:r>
          </w:p>
        </w:tc>
      </w:tr>
      <w:tr>
        <w:tc>
          <w:tcPr>
            <w:tcW w:type="dxa" w:w="3182"/>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ZERO_DAY_POLICY</w:t>
            </w:r>
          </w:p>
        </w:tc>
        <w:tc>
          <w:tcPr>
            <w:tcW w:type="dxa" w:w="1498"/>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suspect</w:t>
            </w:r>
          </w:p>
        </w:tc>
        <w:tc>
          <w:tcPr>
            <w:tcW w:type="dxa" w:w="4680"/>
            <w:shd w:fill="FFFFFF" w:val="clear"/>
            <w:tcMar>
              <w:top w:type="dxa" w:w="90"/>
              <w:left w:type="dxa" w:w="120"/>
              <w:bottom w:type="dxa" w:w="90"/>
              <w:right w:type="dxa" w:w="120"/>
            </w:tcMar>
          </w:tcPr>
          <w:p>
            <w:pPr>
              <w:spacing w:after="0" w:before="0" w:line="260"/>
            </w:pPr>
            <w:r>
              <w:rPr>
                <w:color w:val="52514E"/>
                <w:sz w:val="18"/>
                <w:szCs w:val="18"/>
              </w:rPr>
              <w:t xml:space="preserve">suspect — a zero day is flagged and excluded. ok — zero is a real, eligible zero</w:t>
            </w:r>
          </w:p>
        </w:tc>
      </w:tr>
      <w:tr>
        <w:tc>
          <w:tcPr>
            <w:tcW w:type="dxa" w:w="3182"/>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MISSING_DAY_POLICY</w:t>
            </w:r>
          </w:p>
        </w:tc>
        <w:tc>
          <w:tcPr>
            <w:tcW w:type="dxa" w:w="1498"/>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exclude</w:t>
            </w:r>
          </w:p>
        </w:tc>
        <w:tc>
          <w:tcPr>
            <w:tcW w:type="dxa" w:w="4680"/>
            <w:shd w:fill="F7F7F5" w:val="clear"/>
            <w:tcMar>
              <w:top w:type="dxa" w:w="90"/>
              <w:left w:type="dxa" w:w="120"/>
              <w:bottom w:type="dxa" w:w="90"/>
              <w:right w:type="dxa" w:w="120"/>
            </w:tcMar>
          </w:tcPr>
          <w:p>
            <w:pPr>
              <w:spacing w:after="0" w:before="0" w:line="260"/>
            </w:pPr>
            <w:r>
              <w:rPr>
                <w:color w:val="52514E"/>
                <w:sz w:val="18"/>
                <w:szCs w:val="18"/>
              </w:rPr>
              <w:t xml:space="preserve">exclude — a missing day is a gap. zero — it counts as a covered day that generated nothing</w:t>
            </w:r>
          </w:p>
        </w:tc>
      </w:tr>
      <w:tr>
        <w:tc>
          <w:tcPr>
            <w:tcW w:type="dxa" w:w="3182"/>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TRUST_GRID_CONNECTION_DATE</w:t>
            </w:r>
          </w:p>
        </w:tc>
        <w:tc>
          <w:tcPr>
            <w:tcW w:type="dxa" w:w="1498"/>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true</w:t>
            </w:r>
          </w:p>
        </w:tc>
        <w:tc>
          <w:tcPr>
            <w:tcW w:type="dxa" w:w="4680"/>
            <w:shd w:fill="FFFFFF" w:val="clear"/>
            <w:tcMar>
              <w:top w:type="dxa" w:w="90"/>
              <w:left w:type="dxa" w:w="120"/>
              <w:bottom w:type="dxa" w:w="90"/>
              <w:right w:type="dxa" w:w="120"/>
            </w:tcMar>
          </w:tcPr>
          <w:p>
            <w:pPr>
              <w:spacing w:after="0" w:before="0" w:line="260"/>
            </w:pPr>
            <w:r>
              <w:rPr>
                <w:color w:val="52514E"/>
                <w:sz w:val="18"/>
                <w:szCs w:val="18"/>
              </w:rPr>
              <w:t xml:space="preserve">Whether the supplied grid connection date is taken as given</w:t>
            </w:r>
          </w:p>
        </w:tc>
      </w:tr>
    </w:tbl>
    <w:p>
      <w:pPr>
        <w:pStyle w:val="Heading3"/>
        <w:spacing w:after="80" w:before="190"/>
      </w:pPr>
      <w:r>
        <w:rPr>
          <w:b/>
          <w:bCs/>
          <w:color w:val="52514E"/>
          <w:sz w:val="21"/>
          <w:szCs w:val="21"/>
        </w:rPr>
        <w:t xml:space="preserve">IMPLAUSIBLE_KWH_PER_KWP — the most arguable number in the app</w:t>
      </w:r>
    </w:p>
    <w:p>
      <w:pPr>
        <w:spacing w:after="120" w:before="60" w:line="280"/>
      </w:pPr>
      <w:r>
        <w:rPr>
          <w:color w:val="52514E"/>
          <w:sz w:val="20"/>
          <w:szCs w:val="20"/>
        </w:rPr>
        <w:t xml:space="preserve">Daily specific yield is kWh generated divided by kWp installed. Above this threshold a day is flagged suspect and excluded. 8.0 is a placeholder for Armenia: a summer day at a well-sited plant can approach 7, while a meter reset reads as hundreds.</w:t>
      </w:r>
    </w:p>
    <w:p>
      <w:pPr>
        <w:spacing w:after="120" w:before="60" w:line="280"/>
      </w:pPr>
      <w:r>
        <w:rPr>
          <w:color w:val="52514E"/>
          <w:sz w:val="20"/>
          <w:szCs w:val="20"/>
        </w:rPr>
        <w:t xml:space="preserve">Raising it lets more energy through and raises your headline. Lowering it is conservative. Either way the excluded energy stays visible in the river rather than disappearing.</w:t>
      </w:r>
    </w:p>
    <w:p>
      <w:pPr>
        <w:spacing w:after="120" w:before="60" w:line="280"/>
      </w:pPr>
      <w:r>
        <w:rPr>
          <w:color w:val="52514E"/>
          <w:sz w:val="20"/>
          <w:szCs w:val="20"/>
        </w:rPr>
        <w:t xml:space="preserve">A site with no installed capacity — because only a device report was uploaded for it — cannot have a specific yield, so this rule cannot fire for it.</w:t>
      </w:r>
    </w:p>
    <w:p>
      <w:pPr>
        <w:pStyle w:val="Heading3"/>
        <w:spacing w:after="80" w:before="190"/>
      </w:pPr>
      <w:r>
        <w:rPr>
          <w:b/>
          <w:bCs/>
          <w:color w:val="52514E"/>
          <w:sz w:val="21"/>
          <w:szCs w:val="21"/>
        </w:rPr>
        <w:t xml:space="preserve">ZERO_DAY_POLICY</w:t>
      </w:r>
    </w:p>
    <w:p>
      <w:pPr>
        <w:spacing w:after="120" w:before="60" w:line="280"/>
      </w:pPr>
      <w:r>
        <w:rPr>
          <w:color w:val="52514E"/>
          <w:sz w:val="20"/>
          <w:szCs w:val="20"/>
        </w:rPr>
        <w:t xml:space="preserve">A winter zero and a broken inverter look identical in this dataset. "suspect" is the conservative reading: it costs nothing in energy, because zero is zero either way, but it lowers the quality score — which is the honest signal.</w:t>
      </w:r>
    </w:p>
    <w:p>
      <w:pPr>
        <w:pStyle w:val="Heading3"/>
        <w:spacing w:after="80" w:before="190"/>
      </w:pPr>
      <w:r>
        <w:rPr>
          <w:b/>
          <w:bCs/>
          <w:color w:val="52514E"/>
          <w:sz w:val="21"/>
          <w:szCs w:val="21"/>
        </w:rPr>
        <w:t xml:space="preserve">MISSING_DAY_POLICY</w:t>
      </w:r>
    </w:p>
    <w:p>
      <w:pPr>
        <w:spacing w:after="120" w:before="60" w:line="280"/>
      </w:pPr>
      <w:r>
        <w:rPr>
          <w:color w:val="52514E"/>
          <w:sz w:val="20"/>
          <w:szCs w:val="20"/>
        </w:rPr>
        <w:t xml:space="preserve">Neither setting invents energy; a missing day contributes nothing under both. The difference is coverage. "exclude" reports the gap and lowers your coverage percentage. "zero" makes the fleet look fully covered. "exclude" is the answer you can defend.</w:t>
      </w:r>
    </w:p>
    <w:p>
      <w:r>
        <w:br w:type="page"/>
      </w:r>
    </w:p>
    <w:p>
      <w:pPr>
        <w:pStyle w:val="Heading1"/>
        <w:pBdr>
          <w:bottom w:val="single" w:color="D03B3B" w:sz="10" w:space="6"/>
        </w:pBdr>
        <w:spacing w:after="140" w:before="380"/>
      </w:pPr>
      <w:r>
        <w:rPr>
          <w:b/>
          <w:bCs/>
          <w:color w:val="D03B3B"/>
          <w:sz w:val="30"/>
          <w:szCs w:val="30"/>
        </w:rPr>
        <w:t xml:space="preserve">6 · The emission factor</w:t>
      </w:r>
    </w:p>
    <w:p>
      <w:pPr>
        <w:spacing w:after="120" w:before="60" w:line="280"/>
      </w:pPr>
      <w:r>
        <w:rPr>
          <w:color w:val="52514E"/>
          <w:sz w:val="20"/>
          <w:szCs w:val="20"/>
        </w:rPr>
        <w:t xml:space="preserve">This is the number most likely to be challenged, so it is the one number that is not allowed to arrive without a provenance.</w:t>
      </w:r>
    </w:p>
    <w:p>
      <w:pPr>
        <w:pStyle w:val="Heading3"/>
        <w:spacing w:after="80" w:before="190"/>
      </w:pPr>
      <w:r>
        <w:rPr>
          <w:b/>
          <w:bCs/>
          <w:color w:val="52514E"/>
          <w:sz w:val="21"/>
          <w:szCs w:val="21"/>
        </w:rPr>
        <w:t xml:space="preserve">What is seeded by default</w:t>
      </w:r>
    </w:p>
    <w:p>
      <w:pPr>
        <w:spacing w:after="120" w:before="60" w:line="280"/>
      </w:pPr>
      <w:r>
        <w:rPr>
          <w:color w:val="52514E"/>
          <w:sz w:val="20"/>
          <w:szCs w:val="20"/>
        </w:rPr>
        <w:t xml:space="preserve">Leave the variables below empty and the app seeds Table 1 of CDM Standardized Baseline ASB0038-2018 — the grid emission factor for the electricity system of the Republic of Armenia, 2016 vintage — as published:</w:t>
      </w:r>
    </w:p>
    <w:tbl>
      <w:tblPr>
        <w:tblW w:type="dxa" w:w="9360"/>
        <w:tblBorders>
          <w:top w:val="single" w:color="E3E2DD" w:sz="2"/>
          <w:left w:val="nil"/>
          <w:bottom w:val="single" w:color="E3E2DD" w:sz="2"/>
          <w:right w:val="nil"/>
          <w:insideH w:val="single" w:color="E3E2DD" w:sz="2"/>
          <w:insideV w:val="nil"/>
        </w:tblBorders>
      </w:tblPr>
      <w:tblGrid>
        <w:gridCol w:w="1498"/>
        <w:gridCol w:w="1498"/>
        <w:gridCol w:w="4867"/>
        <w:gridCol w:w="1498"/>
      </w:tblGrid>
      <w:tr>
        <w:trPr>
          <w:tblHeader/>
        </w:trPr>
        <w:tc>
          <w:tcPr>
            <w:tcW w:type="dxa" w:w="1498"/>
            <w:shd w:fill="D03B3B" w:val="clear"/>
            <w:tcMar>
              <w:top w:type="dxa" w:w="90"/>
              <w:left w:type="dxa" w:w="120"/>
              <w:bottom w:type="dxa" w:w="90"/>
              <w:right w:type="dxa" w:w="120"/>
            </w:tcMar>
          </w:tcPr>
          <w:p>
            <w:pPr>
              <w:spacing w:after="0" w:before="0"/>
            </w:pPr>
            <w:r>
              <w:rPr>
                <w:b/>
                <w:bCs/>
                <w:color w:val="FFFFFF"/>
                <w:spacing w:val="20"/>
                <w:sz w:val="17"/>
                <w:szCs w:val="17"/>
              </w:rPr>
              <w:t xml:space="preserve">tCO₂e/MWh</w:t>
            </w:r>
          </w:p>
        </w:tc>
        <w:tc>
          <w:tcPr>
            <w:tcW w:type="dxa" w:w="1498"/>
            <w:shd w:fill="D03B3B" w:val="clear"/>
            <w:tcMar>
              <w:top w:type="dxa" w:w="90"/>
              <w:left w:type="dxa" w:w="120"/>
              <w:bottom w:type="dxa" w:w="90"/>
              <w:right w:type="dxa" w:w="120"/>
            </w:tcMar>
          </w:tcPr>
          <w:p>
            <w:pPr>
              <w:spacing w:after="0" w:before="0"/>
            </w:pPr>
            <w:r>
              <w:rPr>
                <w:b/>
                <w:bCs/>
                <w:color w:val="FFFFFF"/>
                <w:spacing w:val="20"/>
                <w:sz w:val="17"/>
                <w:szCs w:val="17"/>
              </w:rPr>
              <w:t xml:space="preserve">Margin</w:t>
            </w:r>
          </w:p>
        </w:tc>
        <w:tc>
          <w:tcPr>
            <w:tcW w:type="dxa" w:w="4867"/>
            <w:shd w:fill="D03B3B" w:val="clear"/>
            <w:tcMar>
              <w:top w:type="dxa" w:w="90"/>
              <w:left w:type="dxa" w:w="120"/>
              <w:bottom w:type="dxa" w:w="90"/>
              <w:right w:type="dxa" w:w="120"/>
            </w:tcMar>
          </w:tcPr>
          <w:p>
            <w:pPr>
              <w:spacing w:after="0" w:before="0"/>
            </w:pPr>
            <w:r>
              <w:rPr>
                <w:b/>
                <w:bCs/>
                <w:color w:val="FFFFFF"/>
                <w:spacing w:val="20"/>
                <w:sz w:val="17"/>
                <w:szCs w:val="17"/>
              </w:rPr>
              <w:t xml:space="preserve">Applicable to</w:t>
            </w:r>
          </w:p>
        </w:tc>
        <w:tc>
          <w:tcPr>
            <w:tcW w:type="dxa" w:w="1498"/>
            <w:shd w:fill="D03B3B" w:val="clear"/>
            <w:tcMar>
              <w:top w:type="dxa" w:w="90"/>
              <w:left w:type="dxa" w:w="120"/>
              <w:bottom w:type="dxa" w:w="90"/>
              <w:right w:type="dxa" w:w="120"/>
            </w:tcMar>
          </w:tcPr>
          <w:p>
            <w:pPr>
              <w:spacing w:after="0" w:before="0"/>
            </w:pPr>
            <w:r>
              <w:rPr>
                <w:b/>
                <w:bCs/>
                <w:color w:val="FFFFFF"/>
                <w:spacing w:val="20"/>
                <w:sz w:val="17"/>
                <w:szCs w:val="17"/>
              </w:rPr>
              <w:t xml:space="preserve">Used?</w:t>
            </w:r>
          </w:p>
        </w:tc>
      </w:tr>
      <w:tr>
        <w:tc>
          <w:tcPr>
            <w:tcW w:type="dxa" w:w="1498"/>
            <w:shd w:fill="F7F7F5" w:val="clear"/>
            <w:tcMar>
              <w:top w:type="dxa" w:w="90"/>
              <w:left w:type="dxa" w:w="120"/>
              <w:bottom w:type="dxa" w:w="90"/>
              <w:right w:type="dxa" w:w="120"/>
            </w:tcMar>
          </w:tcPr>
          <w:p>
            <w:pPr>
              <w:spacing w:after="0" w:before="0" w:line="260"/>
            </w:pPr>
            <w:r>
              <w:rPr>
                <w:b/>
                <w:bCs/>
                <w:color w:val="0A6E4C"/>
                <w:sz w:val="18"/>
                <w:szCs w:val="18"/>
              </w:rPr>
              <w:t xml:space="preserve">0.4329</w:t>
            </w:r>
          </w:p>
        </w:tc>
        <w:tc>
          <w:tcPr>
            <w:tcW w:type="dxa" w:w="1498"/>
            <w:shd w:fill="F7F7F5" w:val="clear"/>
            <w:tcMar>
              <w:top w:type="dxa" w:w="90"/>
              <w:left w:type="dxa" w:w="120"/>
              <w:bottom w:type="dxa" w:w="90"/>
              <w:right w:type="dxa" w:w="120"/>
            </w:tcMar>
          </w:tcPr>
          <w:p>
            <w:pPr>
              <w:spacing w:after="0" w:before="0" w:line="260"/>
            </w:pPr>
            <w:r>
              <w:rPr>
                <w:color w:val="52514E"/>
                <w:sz w:val="18"/>
                <w:szCs w:val="18"/>
              </w:rPr>
              <w:t xml:space="preserve">Combined</w:t>
            </w:r>
          </w:p>
        </w:tc>
        <w:tc>
          <w:tcPr>
            <w:tcW w:type="dxa" w:w="4867"/>
            <w:shd w:fill="F7F7F5" w:val="clear"/>
            <w:tcMar>
              <w:top w:type="dxa" w:w="90"/>
              <w:left w:type="dxa" w:w="120"/>
              <w:bottom w:type="dxa" w:w="90"/>
              <w:right w:type="dxa" w:w="120"/>
            </w:tcMar>
          </w:tcPr>
          <w:p>
            <w:pPr>
              <w:spacing w:after="0" w:before="0" w:line="260"/>
            </w:pPr>
            <w:r>
              <w:rPr>
                <w:color w:val="52514E"/>
                <w:sz w:val="18"/>
                <w:szCs w:val="18"/>
              </w:rPr>
              <w:t xml:space="preserve">Wind and solar generation, all three crediting periods</w:t>
            </w:r>
          </w:p>
        </w:tc>
        <w:tc>
          <w:tcPr>
            <w:tcW w:type="dxa" w:w="1498"/>
            <w:shd w:fill="F7F7F5" w:val="clear"/>
            <w:tcMar>
              <w:top w:type="dxa" w:w="90"/>
              <w:left w:type="dxa" w:w="120"/>
              <w:bottom w:type="dxa" w:w="90"/>
              <w:right w:type="dxa" w:w="120"/>
            </w:tcMar>
          </w:tcPr>
          <w:p>
            <w:pPr>
              <w:spacing w:after="0" w:before="0" w:line="260"/>
            </w:pPr>
            <w:r>
              <w:rPr>
                <w:b/>
                <w:bCs/>
                <w:color w:val="0A6E4C"/>
                <w:sz w:val="16"/>
                <w:szCs w:val="16"/>
              </w:rPr>
              <w:t xml:space="preserve">APPLIED</w:t>
            </w:r>
          </w:p>
        </w:tc>
      </w:tr>
      <w:tr>
        <w:tc>
          <w:tcPr>
            <w:tcW w:type="dxa" w:w="1498"/>
            <w:shd w:fill="FFFFFF" w:val="clear"/>
            <w:tcMar>
              <w:top w:type="dxa" w:w="90"/>
              <w:left w:type="dxa" w:w="120"/>
              <w:bottom w:type="dxa" w:w="90"/>
              <w:right w:type="dxa" w:w="120"/>
            </w:tcMar>
          </w:tcPr>
          <w:p>
            <w:pPr>
              <w:spacing w:after="0" w:before="0" w:line="260"/>
            </w:pPr>
            <w:r>
              <w:rPr>
                <w:color w:val="52514E"/>
                <w:sz w:val="18"/>
                <w:szCs w:val="18"/>
              </w:rPr>
              <w:t xml:space="preserve">0.4620</w:t>
            </w:r>
          </w:p>
        </w:tc>
        <w:tc>
          <w:tcPr>
            <w:tcW w:type="dxa" w:w="1498"/>
            <w:shd w:fill="FFFFFF" w:val="clear"/>
            <w:tcMar>
              <w:top w:type="dxa" w:w="90"/>
              <w:left w:type="dxa" w:w="120"/>
              <w:bottom w:type="dxa" w:w="90"/>
              <w:right w:type="dxa" w:w="120"/>
            </w:tcMar>
          </w:tcPr>
          <w:p>
            <w:pPr>
              <w:spacing w:after="0" w:before="0" w:line="260"/>
            </w:pPr>
            <w:r>
              <w:rPr>
                <w:color w:val="52514E"/>
                <w:sz w:val="18"/>
                <w:szCs w:val="18"/>
              </w:rPr>
              <w:t xml:space="preserve">Operating</w:t>
            </w:r>
          </w:p>
        </w:tc>
        <w:tc>
          <w:tcPr>
            <w:tcW w:type="dxa" w:w="4867"/>
            <w:shd w:fill="FFFFFF" w:val="clear"/>
            <w:tcMar>
              <w:top w:type="dxa" w:w="90"/>
              <w:left w:type="dxa" w:w="120"/>
              <w:bottom w:type="dxa" w:w="90"/>
              <w:right w:type="dxa" w:w="120"/>
            </w:tcMar>
          </w:tcPr>
          <w:p>
            <w:pPr>
              <w:spacing w:after="0" w:before="0" w:line="260"/>
            </w:pPr>
            <w:r>
              <w:rPr>
                <w:color w:val="52514E"/>
                <w:sz w:val="18"/>
                <w:szCs w:val="18"/>
              </w:rPr>
              <w:t xml:space="preserve">All project activities</w:t>
            </w:r>
          </w:p>
        </w:tc>
        <w:tc>
          <w:tcPr>
            <w:tcW w:type="dxa" w:w="1498"/>
            <w:shd w:fill="FFFFFF" w:val="clear"/>
            <w:tcMar>
              <w:top w:type="dxa" w:w="90"/>
              <w:left w:type="dxa" w:w="120"/>
              <w:bottom w:type="dxa" w:w="90"/>
              <w:right w:type="dxa" w:w="120"/>
            </w:tcMar>
          </w:tcPr>
          <w:p>
            <w:pPr>
              <w:spacing w:after="0" w:before="0" w:line="260"/>
            </w:pPr>
            <w:r>
              <w:rPr>
                <w:color w:val="52514E"/>
                <w:sz w:val="18"/>
                <w:szCs w:val="18"/>
              </w:rPr>
              <w:t xml:space="preserve">reference</w:t>
            </w:r>
          </w:p>
        </w:tc>
      </w:tr>
      <w:tr>
        <w:tc>
          <w:tcPr>
            <w:tcW w:type="dxa" w:w="1498"/>
            <w:shd w:fill="F7F7F5" w:val="clear"/>
            <w:tcMar>
              <w:top w:type="dxa" w:w="90"/>
              <w:left w:type="dxa" w:w="120"/>
              <w:bottom w:type="dxa" w:w="90"/>
              <w:right w:type="dxa" w:w="120"/>
            </w:tcMar>
          </w:tcPr>
          <w:p>
            <w:pPr>
              <w:spacing w:after="0" w:before="0" w:line="260"/>
            </w:pPr>
            <w:r>
              <w:rPr>
                <w:color w:val="52514E"/>
                <w:sz w:val="18"/>
                <w:szCs w:val="18"/>
              </w:rPr>
              <w:t xml:space="preserve">0.3456</w:t>
            </w:r>
          </w:p>
        </w:tc>
        <w:tc>
          <w:tcPr>
            <w:tcW w:type="dxa" w:w="1498"/>
            <w:shd w:fill="F7F7F5" w:val="clear"/>
            <w:tcMar>
              <w:top w:type="dxa" w:w="90"/>
              <w:left w:type="dxa" w:w="120"/>
              <w:bottom w:type="dxa" w:w="90"/>
              <w:right w:type="dxa" w:w="120"/>
            </w:tcMar>
          </w:tcPr>
          <w:p>
            <w:pPr>
              <w:spacing w:after="0" w:before="0" w:line="260"/>
            </w:pPr>
            <w:r>
              <w:rPr>
                <w:color w:val="52514E"/>
                <w:sz w:val="18"/>
                <w:szCs w:val="18"/>
              </w:rPr>
              <w:t xml:space="preserve">Build</w:t>
            </w:r>
          </w:p>
        </w:tc>
        <w:tc>
          <w:tcPr>
            <w:tcW w:type="dxa" w:w="4867"/>
            <w:shd w:fill="F7F7F5" w:val="clear"/>
            <w:tcMar>
              <w:top w:type="dxa" w:w="90"/>
              <w:left w:type="dxa" w:w="120"/>
              <w:bottom w:type="dxa" w:w="90"/>
              <w:right w:type="dxa" w:w="120"/>
            </w:tcMar>
          </w:tcPr>
          <w:p>
            <w:pPr>
              <w:spacing w:after="0" w:before="0" w:line="260"/>
            </w:pPr>
            <w:r>
              <w:rPr>
                <w:color w:val="52514E"/>
                <w:sz w:val="18"/>
                <w:szCs w:val="18"/>
              </w:rPr>
              <w:t xml:space="preserve">All project activities</w:t>
            </w:r>
          </w:p>
        </w:tc>
        <w:tc>
          <w:tcPr>
            <w:tcW w:type="dxa" w:w="1498"/>
            <w:shd w:fill="F7F7F5" w:val="clear"/>
            <w:tcMar>
              <w:top w:type="dxa" w:w="90"/>
              <w:left w:type="dxa" w:w="120"/>
              <w:bottom w:type="dxa" w:w="90"/>
              <w:right w:type="dxa" w:w="120"/>
            </w:tcMar>
          </w:tcPr>
          <w:p>
            <w:pPr>
              <w:spacing w:after="0" w:before="0" w:line="260"/>
            </w:pPr>
            <w:r>
              <w:rPr>
                <w:color w:val="52514E"/>
                <w:sz w:val="18"/>
                <w:szCs w:val="18"/>
              </w:rPr>
              <w:t xml:space="preserve">reference</w:t>
            </w:r>
          </w:p>
        </w:tc>
      </w:tr>
      <w:tr>
        <w:tc>
          <w:tcPr>
            <w:tcW w:type="dxa" w:w="1498"/>
            <w:shd w:fill="FFFFFF" w:val="clear"/>
            <w:tcMar>
              <w:top w:type="dxa" w:w="90"/>
              <w:left w:type="dxa" w:w="120"/>
              <w:bottom w:type="dxa" w:w="90"/>
              <w:right w:type="dxa" w:w="120"/>
            </w:tcMar>
          </w:tcPr>
          <w:p>
            <w:pPr>
              <w:spacing w:after="0" w:before="0" w:line="260"/>
            </w:pPr>
            <w:r>
              <w:rPr>
                <w:color w:val="52514E"/>
                <w:sz w:val="18"/>
                <w:szCs w:val="18"/>
              </w:rPr>
              <w:t xml:space="preserve">0.4038</w:t>
            </w:r>
          </w:p>
        </w:tc>
        <w:tc>
          <w:tcPr>
            <w:tcW w:type="dxa" w:w="1498"/>
            <w:shd w:fill="FFFFFF" w:val="clear"/>
            <w:tcMar>
              <w:top w:type="dxa" w:w="90"/>
              <w:left w:type="dxa" w:w="120"/>
              <w:bottom w:type="dxa" w:w="90"/>
              <w:right w:type="dxa" w:w="120"/>
            </w:tcMar>
          </w:tcPr>
          <w:p>
            <w:pPr>
              <w:spacing w:after="0" w:before="0" w:line="260"/>
            </w:pPr>
            <w:r>
              <w:rPr>
                <w:color w:val="52514E"/>
                <w:sz w:val="18"/>
                <w:szCs w:val="18"/>
              </w:rPr>
              <w:t xml:space="preserve">Combined</w:t>
            </w:r>
          </w:p>
        </w:tc>
        <w:tc>
          <w:tcPr>
            <w:tcW w:type="dxa" w:w="4867"/>
            <w:shd w:fill="FFFFFF" w:val="clear"/>
            <w:tcMar>
              <w:top w:type="dxa" w:w="90"/>
              <w:left w:type="dxa" w:w="120"/>
              <w:bottom w:type="dxa" w:w="90"/>
              <w:right w:type="dxa" w:w="120"/>
            </w:tcMar>
          </w:tcPr>
          <w:p>
            <w:pPr>
              <w:spacing w:after="0" w:before="0" w:line="260"/>
            </w:pPr>
            <w:r>
              <w:rPr>
                <w:color w:val="52514E"/>
                <w:sz w:val="18"/>
                <w:szCs w:val="18"/>
              </w:rPr>
              <w:t xml:space="preserve">All except wind and solar, first crediting period</w:t>
            </w:r>
          </w:p>
        </w:tc>
        <w:tc>
          <w:tcPr>
            <w:tcW w:type="dxa" w:w="1498"/>
            <w:shd w:fill="FFFFFF" w:val="clear"/>
            <w:tcMar>
              <w:top w:type="dxa" w:w="90"/>
              <w:left w:type="dxa" w:w="120"/>
              <w:bottom w:type="dxa" w:w="90"/>
              <w:right w:type="dxa" w:w="120"/>
            </w:tcMar>
          </w:tcPr>
          <w:p>
            <w:pPr>
              <w:spacing w:after="0" w:before="0" w:line="260"/>
            </w:pPr>
            <w:r>
              <w:rPr>
                <w:color w:val="52514E"/>
                <w:sz w:val="18"/>
                <w:szCs w:val="18"/>
              </w:rPr>
              <w:t xml:space="preserve">reference</w:t>
            </w:r>
          </w:p>
        </w:tc>
      </w:tr>
      <w:tr>
        <w:tc>
          <w:tcPr>
            <w:tcW w:type="dxa" w:w="1498"/>
            <w:shd w:fill="F7F7F5" w:val="clear"/>
            <w:tcMar>
              <w:top w:type="dxa" w:w="90"/>
              <w:left w:type="dxa" w:w="120"/>
              <w:bottom w:type="dxa" w:w="90"/>
              <w:right w:type="dxa" w:w="120"/>
            </w:tcMar>
          </w:tcPr>
          <w:p>
            <w:pPr>
              <w:spacing w:after="0" w:before="0" w:line="260"/>
            </w:pPr>
            <w:r>
              <w:rPr>
                <w:color w:val="52514E"/>
                <w:sz w:val="18"/>
                <w:szCs w:val="18"/>
              </w:rPr>
              <w:t xml:space="preserve">0.3748</w:t>
            </w:r>
          </w:p>
        </w:tc>
        <w:tc>
          <w:tcPr>
            <w:tcW w:type="dxa" w:w="1498"/>
            <w:shd w:fill="F7F7F5" w:val="clear"/>
            <w:tcMar>
              <w:top w:type="dxa" w:w="90"/>
              <w:left w:type="dxa" w:w="120"/>
              <w:bottom w:type="dxa" w:w="90"/>
              <w:right w:type="dxa" w:w="120"/>
            </w:tcMar>
          </w:tcPr>
          <w:p>
            <w:pPr>
              <w:spacing w:after="0" w:before="0" w:line="260"/>
            </w:pPr>
            <w:r>
              <w:rPr>
                <w:color w:val="52514E"/>
                <w:sz w:val="18"/>
                <w:szCs w:val="18"/>
              </w:rPr>
              <w:t xml:space="preserve">Combined</w:t>
            </w:r>
          </w:p>
        </w:tc>
        <w:tc>
          <w:tcPr>
            <w:tcW w:type="dxa" w:w="4867"/>
            <w:shd w:fill="F7F7F5" w:val="clear"/>
            <w:tcMar>
              <w:top w:type="dxa" w:w="90"/>
              <w:left w:type="dxa" w:w="120"/>
              <w:bottom w:type="dxa" w:w="90"/>
              <w:right w:type="dxa" w:w="120"/>
            </w:tcMar>
          </w:tcPr>
          <w:p>
            <w:pPr>
              <w:spacing w:after="0" w:before="0" w:line="260"/>
            </w:pPr>
            <w:r>
              <w:rPr>
                <w:color w:val="52514E"/>
                <w:sz w:val="18"/>
                <w:szCs w:val="18"/>
              </w:rPr>
              <w:t xml:space="preserve">All except wind and solar, second and third periods</w:t>
            </w:r>
          </w:p>
        </w:tc>
        <w:tc>
          <w:tcPr>
            <w:tcW w:type="dxa" w:w="1498"/>
            <w:shd w:fill="F7F7F5" w:val="clear"/>
            <w:tcMar>
              <w:top w:type="dxa" w:w="90"/>
              <w:left w:type="dxa" w:w="120"/>
              <w:bottom w:type="dxa" w:w="90"/>
              <w:right w:type="dxa" w:w="120"/>
            </w:tcMar>
          </w:tcPr>
          <w:p>
            <w:pPr>
              <w:spacing w:after="0" w:before="0" w:line="260"/>
            </w:pPr>
            <w:r>
              <w:rPr>
                <w:color w:val="52514E"/>
                <w:sz w:val="18"/>
                <w:szCs w:val="18"/>
              </w:rPr>
              <w:t xml:space="preserve">reference</w:t>
            </w:r>
          </w:p>
        </w:tc>
      </w:tr>
    </w:tbl>
    <w:p>
      <w:pPr>
        <w:spacing w:after="70"/>
      </w:pPr>
    </w:p>
    <w:p>
      <w:pPr>
        <w:spacing w:after="120" w:before="60" w:line="280"/>
      </w:pPr>
      <w:r>
        <w:rPr>
          <w:color w:val="52514E"/>
          <w:sz w:val="20"/>
          <w:szCs w:val="20"/>
        </w:rPr>
        <w:t xml:space="preserve">All five are recorded so a verifier can see the others were considered rather than missed. Only the row marked active drives a number. For a solar fleet that is the combined margin for wind and solar generation: 0.4329.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D03B3B" w:sz="18"/>
              <w:bottom w:val="nil"/>
              <w:right w:val="nil"/>
            </w:tcBorders>
            <w:shd w:fill="FBEAEA" w:val="clear"/>
            <w:tcMar>
              <w:top w:type="dxa" w:w="140"/>
              <w:left w:type="dxa" w:w="180"/>
              <w:bottom w:type="dxa" w:w="140"/>
              <w:right w:type="dxa" w:w="180"/>
            </w:tcMar>
          </w:tcPr>
          <w:p>
            <w:pPr>
              <w:spacing w:line="280"/>
            </w:pPr>
            <w:r>
              <w:rPr>
                <w:b/>
                <w:bCs/>
                <w:color w:val="D03B3B"/>
                <w:sz w:val="20"/>
                <w:szCs w:val="20"/>
              </w:rPr>
              <w:t xml:space="preserve">The baseline has lapsed.  </w:t>
            </w:r>
            <w:r>
              <w:rPr>
                <w:color w:val="52514E"/>
                <w:sz w:val="20"/>
                <w:szCs w:val="20"/>
              </w:rPr>
              <w:t xml:space="preserve">ASB0038-2018 is published valid from 19 February 2018 to 18 February 2021. Pilot data from 2025 therefore falls outside it, and by default the app finds no applicable factor, claims no reduction and no VCUs, and says so on screen.</w:t>
            </w:r>
          </w:p>
        </w:tc>
      </w:tr>
    </w:tbl>
    <w:p>
      <w:pPr>
        <w:spacing w:after="120"/>
      </w:pPr>
    </w:p>
    <w:tbl>
      <w:tblPr>
        <w:tblW w:type="dxa" w:w="9360"/>
        <w:tblBorders>
          <w:top w:val="single" w:color="E3E2DD" w:sz="2"/>
          <w:left w:val="nil"/>
          <w:bottom w:val="single" w:color="E3E2DD" w:sz="2"/>
          <w:right w:val="nil"/>
          <w:insideH w:val="single" w:color="E3E2DD" w:sz="2"/>
          <w:insideV w:val="nil"/>
        </w:tblBorders>
      </w:tblPr>
      <w:tblGrid>
        <w:gridCol w:w="3370"/>
        <w:gridCol w:w="1498"/>
        <w:gridCol w:w="4493"/>
      </w:tblGrid>
      <w:tr>
        <w:trPr>
          <w:tblHeader/>
        </w:trPr>
        <w:tc>
          <w:tcPr>
            <w:tcW w:type="dxa" w:w="3370"/>
            <w:shd w:fill="D03B3B" w:val="clear"/>
            <w:tcMar>
              <w:top w:type="dxa" w:w="90"/>
              <w:left w:type="dxa" w:w="120"/>
              <w:bottom w:type="dxa" w:w="90"/>
              <w:right w:type="dxa" w:w="120"/>
            </w:tcMar>
          </w:tcPr>
          <w:p>
            <w:pPr>
              <w:spacing w:after="0" w:before="0"/>
            </w:pPr>
            <w:r>
              <w:rPr>
                <w:b/>
                <w:bCs/>
                <w:color w:val="FFFFFF"/>
                <w:spacing w:val="20"/>
                <w:sz w:val="17"/>
                <w:szCs w:val="17"/>
              </w:rPr>
              <w:t xml:space="preserve">Variable</w:t>
            </w:r>
          </w:p>
        </w:tc>
        <w:tc>
          <w:tcPr>
            <w:tcW w:type="dxa" w:w="1498"/>
            <w:shd w:fill="D03B3B" w:val="clear"/>
            <w:tcMar>
              <w:top w:type="dxa" w:w="90"/>
              <w:left w:type="dxa" w:w="120"/>
              <w:bottom w:type="dxa" w:w="90"/>
              <w:right w:type="dxa" w:w="120"/>
            </w:tcMar>
          </w:tcPr>
          <w:p>
            <w:pPr>
              <w:spacing w:after="0" w:before="0"/>
            </w:pPr>
            <w:r>
              <w:rPr>
                <w:b/>
                <w:bCs/>
                <w:color w:val="FFFFFF"/>
                <w:spacing w:val="20"/>
                <w:sz w:val="17"/>
                <w:szCs w:val="17"/>
              </w:rPr>
              <w:t xml:space="preserve">Default</w:t>
            </w:r>
          </w:p>
        </w:tc>
        <w:tc>
          <w:tcPr>
            <w:tcW w:type="dxa" w:w="4493"/>
            <w:shd w:fill="D03B3B" w:val="clear"/>
            <w:tcMar>
              <w:top w:type="dxa" w:w="90"/>
              <w:left w:type="dxa" w:w="120"/>
              <w:bottom w:type="dxa" w:w="90"/>
              <w:right w:type="dxa" w:w="120"/>
            </w:tcMar>
          </w:tcPr>
          <w:p>
            <w:pPr>
              <w:spacing w:after="0" w:before="0"/>
            </w:pPr>
            <w:r>
              <w:rPr>
                <w:b/>
                <w:bCs/>
                <w:color w:val="FFFFFF"/>
                <w:spacing w:val="20"/>
                <w:sz w:val="17"/>
                <w:szCs w:val="17"/>
              </w:rPr>
              <w:t xml:space="preserve">What it does</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ALLOW_EXPIRED_EMISSION_FACTOR</w:t>
            </w:r>
          </w:p>
        </w:tc>
        <w:tc>
          <w:tcPr>
            <w:tcW w:type="dxa" w:w="1498"/>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false</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Apply the lapsed factor anyway. Every figure derived from it is then labelled as outside its published validity, on screen</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DEFAULT_EMISSION_FACTOR</w:t>
            </w:r>
          </w:p>
        </w:tc>
        <w:tc>
          <w:tcPr>
            <w:tcW w:type="dxa" w:w="1498"/>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FFFFF" w:val="clear"/>
            <w:tcMar>
              <w:top w:type="dxa" w:w="90"/>
              <w:left w:type="dxa" w:w="120"/>
              <w:bottom w:type="dxa" w:w="90"/>
              <w:right w:type="dxa" w:w="120"/>
            </w:tcMar>
          </w:tcPr>
          <w:p>
            <w:pPr>
              <w:spacing w:after="0" w:before="0" w:line="260"/>
            </w:pPr>
            <w:r>
              <w:rPr>
                <w:color w:val="52514E"/>
                <w:sz w:val="18"/>
                <w:szCs w:val="18"/>
              </w:rPr>
              <w:t xml:space="preserve">Override the seeded table with a single factor of your own</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DEFAULT_EMISSION_FACTOR_SOURCE</w:t>
            </w:r>
          </w:p>
        </w:tc>
        <w:tc>
          <w:tcPr>
            <w:tcW w:type="dxa" w:w="1498"/>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The document, edition and table it came from</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DEFAULT_EMISSION_FACTOR_URL</w:t>
            </w:r>
          </w:p>
        </w:tc>
        <w:tc>
          <w:tcPr>
            <w:tcW w:type="dxa" w:w="1498"/>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FFFFF" w:val="clear"/>
            <w:tcMar>
              <w:top w:type="dxa" w:w="90"/>
              <w:left w:type="dxa" w:w="120"/>
              <w:bottom w:type="dxa" w:w="90"/>
              <w:right w:type="dxa" w:w="120"/>
            </w:tcMar>
          </w:tcPr>
          <w:p>
            <w:pPr>
              <w:spacing w:after="0" w:before="0" w:line="260"/>
            </w:pPr>
            <w:r>
              <w:rPr>
                <w:color w:val="52514E"/>
                <w:sz w:val="18"/>
                <w:szCs w:val="18"/>
              </w:rPr>
              <w:t xml:space="preserve">Link to that document</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DEFAULT_EMISSION_FACTOR_VINTAGE</w:t>
            </w:r>
          </w:p>
        </w:tc>
        <w:tc>
          <w:tcPr>
            <w:tcW w:type="dxa" w:w="1498"/>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unset</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The factor's vintage year</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EMISSION_FACTOR_VALID_FROM / _TO</w:t>
            </w:r>
          </w:p>
        </w:tc>
        <w:tc>
          <w:tcPr>
            <w:tcW w:type="dxa" w:w="1498"/>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FFFFF" w:val="clear"/>
            <w:tcMar>
              <w:top w:type="dxa" w:w="90"/>
              <w:left w:type="dxa" w:w="120"/>
              <w:bottom w:type="dxa" w:w="90"/>
              <w:right w:type="dxa" w:w="120"/>
            </w:tcMar>
          </w:tcPr>
          <w:p>
            <w:pPr>
              <w:spacing w:after="0" w:before="0" w:line="260"/>
            </w:pPr>
            <w:r>
              <w:rPr>
                <w:color w:val="52514E"/>
                <w:sz w:val="18"/>
                <w:szCs w:val="18"/>
              </w:rPr>
              <w:t xml:space="preserve">Override the published validity window</w:t>
            </w:r>
          </w:p>
        </w:tc>
      </w:tr>
    </w:tbl>
    <w:p>
      <w:pPr>
        <w:pStyle w:val="Heading3"/>
        <w:spacing w:after="80" w:before="190"/>
      </w:pPr>
      <w:r>
        <w:rPr>
          <w:b/>
          <w:bCs/>
          <w:color w:val="52514E"/>
          <w:sz w:val="21"/>
          <w:szCs w:val="21"/>
        </w:rPr>
        <w:t xml:space="preserve">Verifying a factor</w:t>
      </w:r>
    </w:p>
    <w:p>
      <w:pPr>
        <w:spacing w:after="120" w:before="60" w:line="280"/>
      </w:pPr>
      <w:r>
        <w:rPr>
          <w:color w:val="52514E"/>
          <w:sz w:val="20"/>
          <w:szCs w:val="20"/>
        </w:rPr>
        <w:t xml:space="preserve">Every factor is stored with verified = false, and no code path sets it true — a person does, after opening the source document and checking the row. Until then the portal badges the factor "unverified" and puts a warning beside every number derived from it.</w:t>
      </w:r>
    </w:p>
    <w:p>
      <w:pPr>
        <w:pBdr>
          <w:left w:val="single" w:color="256ABF" w:sz="12" w:space="6"/>
        </w:pBdr>
        <w:shd w:fill="FBEAEA" w:val="clear"/>
        <w:spacing w:after="0" w:before="100" w:line="250"/>
        <w:ind w:left="140" w:right="140"/>
      </w:pPr>
      <w:r>
        <w:rPr>
          <w:rFonts w:ascii="Consolas" w:cs="Consolas" w:eastAsia="Consolas" w:hAnsi="Consolas"/>
          <w:color w:val="0B0B0B"/>
          <w:sz w:val="18"/>
          <w:szCs w:val="18"/>
        </w:rPr>
        <w:t xml:space="preserve">UPDATE gold.emission_factor</w:t>
      </w:r>
    </w:p>
    <w:p>
      <w:pPr>
        <w:pBdr>
          <w:left w:val="single" w:color="256ABF" w:sz="12" w:space="6"/>
        </w:pBdr>
        <w:shd w:fill="FBEAEA" w:val="clear"/>
        <w:spacing w:after="0" w:before="0" w:line="250"/>
        <w:ind w:left="140" w:right="140"/>
      </w:pPr>
      <w:r>
        <w:rPr>
          <w:rFonts w:ascii="Consolas" w:cs="Consolas" w:eastAsia="Consolas" w:hAnsi="Consolas"/>
          <w:color w:val="0B0B0B"/>
          <w:sz w:val="18"/>
          <w:szCs w:val="18"/>
        </w:rPr>
        <w:t xml:space="preserve">   SET verified = true, verified_by = 'name', verified_at = now()</w:t>
      </w:r>
    </w:p>
    <w:p>
      <w:pPr>
        <w:pBdr>
          <w:left w:val="single" w:color="256ABF" w:sz="12" w:space="6"/>
        </w:pBdr>
        <w:shd w:fill="FBEAEA" w:val="clear"/>
        <w:spacing w:after="150" w:before="0" w:line="250"/>
        <w:ind w:left="140" w:right="140"/>
      </w:pPr>
      <w:r>
        <w:rPr>
          <w:rFonts w:ascii="Consolas" w:cs="Consolas" w:eastAsia="Consolas" w:hAnsi="Consolas"/>
          <w:color w:val="0B0B0B"/>
          <w:sz w:val="18"/>
          <w:szCs w:val="18"/>
        </w:rPr>
        <w:t xml:space="preserve"> WHERE active;</w:t>
      </w:r>
    </w:p>
    <w:p>
      <w:pPr>
        <w:pStyle w:val="Heading3"/>
        <w:spacing w:after="80" w:before="190"/>
      </w:pPr>
      <w:r>
        <w:rPr>
          <w:b/>
          <w:bCs/>
          <w:color w:val="52514E"/>
          <w:sz w:val="21"/>
          <w:szCs w:val="21"/>
        </w:rPr>
        <w:t xml:space="preserve">Replacing it when a newer baseline is approved</w:t>
      </w:r>
    </w:p>
    <w:p>
      <w:pPr>
        <w:spacing w:after="120" w:before="60" w:line="280"/>
      </w:pPr>
      <w:r>
        <w:rPr>
          <w:color w:val="52514E"/>
          <w:sz w:val="20"/>
          <w:szCs w:val="20"/>
        </w:rPr>
        <w:t xml:space="preserve">Close the old row’s validity and insert the new one. Every Gold view joins the factor on date, so historical months keep the factor that was valid then and the new one applies going forward. Reload the page; there is nothing to recompute.</w:t>
      </w:r>
    </w:p>
    <w:p>
      <w:pPr>
        <w:pBdr>
          <w:left w:val="single" w:color="256ABF" w:sz="12" w:space="6"/>
        </w:pBdr>
        <w:shd w:fill="F4F4F1" w:val="clear"/>
        <w:spacing w:after="0" w:before="100" w:line="250"/>
        <w:ind w:left="140" w:right="140"/>
      </w:pPr>
      <w:r>
        <w:rPr>
          <w:rFonts w:ascii="Consolas" w:cs="Consolas" w:eastAsia="Consolas" w:hAnsi="Consolas"/>
          <w:color w:val="0B0B0B"/>
          <w:sz w:val="18"/>
          <w:szCs w:val="18"/>
        </w:rPr>
        <w:t xml:space="preserve">UPDATE gold.emission_factor SET valid_to = DATE '2021-02-18' WHERE active;</w:t>
      </w:r>
    </w:p>
    <w:p>
      <w:pPr>
        <w:pBdr>
          <w:left w:val="single" w:color="256ABF" w:sz="12" w:space="6"/>
        </w:pBdr>
        <w:shd w:fill="F4F4F1" w:val="clear"/>
        <w:spacing w:after="0" w:before="0" w:line="250"/>
        <w:ind w:left="140" w:right="140"/>
      </w:pPr>
      <w:r>
        <w:rPr>
          <w:rFonts w:ascii="Consolas" w:cs="Consolas" w:eastAsia="Consolas" w:hAnsi="Consolas"/>
          <w:color w:val="0B0B0B"/>
          <w:sz w:val="18"/>
          <w:szCs w:val="18"/>
        </w:rPr>
        <w:t xml:space="preserve"> </w:t>
      </w:r>
    </w:p>
    <w:p>
      <w:pPr>
        <w:pBdr>
          <w:left w:val="single" w:color="256ABF" w:sz="12" w:space="6"/>
        </w:pBdr>
        <w:shd w:fill="F4F4F1" w:val="clear"/>
        <w:spacing w:after="0" w:before="0" w:line="250"/>
        <w:ind w:left="140" w:right="140"/>
      </w:pPr>
      <w:r>
        <w:rPr>
          <w:rFonts w:ascii="Consolas" w:cs="Consolas" w:eastAsia="Consolas" w:hAnsi="Consolas"/>
          <w:color w:val="0B0B0B"/>
          <w:sz w:val="18"/>
          <w:szCs w:val="18"/>
        </w:rPr>
        <w:t xml:space="preserve">INSERT INTO gold.emission_factor</w:t>
      </w:r>
    </w:p>
    <w:p>
      <w:pPr>
        <w:pBdr>
          <w:left w:val="single" w:color="256ABF" w:sz="12" w:space="6"/>
        </w:pBdr>
        <w:shd w:fill="F4F4F1" w:val="clear"/>
        <w:spacing w:after="0" w:before="0" w:line="250"/>
        <w:ind w:left="140" w:right="140"/>
      </w:pPr>
      <w:r>
        <w:rPr>
          <w:rFonts w:ascii="Consolas" w:cs="Consolas" w:eastAsia="Consolas" w:hAnsi="Consolas"/>
          <w:color w:val="0B0B0B"/>
          <w:sz w:val="18"/>
          <w:szCs w:val="18"/>
        </w:rPr>
        <w:t xml:space="preserve">  (value_tco2e_per_mwh, factor_type, project_types, source, source_url,</w:t>
      </w:r>
    </w:p>
    <w:p>
      <w:pPr>
        <w:pBdr>
          <w:left w:val="single" w:color="256ABF" w:sz="12" w:space="6"/>
        </w:pBdr>
        <w:shd w:fill="F4F4F1" w:val="clear"/>
        <w:spacing w:after="0" w:before="0" w:line="250"/>
        <w:ind w:left="140" w:right="140"/>
      </w:pPr>
      <w:r>
        <w:rPr>
          <w:rFonts w:ascii="Consolas" w:cs="Consolas" w:eastAsia="Consolas" w:hAnsi="Consolas"/>
          <w:color w:val="0B0B0B"/>
          <w:sz w:val="18"/>
          <w:szCs w:val="18"/>
        </w:rPr>
        <w:t xml:space="preserve">   vintage, valid_from, valid_to, active, verified)</w:t>
      </w:r>
    </w:p>
    <w:p>
      <w:pPr>
        <w:pBdr>
          <w:left w:val="single" w:color="256ABF" w:sz="12" w:space="6"/>
        </w:pBdr>
        <w:shd w:fill="F4F4F1" w:val="clear"/>
        <w:spacing w:after="0" w:before="0" w:line="250"/>
        <w:ind w:left="140" w:right="140"/>
      </w:pPr>
      <w:r>
        <w:rPr>
          <w:rFonts w:ascii="Consolas" w:cs="Consolas" w:eastAsia="Consolas" w:hAnsi="Consolas"/>
          <w:color w:val="0B0B0B"/>
          <w:sz w:val="18"/>
          <w:szCs w:val="18"/>
        </w:rPr>
        <w:t xml:space="preserve">VALUES (&lt;value&gt;, 'combined_margin', '&lt;who it applies to&gt;',</w:t>
      </w:r>
    </w:p>
    <w:p>
      <w:pPr>
        <w:pBdr>
          <w:left w:val="single" w:color="256ABF" w:sz="12" w:space="6"/>
        </w:pBdr>
        <w:shd w:fill="F4F4F1" w:val="clear"/>
        <w:spacing w:after="0" w:before="0" w:line="250"/>
        <w:ind w:left="140" w:right="140"/>
      </w:pPr>
      <w:r>
        <w:rPr>
          <w:rFonts w:ascii="Consolas" w:cs="Consolas" w:eastAsia="Consolas" w:hAnsi="Consolas"/>
          <w:color w:val="0B0B0B"/>
          <w:sz w:val="18"/>
          <w:szCs w:val="18"/>
        </w:rPr>
        <w:t xml:space="preserve">        '&lt;document, edition and table&gt;', '&lt;url&gt;', '&lt;vintage&gt;',</w:t>
      </w:r>
    </w:p>
    <w:p>
      <w:pPr>
        <w:pBdr>
          <w:left w:val="single" w:color="256ABF" w:sz="12" w:space="6"/>
        </w:pBdr>
        <w:shd w:fill="F4F4F1" w:val="clear"/>
        <w:spacing w:after="150" w:before="0" w:line="250"/>
        <w:ind w:left="140" w:right="140"/>
      </w:pPr>
      <w:r>
        <w:rPr>
          <w:rFonts w:ascii="Consolas" w:cs="Consolas" w:eastAsia="Consolas" w:hAnsi="Consolas"/>
          <w:color w:val="0B0B0B"/>
          <w:sz w:val="18"/>
          <w:szCs w:val="18"/>
        </w:rPr>
        <w:t xml:space="preserve">        DATE '&lt;from&gt;', DATE '&lt;to&gt;', true, false);</w:t>
      </w:r>
    </w:p>
    <w:p>
      <w:pPr>
        <w:pStyle w:val="Heading1"/>
        <w:pBdr>
          <w:bottom w:val="single" w:color="EDA100" w:sz="10" w:space="6"/>
        </w:pBdr>
        <w:spacing w:after="140" w:before="380"/>
      </w:pPr>
      <w:r>
        <w:rPr>
          <w:b/>
          <w:bCs/>
          <w:color w:val="EDA100"/>
          <w:sz w:val="30"/>
          <w:szCs w:val="30"/>
        </w:rPr>
        <w:t xml:space="preserve">7 · The VCU price</w:t>
      </w:r>
    </w:p>
    <w:tbl>
      <w:tblPr>
        <w:tblW w:type="dxa" w:w="9360"/>
        <w:tblBorders>
          <w:top w:val="single" w:color="E3E2DD" w:sz="2"/>
          <w:left w:val="nil"/>
          <w:bottom w:val="single" w:color="E3E2DD" w:sz="2"/>
          <w:right w:val="nil"/>
          <w:insideH w:val="single" w:color="E3E2DD" w:sz="2"/>
          <w:insideV w:val="nil"/>
        </w:tblBorders>
      </w:tblPr>
      <w:tblGrid>
        <w:gridCol w:w="3370"/>
        <w:gridCol w:w="1498"/>
        <w:gridCol w:w="4493"/>
      </w:tblGrid>
      <w:tr>
        <w:trPr>
          <w:tblHeader/>
        </w:trPr>
        <w:tc>
          <w:tcPr>
            <w:tcW w:type="dxa" w:w="3370"/>
            <w:shd w:fill="EDA100" w:val="clear"/>
            <w:tcMar>
              <w:top w:type="dxa" w:w="90"/>
              <w:left w:type="dxa" w:w="120"/>
              <w:bottom w:type="dxa" w:w="90"/>
              <w:right w:type="dxa" w:w="120"/>
            </w:tcMar>
          </w:tcPr>
          <w:p>
            <w:pPr>
              <w:spacing w:after="0" w:before="0"/>
            </w:pPr>
            <w:r>
              <w:rPr>
                <w:b/>
                <w:bCs/>
                <w:color w:val="FFFFFF"/>
                <w:spacing w:val="20"/>
                <w:sz w:val="17"/>
                <w:szCs w:val="17"/>
              </w:rPr>
              <w:t xml:space="preserve">Variable</w:t>
            </w:r>
          </w:p>
        </w:tc>
        <w:tc>
          <w:tcPr>
            <w:tcW w:type="dxa" w:w="1498"/>
            <w:shd w:fill="EDA100" w:val="clear"/>
            <w:tcMar>
              <w:top w:type="dxa" w:w="90"/>
              <w:left w:type="dxa" w:w="120"/>
              <w:bottom w:type="dxa" w:w="90"/>
              <w:right w:type="dxa" w:w="120"/>
            </w:tcMar>
          </w:tcPr>
          <w:p>
            <w:pPr>
              <w:spacing w:after="0" w:before="0"/>
            </w:pPr>
            <w:r>
              <w:rPr>
                <w:b/>
                <w:bCs/>
                <w:color w:val="FFFFFF"/>
                <w:spacing w:val="20"/>
                <w:sz w:val="17"/>
                <w:szCs w:val="17"/>
              </w:rPr>
              <w:t xml:space="preserve">Default</w:t>
            </w:r>
          </w:p>
        </w:tc>
        <w:tc>
          <w:tcPr>
            <w:tcW w:type="dxa" w:w="4493"/>
            <w:shd w:fill="EDA100" w:val="clear"/>
            <w:tcMar>
              <w:top w:type="dxa" w:w="90"/>
              <w:left w:type="dxa" w:w="120"/>
              <w:bottom w:type="dxa" w:w="90"/>
              <w:right w:type="dxa" w:w="120"/>
            </w:tcMar>
          </w:tcPr>
          <w:p>
            <w:pPr>
              <w:spacing w:after="0" w:before="0"/>
            </w:pPr>
            <w:r>
              <w:rPr>
                <w:b/>
                <w:bCs/>
                <w:color w:val="FFFFFF"/>
                <w:spacing w:val="20"/>
                <w:sz w:val="17"/>
                <w:szCs w:val="17"/>
              </w:rPr>
              <w:t xml:space="preserve">What it does</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DEFAULT_VCU_PRICE_PER_TCO2E</w:t>
            </w:r>
          </w:p>
        </w:tc>
        <w:tc>
          <w:tcPr>
            <w:tcW w:type="dxa" w:w="1498"/>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Price per tonne. No default</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VCU_PRICE_SOURCE</w:t>
            </w:r>
          </w:p>
        </w:tc>
        <w:tc>
          <w:tcPr>
            <w:tcW w:type="dxa" w:w="1498"/>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(empty)</w:t>
            </w:r>
          </w:p>
        </w:tc>
        <w:tc>
          <w:tcPr>
            <w:tcW w:type="dxa" w:w="4493"/>
            <w:shd w:fill="FFFFFF" w:val="clear"/>
            <w:tcMar>
              <w:top w:type="dxa" w:w="90"/>
              <w:left w:type="dxa" w:w="120"/>
              <w:bottom w:type="dxa" w:w="90"/>
              <w:right w:type="dxa" w:w="120"/>
            </w:tcMar>
          </w:tcPr>
          <w:p>
            <w:pPr>
              <w:spacing w:after="0" w:before="0" w:line="260"/>
            </w:pPr>
            <w:r>
              <w:rPr>
                <w:color w:val="52514E"/>
                <w:sz w:val="18"/>
                <w:szCs w:val="18"/>
              </w:rPr>
              <w:t xml:space="preserve">The quote, index or broker it came from</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PRICE_CURRENCY</w:t>
            </w:r>
          </w:p>
        </w:tc>
        <w:tc>
          <w:tcPr>
            <w:tcW w:type="dxa" w:w="1498"/>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USD</w:t>
            </w:r>
          </w:p>
        </w:tc>
        <w:tc>
          <w:tcPr>
            <w:tcW w:type="dxa" w:w="4493"/>
            <w:shd w:fill="F7F7F5" w:val="clear"/>
            <w:tcMar>
              <w:top w:type="dxa" w:w="90"/>
              <w:left w:type="dxa" w:w="120"/>
              <w:bottom w:type="dxa" w:w="90"/>
              <w:right w:type="dxa" w:w="120"/>
            </w:tcMar>
          </w:tcPr>
          <w:p>
            <w:pPr>
              <w:spacing w:after="0" w:before="0" w:line="260"/>
            </w:pPr>
            <w:r>
              <w:rPr>
                <w:color w:val="52514E"/>
                <w:sz w:val="18"/>
                <w:szCs w:val="18"/>
              </w:rPr>
              <w:t xml:space="preserve">Currency label</w:t>
            </w:r>
          </w:p>
        </w:tc>
      </w:tr>
    </w:tbl>
    <w:p>
      <w:pPr>
        <w:spacing w:after="60"/>
      </w:pPr>
    </w:p>
    <w:p>
      <w:pPr>
        <w:spacing w:after="120" w:before="60" w:line="280"/>
      </w:pPr>
      <w:r>
        <w:rPr>
          <w:color w:val="52514E"/>
          <w:sz w:val="20"/>
          <w:szCs w:val="20"/>
        </w:rPr>
        <w:t xml:space="preserve">With no price set, no revenue figure is shown at all. That is better than a number nobody can source. These seed the gold.price table on first run only; afterwards prices are dated rows you insert, and each month uses the price in force at its end.</w:t>
      </w:r>
    </w:p>
    <w:p>
      <w:pPr>
        <w:pBdr>
          <w:left w:val="single" w:color="256ABF" w:sz="12" w:space="6"/>
        </w:pBdr>
        <w:shd w:fill="FDF3DE" w:val="clear"/>
        <w:spacing w:after="0" w:before="100" w:line="250"/>
        <w:ind w:left="140" w:right="140"/>
      </w:pPr>
      <w:r>
        <w:rPr>
          <w:rFonts w:ascii="Consolas" w:cs="Consolas" w:eastAsia="Consolas" w:hAnsi="Consolas"/>
          <w:color w:val="0B0B0B"/>
          <w:sz w:val="18"/>
          <w:szCs w:val="18"/>
        </w:rPr>
        <w:t xml:space="preserve">INSERT INTO gold.price (instrument, value, currency, source, as_of)</w:t>
      </w:r>
    </w:p>
    <w:p>
      <w:pPr>
        <w:pBdr>
          <w:left w:val="single" w:color="256ABF" w:sz="12" w:space="6"/>
        </w:pBdr>
        <w:shd w:fill="FDF3DE" w:val="clear"/>
        <w:spacing w:after="150" w:before="0" w:line="250"/>
        <w:ind w:left="140" w:right="140"/>
      </w:pPr>
      <w:r>
        <w:rPr>
          <w:rFonts w:ascii="Consolas" w:cs="Consolas" w:eastAsia="Consolas" w:hAnsi="Consolas"/>
          <w:color w:val="0B0B0B"/>
          <w:sz w:val="18"/>
          <w:szCs w:val="18"/>
        </w:rPr>
        <w:t xml:space="preserve">VALUES ('vcu', &lt;price&gt;, 'USD', '&lt;broker or index&gt;', DATE '&lt;as of&gt;');</w:t>
      </w:r>
    </w:p>
    <w:p>
      <w:pPr>
        <w:pStyle w:val="Heading1"/>
        <w:pBdr>
          <w:bottom w:val="single" w:color="0B0B0B" w:sz="10" w:space="6"/>
        </w:pBdr>
        <w:spacing w:after="140" w:before="380"/>
      </w:pPr>
      <w:r>
        <w:rPr>
          <w:b/>
          <w:bCs/>
          <w:color w:val="0B0B0B"/>
          <w:sz w:val="30"/>
          <w:szCs w:val="30"/>
        </w:rPr>
        <w:t xml:space="preserve">8 · Presentation</w:t>
      </w:r>
    </w:p>
    <w:tbl>
      <w:tblPr>
        <w:tblW w:type="dxa" w:w="9360"/>
        <w:tblBorders>
          <w:top w:val="single" w:color="E3E2DD" w:sz="2"/>
          <w:left w:val="nil"/>
          <w:bottom w:val="single" w:color="E3E2DD" w:sz="2"/>
          <w:right w:val="nil"/>
          <w:insideH w:val="single" w:color="E3E2DD" w:sz="2"/>
          <w:insideV w:val="nil"/>
        </w:tblBorders>
      </w:tblPr>
      <w:tblGrid>
        <w:gridCol w:w="2808"/>
        <w:gridCol w:w="2434"/>
        <w:gridCol w:w="4118"/>
      </w:tblGrid>
      <w:tr>
        <w:trPr>
          <w:tblHeader/>
        </w:trPr>
        <w:tc>
          <w:tcPr>
            <w:tcW w:type="dxa" w:w="2808"/>
            <w:shd w:fill="7A7873" w:val="clear"/>
            <w:tcMar>
              <w:top w:type="dxa" w:w="90"/>
              <w:left w:type="dxa" w:w="120"/>
              <w:bottom w:type="dxa" w:w="90"/>
              <w:right w:type="dxa" w:w="120"/>
            </w:tcMar>
          </w:tcPr>
          <w:p>
            <w:pPr>
              <w:spacing w:after="0" w:before="0"/>
            </w:pPr>
            <w:r>
              <w:rPr>
                <w:b/>
                <w:bCs/>
                <w:color w:val="FFFFFF"/>
                <w:spacing w:val="20"/>
                <w:sz w:val="17"/>
                <w:szCs w:val="17"/>
              </w:rPr>
              <w:t xml:space="preserve">Variable</w:t>
            </w:r>
          </w:p>
        </w:tc>
        <w:tc>
          <w:tcPr>
            <w:tcW w:type="dxa" w:w="2434"/>
            <w:shd w:fill="7A7873" w:val="clear"/>
            <w:tcMar>
              <w:top w:type="dxa" w:w="90"/>
              <w:left w:type="dxa" w:w="120"/>
              <w:bottom w:type="dxa" w:w="90"/>
              <w:right w:type="dxa" w:w="120"/>
            </w:tcMar>
          </w:tcPr>
          <w:p>
            <w:pPr>
              <w:spacing w:after="0" w:before="0"/>
            </w:pPr>
            <w:r>
              <w:rPr>
                <w:b/>
                <w:bCs/>
                <w:color w:val="FFFFFF"/>
                <w:spacing w:val="20"/>
                <w:sz w:val="17"/>
                <w:szCs w:val="17"/>
              </w:rPr>
              <w:t xml:space="preserve">Default</w:t>
            </w:r>
          </w:p>
        </w:tc>
        <w:tc>
          <w:tcPr>
            <w:tcW w:type="dxa" w:w="4118"/>
            <w:shd w:fill="7A7873" w:val="clear"/>
            <w:tcMar>
              <w:top w:type="dxa" w:w="90"/>
              <w:left w:type="dxa" w:w="120"/>
              <w:bottom w:type="dxa" w:w="90"/>
              <w:right w:type="dxa" w:w="120"/>
            </w:tcMar>
          </w:tcPr>
          <w:p>
            <w:pPr>
              <w:spacing w:after="0" w:before="0"/>
            </w:pPr>
            <w:r>
              <w:rPr>
                <w:b/>
                <w:bCs/>
                <w:color w:val="FFFFFF"/>
                <w:spacing w:val="20"/>
                <w:sz w:val="17"/>
                <w:szCs w:val="17"/>
              </w:rPr>
              <w:t xml:space="preserve">What it does</w:t>
            </w:r>
          </w:p>
        </w:tc>
      </w:tr>
      <w:tr>
        <w:tc>
          <w:tcPr>
            <w:tcW w:type="dxa" w:w="2808"/>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BANNER_TEXT</w:t>
            </w:r>
          </w:p>
        </w:tc>
        <w:tc>
          <w:tcPr>
            <w:tcW w:type="dxa" w:w="2434"/>
            <w:shd w:fill="F7F7F5"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Pilot data. Not verified.</w:t>
            </w:r>
          </w:p>
        </w:tc>
        <w:tc>
          <w:tcPr>
            <w:tcW w:type="dxa" w:w="4118"/>
            <w:shd w:fill="F7F7F5" w:val="clear"/>
            <w:tcMar>
              <w:top w:type="dxa" w:w="90"/>
              <w:left w:type="dxa" w:w="120"/>
              <w:bottom w:type="dxa" w:w="90"/>
              <w:right w:type="dxa" w:w="120"/>
            </w:tcMar>
          </w:tcPr>
          <w:p>
            <w:pPr>
              <w:spacing w:after="0" w:before="0" w:line="260"/>
            </w:pPr>
            <w:r>
              <w:rPr>
                <w:color w:val="52514E"/>
                <w:sz w:val="18"/>
                <w:szCs w:val="18"/>
              </w:rPr>
              <w:t xml:space="preserve">The banner on every screen</w:t>
            </w:r>
          </w:p>
        </w:tc>
      </w:tr>
      <w:tr>
        <w:tc>
          <w:tcPr>
            <w:tcW w:type="dxa" w:w="2808"/>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FLEET_NAME</w:t>
            </w:r>
          </w:p>
        </w:tc>
        <w:tc>
          <w:tcPr>
            <w:tcW w:type="dxa" w:w="2434"/>
            <w:shd w:fill="FFFFFF" w:val="clear"/>
            <w:tcMar>
              <w:top w:type="dxa" w:w="90"/>
              <w:left w:type="dxa" w:w="120"/>
              <w:bottom w:type="dxa" w:w="90"/>
              <w:right w:type="dxa" w:w="120"/>
            </w:tcMar>
          </w:tcPr>
          <w:p>
            <w:pPr>
              <w:spacing w:after="0" w:before="0" w:line="260"/>
            </w:pPr>
            <w:r>
              <w:rPr>
                <w:rFonts w:ascii="Consolas" w:cs="Consolas" w:eastAsia="Consolas" w:hAnsi="Consolas"/>
                <w:color w:val="7A7873"/>
                <w:sz w:val="16"/>
                <w:szCs w:val="16"/>
              </w:rPr>
              <w:t xml:space="preserve">SANNOVA</w:t>
            </w:r>
          </w:p>
        </w:tc>
        <w:tc>
          <w:tcPr>
            <w:tcW w:type="dxa" w:w="4118"/>
            <w:shd w:fill="FFFFFF" w:val="clear"/>
            <w:tcMar>
              <w:top w:type="dxa" w:w="90"/>
              <w:left w:type="dxa" w:w="120"/>
              <w:bottom w:type="dxa" w:w="90"/>
              <w:right w:type="dxa" w:w="120"/>
            </w:tcMar>
          </w:tcPr>
          <w:p>
            <w:pPr>
              <w:spacing w:after="0" w:before="0" w:line="260"/>
            </w:pPr>
            <w:r>
              <w:rPr>
                <w:color w:val="52514E"/>
                <w:sz w:val="18"/>
                <w:szCs w:val="18"/>
              </w:rPr>
              <w:t xml:space="preserve">Shown beside the product name in the header</w:t>
            </w:r>
          </w:p>
        </w:tc>
      </w:tr>
    </w:tbl>
    <w:p>
      <w:pPr>
        <w:spacing w:after="60"/>
      </w:pPr>
    </w:p>
    <w:p>
      <w:pPr>
        <w:spacing w:after="120" w:before="60" w:line="280"/>
      </w:pPr>
      <w:r>
        <w:rPr>
          <w:color w:val="52514E"/>
          <w:sz w:val="20"/>
          <w:szCs w:val="20"/>
        </w:rPr>
        <w:t xml:space="preserve">Leave the banner until the numbers have actually been verified. Change it then, not before.</w:t>
      </w:r>
    </w:p>
    <w:p>
      <w:pPr>
        <w:pStyle w:val="Heading1"/>
        <w:pBdr>
          <w:bottom w:val="single" w:color="1BAF7A" w:sz="10" w:space="6"/>
        </w:pBdr>
        <w:spacing w:after="140" w:before="380"/>
      </w:pPr>
      <w:r>
        <w:rPr>
          <w:b/>
          <w:bCs/>
          <w:color w:val="1BAF7A"/>
          <w:sz w:val="30"/>
          <w:szCs w:val="30"/>
        </w:rPr>
        <w:t xml:space="preserve">9 · Minimum sets</w:t>
      </w:r>
    </w:p>
    <w:p>
      <w:pPr>
        <w:pStyle w:val="Heading3"/>
        <w:spacing w:after="80" w:before="190"/>
      </w:pPr>
      <w:r>
        <w:rPr>
          <w:b/>
          <w:bCs/>
          <w:color w:val="52514E"/>
          <w:sz w:val="21"/>
          <w:szCs w:val="21"/>
        </w:rPr>
        <w:t xml:space="preserve">Local development</w:t>
      </w:r>
    </w:p>
    <w:p>
      <w:pPr>
        <w:spacing w:after="120" w:before="60" w:line="280"/>
      </w:pPr>
      <w:r>
        <w:rPr>
          <w:color w:val="52514E"/>
          <w:sz w:val="20"/>
          <w:szCs w:val="20"/>
        </w:rPr>
        <w:t xml:space="preserve">None required if Postgres is on localhost with the default credentials. Otherwise one line:</w:t>
      </w:r>
    </w:p>
    <w:p>
      <w:pPr>
        <w:pBdr>
          <w:left w:val="single" w:color="256ABF" w:sz="12" w:space="6"/>
        </w:pBdr>
        <w:shd w:fill="F4F4F1" w:val="clear"/>
        <w:spacing w:after="150" w:before="100" w:line="250"/>
        <w:ind w:left="140" w:right="140"/>
      </w:pPr>
      <w:r>
        <w:rPr>
          <w:rFonts w:ascii="Consolas" w:cs="Consolas" w:eastAsia="Consolas" w:hAnsi="Consolas"/>
          <w:color w:val="0B0B0B"/>
          <w:sz w:val="18"/>
          <w:szCs w:val="18"/>
        </w:rPr>
        <w:t xml:space="preserve">DATABASE_URL=postgresql://user:pass@host:5432/ccredits</w:t>
      </w:r>
    </w:p>
    <w:p>
      <w:pPr>
        <w:pStyle w:val="Heading3"/>
        <w:spacing w:after="80" w:before="190"/>
      </w:pPr>
      <w:r>
        <w:rPr>
          <w:b/>
          <w:bCs/>
          <w:color w:val="52514E"/>
          <w:sz w:val="21"/>
          <w:szCs w:val="21"/>
        </w:rPr>
        <w:t xml:space="preserve">Azure, for a demo</w:t>
      </w:r>
    </w:p>
    <w:p>
      <w:pPr>
        <w:pBdr>
          <w:left w:val="single" w:color="256ABF" w:sz="12" w:space="6"/>
        </w:pBdr>
        <w:shd w:fill="E4F6EF" w:val="clear"/>
        <w:spacing w:after="0" w:before="100" w:line="250"/>
        <w:ind w:left="140" w:right="140"/>
      </w:pPr>
      <w:r>
        <w:rPr>
          <w:rFonts w:ascii="Consolas" w:cs="Consolas" w:eastAsia="Consolas" w:hAnsi="Consolas"/>
          <w:color w:val="0B0B0B"/>
          <w:sz w:val="18"/>
          <w:szCs w:val="18"/>
        </w:rPr>
        <w:t xml:space="preserve">DATABASE_URL=secretref:db-url          # ?sslmode=require</w:t>
      </w:r>
    </w:p>
    <w:p>
      <w:pPr>
        <w:pBdr>
          <w:left w:val="single" w:color="256ABF" w:sz="12" w:space="6"/>
        </w:pBdr>
        <w:shd w:fill="E4F6EF" w:val="clear"/>
        <w:spacing w:after="0" w:before="0" w:line="250"/>
        <w:ind w:left="140" w:right="140"/>
      </w:pPr>
      <w:r>
        <w:rPr>
          <w:rFonts w:ascii="Consolas" w:cs="Consolas" w:eastAsia="Consolas" w:hAnsi="Consolas"/>
          <w:color w:val="0B0B0B"/>
          <w:sz w:val="18"/>
          <w:szCs w:val="18"/>
        </w:rPr>
        <w:t xml:space="preserve">ADMIN_TOKEN=secretref:admin-token</w:t>
      </w:r>
    </w:p>
    <w:p>
      <w:pPr>
        <w:pBdr>
          <w:left w:val="single" w:color="256ABF" w:sz="12" w:space="6"/>
        </w:pBdr>
        <w:shd w:fill="E4F6EF" w:val="clear"/>
        <w:spacing w:after="0" w:before="0" w:line="250"/>
        <w:ind w:left="140" w:right="140"/>
      </w:pPr>
      <w:r>
        <w:rPr>
          <w:rFonts w:ascii="Consolas" w:cs="Consolas" w:eastAsia="Consolas" w:hAnsi="Consolas"/>
          <w:color w:val="0B0B0B"/>
          <w:sz w:val="18"/>
          <w:szCs w:val="18"/>
        </w:rPr>
        <w:t xml:space="preserve">APP_ENV=production</w:t>
      </w:r>
    </w:p>
    <w:p>
      <w:pPr>
        <w:pBdr>
          <w:left w:val="single" w:color="256ABF" w:sz="12" w:space="6"/>
        </w:pBdr>
        <w:shd w:fill="E4F6EF" w:val="clear"/>
        <w:spacing w:after="0" w:before="0" w:line="250"/>
        <w:ind w:left="140" w:right="140"/>
      </w:pPr>
      <w:r>
        <w:rPr>
          <w:rFonts w:ascii="Consolas" w:cs="Consolas" w:eastAsia="Consolas" w:hAnsi="Consolas"/>
          <w:color w:val="0B0B0B"/>
          <w:sz w:val="18"/>
          <w:szCs w:val="18"/>
        </w:rPr>
        <w:t xml:space="preserve">STORAGE_BACKEND=azure</w:t>
      </w:r>
    </w:p>
    <w:p>
      <w:pPr>
        <w:pBdr>
          <w:left w:val="single" w:color="256ABF" w:sz="12" w:space="6"/>
        </w:pBdr>
        <w:shd w:fill="E4F6EF" w:val="clear"/>
        <w:spacing w:after="0" w:before="0" w:line="250"/>
        <w:ind w:left="140" w:right="140"/>
      </w:pPr>
      <w:r>
        <w:rPr>
          <w:rFonts w:ascii="Consolas" w:cs="Consolas" w:eastAsia="Consolas" w:hAnsi="Consolas"/>
          <w:color w:val="0B0B0B"/>
          <w:sz w:val="18"/>
          <w:szCs w:val="18"/>
        </w:rPr>
        <w:t xml:space="preserve">AZURE_STORAGE_ACCOUNT=&lt;account&gt;</w:t>
      </w:r>
    </w:p>
    <w:p>
      <w:pPr>
        <w:pBdr>
          <w:left w:val="single" w:color="256ABF" w:sz="12" w:space="6"/>
        </w:pBdr>
        <w:shd w:fill="E4F6EF" w:val="clear"/>
        <w:spacing w:after="150" w:before="0" w:line="250"/>
        <w:ind w:left="140" w:right="140"/>
      </w:pPr>
      <w:r>
        <w:rPr>
          <w:rFonts w:ascii="Consolas" w:cs="Consolas" w:eastAsia="Consolas" w:hAnsi="Consolas"/>
          <w:color w:val="0B0B0B"/>
          <w:sz w:val="18"/>
          <w:szCs w:val="18"/>
        </w:rPr>
        <w:t xml:space="preserve">AZURE_STORAGE_CONTAINER=uploads</w:t>
      </w:r>
    </w:p>
    <w:p>
      <w:pPr>
        <w:pStyle w:val="Heading3"/>
        <w:spacing w:after="80" w:before="190"/>
      </w:pPr>
      <w:r>
        <w:rPr>
          <w:b/>
          <w:bCs/>
          <w:color w:val="52514E"/>
          <w:sz w:val="21"/>
          <w:szCs w:val="21"/>
        </w:rPr>
        <w:t xml:space="preserve">To show a carbon number from 2025 data</w:t>
      </w:r>
    </w:p>
    <w:p>
      <w:pPr>
        <w:spacing w:after="120" w:before="60" w:line="280"/>
      </w:pPr>
      <w:r>
        <w:rPr>
          <w:color w:val="52514E"/>
          <w:sz w:val="20"/>
          <w:szCs w:val="20"/>
        </w:rPr>
        <w:t xml:space="preserve">Add the two below, and be ready to explain both on screen — the portal will label them for you:</w:t>
      </w:r>
    </w:p>
    <w:p>
      <w:pPr>
        <w:pBdr>
          <w:left w:val="single" w:color="256ABF" w:sz="12" w:space="6"/>
        </w:pBdr>
        <w:shd w:fill="FDF3DE" w:val="clear"/>
        <w:spacing w:after="0" w:before="100" w:line="250"/>
        <w:ind w:left="140" w:right="140"/>
      </w:pPr>
      <w:r>
        <w:rPr>
          <w:rFonts w:ascii="Consolas" w:cs="Consolas" w:eastAsia="Consolas" w:hAnsi="Consolas"/>
          <w:color w:val="0B0B0B"/>
          <w:sz w:val="18"/>
          <w:szCs w:val="18"/>
        </w:rPr>
        <w:t xml:space="preserve">ALLOW_EXPIRED_EMISSION_FACTOR=true     # ASB0038-2018 lapsed 2021-02-18</w:t>
      </w:r>
    </w:p>
    <w:p>
      <w:pPr>
        <w:pBdr>
          <w:left w:val="single" w:color="256ABF" w:sz="12" w:space="6"/>
        </w:pBdr>
        <w:shd w:fill="FDF3DE" w:val="clear"/>
        <w:spacing w:after="0" w:before="0" w:line="250"/>
        <w:ind w:left="140" w:right="140"/>
      </w:pPr>
      <w:r>
        <w:rPr>
          <w:rFonts w:ascii="Consolas" w:cs="Consolas" w:eastAsia="Consolas" w:hAnsi="Consolas"/>
          <w:color w:val="0B0B0B"/>
          <w:sz w:val="18"/>
          <w:szCs w:val="18"/>
        </w:rPr>
        <w:t xml:space="preserve">DEFAULT_VCU_PRICE_PER_TCO2E=&lt;price&gt;</w:t>
      </w:r>
    </w:p>
    <w:p>
      <w:pPr>
        <w:pBdr>
          <w:left w:val="single" w:color="256ABF" w:sz="12" w:space="6"/>
        </w:pBdr>
        <w:shd w:fill="FDF3DE" w:val="clear"/>
        <w:spacing w:after="150" w:before="0" w:line="250"/>
        <w:ind w:left="140" w:right="140"/>
      </w:pPr>
      <w:r>
        <w:rPr>
          <w:rFonts w:ascii="Consolas" w:cs="Consolas" w:eastAsia="Consolas" w:hAnsi="Consolas"/>
          <w:color w:val="0B0B0B"/>
          <w:sz w:val="18"/>
          <w:szCs w:val="18"/>
        </w:rPr>
        <w:t xml:space="preserve">VCU_PRICE_SOURCE=&lt;where that price came from&gt;</w:t>
      </w:r>
    </w:p>
    <w:p>
      <w:pPr>
        <w:pStyle w:val="Heading1"/>
        <w:pBdr>
          <w:bottom w:val="single" w:color="256ABF" w:sz="10" w:space="6"/>
        </w:pBdr>
        <w:spacing w:after="140" w:before="380"/>
      </w:pPr>
      <w:r>
        <w:rPr>
          <w:b/>
          <w:bCs/>
          <w:color w:val="256ABF"/>
          <w:sz w:val="30"/>
          <w:szCs w:val="30"/>
        </w:rPr>
        <w:t xml:space="preserve">10 · Checking what took effect</w:t>
      </w:r>
    </w:p>
    <w:p>
      <w:pPr>
        <w:pBdr>
          <w:left w:val="single" w:color="256ABF" w:sz="12" w:space="6"/>
        </w:pBdr>
        <w:shd w:fill="F4F4F1" w:val="clear"/>
        <w:spacing w:after="0" w:before="100" w:line="250"/>
        <w:ind w:left="140" w:right="140"/>
      </w:pPr>
      <w:r>
        <w:rPr>
          <w:rFonts w:ascii="Consolas" w:cs="Consolas" w:eastAsia="Consolas" w:hAnsi="Consolas"/>
          <w:color w:val="0B0B0B"/>
          <w:sz w:val="18"/>
          <w:szCs w:val="18"/>
        </w:rPr>
        <w:t xml:space="preserve">curl https://&lt;your-app&gt;/api/health</w:t>
      </w:r>
    </w:p>
    <w:p>
      <w:pPr>
        <w:pBdr>
          <w:left w:val="single" w:color="256ABF" w:sz="12" w:space="6"/>
        </w:pBdr>
        <w:shd w:fill="F4F4F1" w:val="clear"/>
        <w:spacing w:after="150" w:before="0" w:line="250"/>
        <w:ind w:left="140" w:right="140"/>
      </w:pPr>
      <w:r>
        <w:rPr>
          <w:rFonts w:ascii="Consolas" w:cs="Consolas" w:eastAsia="Consolas" w:hAnsi="Consolas"/>
          <w:color w:val="0B0B0B"/>
          <w:sz w:val="18"/>
          <w:szCs w:val="18"/>
        </w:rPr>
        <w:t xml:space="preserve">{"status":"ok","database":true,"env":"production"}</w:t>
      </w:r>
    </w:p>
    <w:p>
      <w:pPr>
        <w:spacing w:after="120" w:before="60" w:line="280"/>
      </w:pPr>
      <w:r>
        <w:rPr>
          <w:color w:val="52514E"/>
          <w:sz w:val="20"/>
          <w:szCs w:val="20"/>
        </w:rPr>
        <w:t xml:space="preserve">/api/context returns the banner, the assumptions exactly as displayed, and the emission factors and prices currently in force — useful for confirming a variable actually landed. The Overview screen shows the same thing without a terminal.</w:t>
      </w:r>
    </w:p>
    <w:p>
      <w:pPr>
        <w:spacing w:after="120" w:before="60" w:line="280"/>
      </w:pPr>
      <w:r>
        <w:rPr>
          <w:color w:val="52514E"/>
          <w:sz w:val="20"/>
          <w:szCs w:val="20"/>
        </w:rPr>
        <w:t xml:space="preserve">If health reports "degraded", the message names the problem. It is almost always DATABASE_URL or a firewall rule.</w:t>
      </w:r>
    </w:p>
    <w:sectPr>
      <w:footerReference w:type="default" r:id="rId7"/>
      <w:pgSz w:w="11906" w:h="16838" w:orient="portrait"/>
      <w:pgMar w:top="118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8D6" w:sz="6" w:space="6"/>
      </w:pBdr>
      <w:spacing w:after="60"/>
    </w:pPr>
  </w:p>
  <w:p>
    <w:pPr>
      <w:tabs>
        <w:tab w:val="right" w:pos="9360"/>
      </w:tabs>
    </w:pPr>
    <w:r>
      <w:rPr>
        <w:color w:val="7A7873"/>
        <w:sz w:val="15"/>
        <w:szCs w:val="15"/>
      </w:rPr>
      <w:t xml:space="preserve">CCredits · Guide 2 of 3 · Configuring the environment</w:t>
    </w:r>
    <w:r>
      <w:tab/>
    </w:r>
    <w:r>
      <w:rPr>
        <w:b/>
        <w:bCs/>
        <w:color w:val="8A5A00"/>
        <w:sz w:val="15"/>
        <w:szCs w:val="15"/>
      </w:rPr>
      <w:t xml:space="preserve">Pilot data. Not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1BAF7A"/>
        <w:sz w:val="16"/>
        <w:szCs w:val="16"/>
      </w:rPr>
    </w:lvl>
    <w:lvl w:ilvl="1" w15:tentative="1">
      <w:start w:val="1"/>
      <w:numFmt w:val="bullet"/>
      <w:lvlText w:val="○"/>
      <w:lvlJc w:val="left"/>
      <w:pPr>
        <w:ind w:left="760" w:hanging="220"/>
      </w:pPr>
      <w:rPr>
        <w:color w:val="2A78D6"/>
        <w:sz w:val="16"/>
        <w:szCs w:val="16"/>
      </w:rPr>
    </w:lvl>
  </w:abstractNum>
  <w:abstractNum w:abstractNumId="3" w15:restartNumberingAfterBreak="0">
    <w:multiLevelType w:val="hybridMultilevel"/>
    <w:lvl w:ilvl="0" w15:tentative="1">
      <w:start w:val="1"/>
      <w:numFmt w:val="decimal"/>
      <w:lvlText w:val="%1."/>
      <w:lvlJc w:val="left"/>
      <w:pPr>
        <w:ind w:left="400" w:hanging="260"/>
      </w:pPr>
      <w:rPr>
        <w:b/>
        <w:bCs/>
        <w:color w:val="256AB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2514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CCredits — Configuring the environment</dc:title>
  <dc:creator>CCredits</dc:creator>
  <dc:description>CCredits · Guide 2 of 3 · Configuring the environment</dc:description>
  <cp:lastModifiedBy>Un-named</cp:lastModifiedBy>
  <cp:revision>1</cp:revision>
  <dcterms:created xsi:type="dcterms:W3CDTF">2026-09-14T13:07:17.873Z</dcterms:created>
  <dcterms:modified xsi:type="dcterms:W3CDTF">2026-09-14T13:07:17.874Z</dcterms:modified>
</cp:coreProperties>
</file>

<file path=docProps/custom.xml><?xml version="1.0" encoding="utf-8"?>
<Properties xmlns="http://schemas.openxmlformats.org/officeDocument/2006/custom-properties" xmlns:vt="http://schemas.openxmlformats.org/officeDocument/2006/docPropsVTypes"/>
</file>