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4A3AA7"/>
          <w:spacing w:val="40"/>
          <w:sz w:val="17"/>
          <w:szCs w:val="17"/>
        </w:rPr>
        <w:t xml:space="preserve">CCREDITS · GUIDE 3 OF 3</w:t>
      </w:r>
    </w:p>
    <w:p>
      <w:pPr>
        <w:spacing w:after="130"/>
      </w:pPr>
      <w:r>
        <w:rPr>
          <w:b/>
          <w:bCs/>
          <w:color w:val="0B0B0B"/>
          <w:sz w:val="46"/>
          <w:szCs w:val="46"/>
        </w:rPr>
        <w:t xml:space="preserve">The data model</w:t>
      </w:r>
    </w:p>
    <w:p>
      <w:pPr>
        <w:pBdr>
          <w:bottom w:val="single" w:color="4A3AA7" w:sz="20" w:space="1"/>
        </w:pBdr>
        <w:spacing w:after="170"/>
      </w:pPr>
    </w:p>
    <w:p>
      <w:pPr>
        <w:spacing w:after="260" w:line="300"/>
      </w:pPr>
      <w:r>
        <w:rPr>
          <w:color w:val="52514E"/>
          <w:sz w:val="22"/>
          <w:szCs w:val="22"/>
        </w:rPr>
        <w:t xml:space="preserve">Three schemas in one Postgres database, named so that anyone opening it understands the product before it is explained. Bronze holds what the files said. Silver holds the rules. Gold holds the numbers. This guide covers every table and view, and how each one is built from the one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4A3AA7" w:sz="18"/>
              <w:bottom w:val="nil"/>
              <w:right w:val="nil"/>
            </w:tcBorders>
            <w:shd w:fill="EEEBFA" w:val="clear"/>
            <w:tcMar>
              <w:top w:type="dxa" w:w="140"/>
              <w:left w:type="dxa" w:w="180"/>
              <w:bottom w:type="dxa" w:w="140"/>
              <w:right w:type="dxa" w:w="180"/>
            </w:tcMar>
          </w:tcPr>
          <w:p>
            <w:pPr>
              <w:spacing w:line="280"/>
            </w:pPr>
            <w:r>
              <w:rPr>
                <w:b/>
                <w:bCs/>
                <w:color w:val="4A3AA7"/>
                <w:sz w:val="20"/>
                <w:szCs w:val="20"/>
              </w:rPr>
              <w:t xml:space="preserve">One sentence version.  </w:t>
            </w:r>
            <w:r>
              <w:rPr>
                <w:color w:val="52514E"/>
                <w:sz w:val="20"/>
                <w:szCs w:val="20"/>
              </w:rPr>
              <w:t xml:space="preserve">Bronze is the only thing stored. Silver and Gold are SQL views, so a new upload or a changed threshold recomputes everything on the next query — there is nothing to refresh and nothing to go stale.</w:t>
            </w:r>
          </w:p>
        </w:tc>
      </w:tr>
    </w:tbl>
    <w:p>
      <w:pPr>
        <w:spacing w:after="240"/>
      </w:pPr>
    </w:p>
    <w:p>
      <w:pPr>
        <w:pStyle w:val="Heading1"/>
        <w:pBdr>
          <w:bottom w:val="single" w:color="4A3AA7" w:sz="10" w:space="6"/>
        </w:pBdr>
        <w:spacing w:after="140" w:before="380"/>
      </w:pPr>
      <w:r>
        <w:rPr>
          <w:b/>
          <w:bCs/>
          <w:color w:val="4A3AA7"/>
          <w:sz w:val="30"/>
          <w:szCs w:val="30"/>
        </w:rPr>
        <w:t xml:space="preserve">1 · The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il"/>
              <w:left w:val="nil"/>
              <w:bottom w:val="nil"/>
              <w:right w:val="nil"/>
            </w:tcBorders>
            <w:shd w:fill="A07A2E" w:val="clear"/>
            <w:tcMar>
              <w:top w:type="dxa" w:w="150"/>
              <w:left w:type="dxa" w:w="160"/>
              <w:bottom w:type="dxa" w:w="150"/>
              <w:right w:type="dxa" w:w="120"/>
            </w:tcMar>
          </w:tcPr>
          <w:p>
            <w:pPr>
              <w:spacing w:after="30"/>
            </w:pPr>
            <w:r>
              <w:rPr>
                <w:b/>
                <w:bCs/>
                <w:color w:val="FFFFFF"/>
                <w:sz w:val="24"/>
                <w:szCs w:val="24"/>
              </w:rPr>
              <w:t xml:space="preserve">BRONZE</w:t>
            </w:r>
          </w:p>
          <w:p>
            <w:pPr>
              <w:spacing w:after="0"/>
            </w:pPr>
            <w:r>
              <w:rPr>
                <w:color w:val="FFFFFF"/>
                <w:sz w:val="15"/>
                <w:szCs w:val="15"/>
              </w:rPr>
              <w:t xml:space="preserve">stored · immutable</w:t>
            </w:r>
          </w:p>
        </w:tc>
        <w:tc>
          <w:tcPr>
            <w:tcW w:type="dxa" w:w="7260"/>
            <w:tcBorders>
              <w:top w:val="nil"/>
              <w:left w:val="nil"/>
              <w:bottom w:val="nil"/>
              <w:right w:val="nil"/>
            </w:tcBorders>
            <w:shd w:fill="F2EFE6" w:val="clear"/>
            <w:tcMar>
              <w:top w:type="dxa" w:w="150"/>
              <w:left w:type="dxa" w:w="180"/>
              <w:bottom w:type="dxa" w:w="150"/>
              <w:right w:type="dxa" w:w="160"/>
            </w:tcMar>
          </w:tcPr>
          <w:p>
            <w:pPr>
              <w:spacing w:after="60" w:line="260"/>
            </w:pPr>
            <w:r>
              <w:rPr>
                <w:rFonts w:ascii="Consolas" w:cs="Consolas" w:eastAsia="Consolas" w:hAnsi="Consolas"/>
                <w:b/>
                <w:bCs/>
                <w:color w:val="0B0B0B"/>
                <w:sz w:val="18"/>
                <w:szCs w:val="18"/>
              </w:rPr>
              <w:t xml:space="preserve">source_file · reading · site · file_overlap</w:t>
            </w:r>
          </w:p>
          <w:p>
            <w:pPr>
              <w:spacing w:after="0" w:line="260"/>
            </w:pPr>
            <w:r>
              <w:rPr>
                <w:color w:val="52514E"/>
                <w:sz w:val="19"/>
                <w:szCs w:val="19"/>
              </w:rPr>
              <w:t xml:space="preserve">One row per value read out of a spreadsheet cell, with the file, the row and the column it came from. Nothing is ever updated or deleted here.</w:t>
            </w:r>
          </w:p>
        </w:tc>
      </w:tr>
    </w:tbl>
    <w:p>
      <w:pPr>
        <w:spacing w:after="70" w:before="70"/>
        <w:ind w:left="700"/>
      </w:pPr>
      <w:r>
        <w:rPr>
          <w:b/>
          <w:bCs/>
          <w:color w:val="7A7873"/>
          <w:sz w:val="17"/>
          <w:szCs w:val="17"/>
        </w:rPr>
        <w:t xml:space="preserve">▼   views, recomputed on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il"/>
              <w:left w:val="nil"/>
              <w:bottom w:val="nil"/>
              <w:right w:val="nil"/>
            </w:tcBorders>
            <w:shd w:fill="6B7A8D" w:val="clear"/>
            <w:tcMar>
              <w:top w:type="dxa" w:w="150"/>
              <w:left w:type="dxa" w:w="160"/>
              <w:bottom w:type="dxa" w:w="150"/>
              <w:right w:type="dxa" w:w="120"/>
            </w:tcMar>
          </w:tcPr>
          <w:p>
            <w:pPr>
              <w:spacing w:after="30"/>
            </w:pPr>
            <w:r>
              <w:rPr>
                <w:b/>
                <w:bCs/>
                <w:color w:val="FFFFFF"/>
                <w:sz w:val="24"/>
                <w:szCs w:val="24"/>
              </w:rPr>
              <w:t xml:space="preserve">SILVER</w:t>
            </w:r>
          </w:p>
          <w:p>
            <w:pPr>
              <w:spacing w:after="0"/>
            </w:pPr>
            <w:r>
              <w:rPr>
                <w:color w:val="FFFFFF"/>
                <w:sz w:val="15"/>
                <w:szCs w:val="15"/>
              </w:rPr>
              <w:t xml:space="preserve">views · the rules</w:t>
            </w:r>
          </w:p>
        </w:tc>
        <w:tc>
          <w:tcPr>
            <w:tcW w:type="dxa" w:w="7260"/>
            <w:tcBorders>
              <w:top w:val="nil"/>
              <w:left w:val="nil"/>
              <w:bottom w:val="nil"/>
              <w:right w:val="nil"/>
            </w:tcBorders>
            <w:shd w:fill="EFF1F3" w:val="clear"/>
            <w:tcMar>
              <w:top w:type="dxa" w:w="150"/>
              <w:left w:type="dxa" w:w="180"/>
              <w:bottom w:type="dxa" w:w="150"/>
              <w:right w:type="dxa" w:w="160"/>
            </w:tcMar>
          </w:tcPr>
          <w:p>
            <w:pPr>
              <w:spacing w:after="60" w:line="260"/>
            </w:pPr>
            <w:r>
              <w:rPr>
                <w:rFonts w:ascii="Consolas" w:cs="Consolas" w:eastAsia="Consolas" w:hAnsi="Consolas"/>
                <w:b/>
                <w:bCs/>
                <w:color w:val="0B0B0B"/>
                <w:sz w:val="16"/>
                <w:szCs w:val="16"/>
              </w:rPr>
              <w:t xml:space="preserve">generation_daily · site_day_expected · data_quality · quality_flag</w:t>
            </w:r>
          </w:p>
          <w:p>
            <w:pPr>
              <w:spacing w:after="60" w:line="260"/>
            </w:pPr>
            <w:r>
              <w:rPr>
                <w:rFonts w:ascii="Consolas" w:cs="Consolas" w:eastAsia="Consolas" w:hAnsi="Consolas"/>
                <w:b/>
                <w:bCs/>
                <w:color w:val="0B0B0B"/>
                <w:sz w:val="16"/>
                <w:szCs w:val="16"/>
              </w:rPr>
              <w:t xml:space="preserve">eligibility · site_month · fleet_month</w:t>
            </w:r>
          </w:p>
          <w:p>
            <w:pPr>
              <w:spacing w:after="0" w:line="260"/>
            </w:pPr>
            <w:r>
              <w:rPr>
                <w:color w:val="52514E"/>
                <w:sz w:val="19"/>
                <w:szCs w:val="19"/>
              </w:rPr>
              <w:t xml:space="preserve">Every rule is one readable CASE expression. This is the layer shown to a verifier.</w:t>
            </w:r>
          </w:p>
        </w:tc>
      </w:tr>
    </w:tbl>
    <w:p>
      <w:pPr>
        <w:spacing w:after="70" w:before="70"/>
        <w:ind w:left="700"/>
      </w:pPr>
      <w:r>
        <w:rPr>
          <w:b/>
          <w:bCs/>
          <w:color w:val="7A7873"/>
          <w:sz w:val="17"/>
          <w:szCs w:val="17"/>
        </w:rPr>
        <w:t xml:space="preserve">▼   views, recomputed on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il"/>
              <w:left w:val="nil"/>
              <w:bottom w:val="nil"/>
              <w:right w:val="nil"/>
            </w:tcBorders>
            <w:shd w:fill="0A6E4C" w:val="clear"/>
            <w:tcMar>
              <w:top w:type="dxa" w:w="150"/>
              <w:left w:type="dxa" w:w="160"/>
              <w:bottom w:type="dxa" w:w="150"/>
              <w:right w:type="dxa" w:w="120"/>
            </w:tcMar>
          </w:tcPr>
          <w:p>
            <w:pPr>
              <w:spacing w:after="30"/>
            </w:pPr>
            <w:r>
              <w:rPr>
                <w:b/>
                <w:bCs/>
                <w:color w:val="FFFFFF"/>
                <w:sz w:val="24"/>
                <w:szCs w:val="24"/>
              </w:rPr>
              <w:t xml:space="preserve">GOLD</w:t>
            </w:r>
          </w:p>
          <w:p>
            <w:pPr>
              <w:spacing w:after="0"/>
            </w:pPr>
            <w:r>
              <w:rPr>
                <w:color w:val="FFFFFF"/>
                <w:sz w:val="15"/>
                <w:szCs w:val="15"/>
              </w:rPr>
              <w:t xml:space="preserve">views · the numbers</w:t>
            </w:r>
          </w:p>
        </w:tc>
        <w:tc>
          <w:tcPr>
            <w:tcW w:type="dxa" w:w="7260"/>
            <w:tcBorders>
              <w:top w:val="nil"/>
              <w:left w:val="nil"/>
              <w:bottom w:val="nil"/>
              <w:right w:val="nil"/>
            </w:tcBorders>
            <w:shd w:fill="E4F6EF" w:val="clear"/>
            <w:tcMar>
              <w:top w:type="dxa" w:w="150"/>
              <w:left w:type="dxa" w:w="180"/>
              <w:bottom w:type="dxa" w:w="150"/>
              <w:right w:type="dxa" w:w="160"/>
            </w:tcMar>
          </w:tcPr>
          <w:p>
            <w:pPr>
              <w:spacing w:after="60" w:line="260"/>
            </w:pPr>
            <w:r>
              <w:rPr>
                <w:rFonts w:ascii="Consolas" w:cs="Consolas" w:eastAsia="Consolas" w:hAnsi="Consolas"/>
                <w:b/>
                <w:bCs/>
                <w:color w:val="0B0B0B"/>
                <w:sz w:val="16"/>
                <w:szCs w:val="16"/>
              </w:rPr>
              <w:t xml:space="preserve">factor_by_month · carbon · vcu · price_by_month · revenue</w:t>
            </w:r>
          </w:p>
          <w:p>
            <w:pPr>
              <w:spacing w:after="60" w:line="260"/>
            </w:pPr>
            <w:r>
              <w:rPr>
                <w:rFonts w:ascii="Consolas" w:cs="Consolas" w:eastAsia="Consolas" w:hAnsi="Consolas"/>
                <w:b/>
                <w:bCs/>
                <w:color w:val="0B0B0B"/>
                <w:sz w:val="16"/>
                <w:szCs w:val="16"/>
              </w:rPr>
              <w:t xml:space="preserve">fleet_summary · fleet_table · lineage</w:t>
            </w:r>
          </w:p>
          <w:p>
            <w:pPr>
              <w:spacing w:after="0" w:line="260"/>
            </w:pPr>
            <w:r>
              <w:rPr>
                <w:color w:val="52514E"/>
                <w:sz w:val="19"/>
                <w:szCs w:val="19"/>
              </w:rPr>
              <w:t xml:space="preserve">Emission reductions, whole VCUs with carry-forward, indicative revenue — and the lineage that walks any of them back to a cell.</w:t>
            </w:r>
          </w:p>
        </w:tc>
      </w:tr>
    </w:tbl>
    <w:p>
      <w:pPr>
        <w:spacing w:after="200"/>
      </w:pPr>
    </w:p>
    <w:p>
      <w:pPr>
        <w:spacing w:after="120" w:before="60" w:line="280"/>
      </w:pPr>
      <w:r>
        <w:rPr>
          <w:color w:val="52514E"/>
          <w:sz w:val="20"/>
          <w:szCs w:val="20"/>
        </w:rPr>
        <w:t xml:space="preserve">The schema names are the demo. Someone looking at the database should see bronze, silver and gold and understand the product before anyone explains it.</w:t>
      </w:r>
    </w:p>
    <w:p>
      <w:r>
        <w:br w:type="page"/>
      </w:r>
    </w:p>
    <w:p>
      <w:pPr>
        <w:pStyle w:val="Heading1"/>
        <w:pBdr>
          <w:bottom w:val="single" w:color="A07A2E" w:sz="10" w:space="6"/>
        </w:pBdr>
        <w:spacing w:after="140" w:before="380"/>
      </w:pPr>
      <w:r>
        <w:rPr>
          <w:b/>
          <w:bCs/>
          <w:color w:val="A07A2E"/>
          <w:sz w:val="30"/>
          <w:szCs w:val="30"/>
        </w:rPr>
        <w:t xml:space="preserve">2 · Bronze — what the files said</w:t>
      </w:r>
    </w:p>
    <w:p>
      <w:pPr>
        <w:spacing w:after="120" w:before="60" w:line="280"/>
      </w:pPr>
      <w:r>
        <w:rPr>
          <w:color w:val="52514E"/>
          <w:sz w:val="20"/>
          <w:szCs w:val="20"/>
        </w:rPr>
        <w:t xml:space="preserve">Four tables. These are the only stored data in the system.</w:t>
      </w:r>
    </w:p>
    <w:p>
      <w:pPr>
        <w:pStyle w:val="Heading3"/>
        <w:spacing w:after="80" w:before="190"/>
      </w:pPr>
      <w:r>
        <w:rPr>
          <w:b/>
          <w:bCs/>
          <w:color w:val="52514E"/>
          <w:sz w:val="21"/>
          <w:szCs w:val="21"/>
        </w:rPr>
        <w:t xml:space="preserve">bronze.source_file — one row per uploaded file</w:t>
      </w:r>
    </w:p>
    <w:tbl>
      <w:tblPr>
        <w:tblW w:type="dxa" w:w="9360"/>
        <w:tblBorders>
          <w:top w:val="single" w:color="E3E2DD" w:sz="2"/>
          <w:left w:val="nil"/>
          <w:bottom w:val="single" w:color="E3E2DD" w:sz="2"/>
          <w:right w:val="nil"/>
          <w:insideH w:val="single" w:color="E3E2DD" w:sz="2"/>
          <w:insideV w:val="nil"/>
        </w:tblBorders>
      </w:tblPr>
      <w:tblGrid>
        <w:gridCol w:w="3370"/>
        <w:gridCol w:w="5990"/>
      </w:tblGrid>
      <w:tr>
        <w:trPr>
          <w:tblHeader/>
        </w:trPr>
        <w:tc>
          <w:tcPr>
            <w:tcW w:type="dxa" w:w="3370"/>
            <w:shd w:fill="A07A2E" w:val="clear"/>
            <w:tcMar>
              <w:top w:type="dxa" w:w="90"/>
              <w:left w:type="dxa" w:w="120"/>
              <w:bottom w:type="dxa" w:w="90"/>
              <w:right w:type="dxa" w:w="120"/>
            </w:tcMar>
          </w:tcPr>
          <w:p>
            <w:pPr>
              <w:spacing w:after="0" w:before="0"/>
            </w:pPr>
            <w:r>
              <w:rPr>
                <w:b/>
                <w:bCs/>
                <w:color w:val="FFFFFF"/>
                <w:spacing w:val="20"/>
                <w:sz w:val="17"/>
                <w:szCs w:val="17"/>
              </w:rPr>
              <w:t xml:space="preserve">Column</w:t>
            </w:r>
          </w:p>
        </w:tc>
        <w:tc>
          <w:tcPr>
            <w:tcW w:type="dxa" w:w="5990"/>
            <w:shd w:fill="A07A2E" w:val="clear"/>
            <w:tcMar>
              <w:top w:type="dxa" w:w="90"/>
              <w:left w:type="dxa" w:w="120"/>
              <w:bottom w:type="dxa" w:w="90"/>
              <w:right w:type="dxa" w:w="120"/>
            </w:tcMar>
          </w:tcPr>
          <w:p>
            <w:pPr>
              <w:spacing w:after="0" w:before="0"/>
            </w:pPr>
            <w:r>
              <w:rPr>
                <w:b/>
                <w:bCs/>
                <w:color w:val="FFFFFF"/>
                <w:spacing w:val="20"/>
                <w:sz w:val="17"/>
                <w:szCs w:val="17"/>
              </w:rPr>
              <w:t xml:space="preserve">Holds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file_id</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Surrogate key, referenced by every reading</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filename, bytes</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As uploaded</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sha256</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Unique. This is what makes a repeat upload detectable</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grain</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plant · inverter · unknown</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sheet_name, header_row</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Where in the workbook the parser found the data</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period_start, period_end</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The dates the file actually covers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row_count, values_kept, values_blank</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parse summary shown on the upload screen</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storage_path</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Where the original bytes were written</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parse_notes</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Anything recognised but unused, or unreadable — as JSON</w:t>
            </w:r>
          </w:p>
        </w:tc>
      </w:tr>
    </w:tbl>
    <w:p>
      <w:pPr>
        <w:pStyle w:val="Heading3"/>
        <w:spacing w:after="80" w:before="190"/>
      </w:pPr>
      <w:r>
        <w:rPr>
          <w:b/>
          <w:bCs/>
          <w:color w:val="52514E"/>
          <w:sz w:val="21"/>
          <w:szCs w:val="21"/>
        </w:rPr>
        <w:t xml:space="preserve">bronze.reading — long format, one row per cell</w:t>
      </w:r>
    </w:p>
    <w:p>
      <w:pPr>
        <w:spacing w:after="120" w:before="60" w:line="280"/>
      </w:pPr>
      <w:r>
        <w:rPr>
          <w:color w:val="52514E"/>
          <w:sz w:val="20"/>
          <w:szCs w:val="20"/>
        </w:rPr>
        <w:t xml:space="preserve">Exactly what the parser emits. This shape is what makes lineage possible: every value knows the file, the row and the column it came from.</w:t>
      </w:r>
    </w:p>
    <w:tbl>
      <w:tblPr>
        <w:tblW w:type="dxa" w:w="9360"/>
        <w:tblBorders>
          <w:top w:val="single" w:color="E3E2DD" w:sz="2"/>
          <w:left w:val="nil"/>
          <w:bottom w:val="single" w:color="E3E2DD" w:sz="2"/>
          <w:right w:val="nil"/>
          <w:insideH w:val="single" w:color="E3E2DD" w:sz="2"/>
          <w:insideV w:val="nil"/>
        </w:tblBorders>
      </w:tblPr>
      <w:tblGrid>
        <w:gridCol w:w="3370"/>
        <w:gridCol w:w="5990"/>
      </w:tblGrid>
      <w:tr>
        <w:trPr>
          <w:tblHeader/>
        </w:trPr>
        <w:tc>
          <w:tcPr>
            <w:tcW w:type="dxa" w:w="3370"/>
            <w:shd w:fill="A07A2E" w:val="clear"/>
            <w:tcMar>
              <w:top w:type="dxa" w:w="90"/>
              <w:left w:type="dxa" w:w="120"/>
              <w:bottom w:type="dxa" w:w="90"/>
              <w:right w:type="dxa" w:w="120"/>
            </w:tcMar>
          </w:tcPr>
          <w:p>
            <w:pPr>
              <w:spacing w:after="0" w:before="0"/>
            </w:pPr>
            <w:r>
              <w:rPr>
                <w:b/>
                <w:bCs/>
                <w:color w:val="FFFFFF"/>
                <w:spacing w:val="20"/>
                <w:sz w:val="17"/>
                <w:szCs w:val="17"/>
              </w:rPr>
              <w:t xml:space="preserve">Column</w:t>
            </w:r>
          </w:p>
        </w:tc>
        <w:tc>
          <w:tcPr>
            <w:tcW w:type="dxa" w:w="5990"/>
            <w:shd w:fill="A07A2E" w:val="clear"/>
            <w:tcMar>
              <w:top w:type="dxa" w:w="90"/>
              <w:left w:type="dxa" w:w="120"/>
              <w:bottom w:type="dxa" w:w="90"/>
              <w:right w:type="dxa" w:w="120"/>
            </w:tcMar>
          </w:tcPr>
          <w:p>
            <w:pPr>
              <w:spacing w:after="0" w:before="0"/>
            </w:pPr>
            <w:r>
              <w:rPr>
                <w:b/>
                <w:bCs/>
                <w:color w:val="FFFFFF"/>
                <w:spacing w:val="20"/>
                <w:sz w:val="17"/>
                <w:szCs w:val="17"/>
              </w:rPr>
              <w:t xml:space="preserve">Holds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reading_id</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Surrogate key</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file_id</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Which upload this came from</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source_row, source_col</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cell, as a human counts them — row 3, column BK</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plant_name, device_sn</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Who generated it</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reading_date</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day it refers to</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metric, metric_label</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Canonical key, plus the raw header text as written in the file</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value, unit</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number and its unit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A07A2E" w:sz="18"/>
              <w:bottom w:val="nil"/>
              <w:right w:val="nil"/>
            </w:tcBorders>
            <w:shd w:fill="F7F2E6" w:val="clear"/>
            <w:tcMar>
              <w:top w:type="dxa" w:w="140"/>
              <w:left w:type="dxa" w:w="180"/>
              <w:bottom w:type="dxa" w:w="140"/>
              <w:right w:type="dxa" w:w="180"/>
            </w:tcMar>
          </w:tcPr>
          <w:p>
            <w:pPr>
              <w:spacing w:line="280"/>
            </w:pPr>
            <w:r>
              <w:rPr>
                <w:b/>
                <w:bCs/>
                <w:color w:val="A07A2E"/>
                <w:sz w:val="20"/>
                <w:szCs w:val="20"/>
              </w:rPr>
              <w:t xml:space="preserve">Immutable, deliberately.  </w:t>
            </w:r>
            <w:r>
              <w:rPr>
                <w:color w:val="52514E"/>
                <w:sz w:val="20"/>
                <w:szCs w:val="20"/>
              </w:rPr>
              <w:t xml:space="preserve">Nothing ever updates a row here. Re-uploading a period inserts a new file and new readings; which one wins is decided in Silver, and the loser stays visible as superseded.</w:t>
            </w:r>
          </w:p>
        </w:tc>
      </w:tr>
    </w:tbl>
    <w:p>
      <w:pPr>
        <w:pStyle w:val="Heading3"/>
        <w:spacing w:after="80" w:before="190"/>
      </w:pPr>
      <w:r>
        <w:rPr>
          <w:b/>
          <w:bCs/>
          <w:color w:val="52514E"/>
          <w:sz w:val="21"/>
          <w:szCs w:val="21"/>
        </w:rPr>
        <w:t xml:space="preserve">bronze.site — the fleet master</w:t>
      </w:r>
    </w:p>
    <w:p>
      <w:pPr>
        <w:spacing w:after="120" w:before="60" w:line="280"/>
      </w:pPr>
      <w:r>
        <w:rPr>
          <w:color w:val="52514E"/>
          <w:sz w:val="20"/>
          <w:szCs w:val="20"/>
        </w:rPr>
        <w:t xml:space="preserve">Derived from the plant information columns and upserted on every load. A load never overwrites a known value with a blank one, so a device report that omits capacity cannot wipe the capacity a plant list supplied.</w:t>
      </w:r>
    </w:p>
    <w:p>
      <w:pPr>
        <w:spacing w:after="120" w:before="60" w:line="280"/>
      </w:pPr>
      <w:r>
        <w:rPr>
          <w:rFonts w:ascii="Consolas" w:cs="Consolas" w:eastAsia="Consolas" w:hAnsi="Consolas"/>
          <w:color w:val="3A2D85"/>
          <w:sz w:val="16"/>
          <w:szCs w:val="16"/>
        </w:rPr>
        <w:t xml:space="preserve">plant_name (key) · installed_kwp · plant_type · grid_connection_date · address · plant_status · first_seen_file_id · last_seen_file_id</w:t>
      </w:r>
    </w:p>
    <w:p>
      <w:pPr>
        <w:pStyle w:val="Heading3"/>
        <w:spacing w:after="80" w:before="190"/>
      </w:pPr>
      <w:r>
        <w:rPr>
          <w:b/>
          <w:bCs/>
          <w:color w:val="52514E"/>
          <w:sz w:val="21"/>
          <w:szCs w:val="21"/>
        </w:rPr>
        <w:t xml:space="preserve">bronze.file_overlap</w:t>
      </w:r>
    </w:p>
    <w:p>
      <w:pPr>
        <w:spacing w:after="120" w:before="60" w:line="280"/>
      </w:pPr>
      <w:r>
        <w:rPr>
          <w:color w:val="52514E"/>
          <w:sz w:val="20"/>
          <w:szCs w:val="20"/>
        </w:rPr>
        <w:t xml:space="preserve">Records that a new upload covered dates an earlier one already had. The overlap is recorded rather than resolved by deletion; Silver decides which reading wins.</w:t>
      </w:r>
    </w:p>
    <w:p>
      <w:r>
        <w:br w:type="page"/>
      </w:r>
    </w:p>
    <w:p>
      <w:pPr>
        <w:pStyle w:val="Heading1"/>
        <w:pBdr>
          <w:bottom w:val="single" w:color="6B7A8D" w:sz="10" w:space="6"/>
        </w:pBdr>
        <w:spacing w:after="140" w:before="380"/>
      </w:pPr>
      <w:r>
        <w:rPr>
          <w:b/>
          <w:bCs/>
          <w:color w:val="6B7A8D"/>
          <w:sz w:val="30"/>
          <w:szCs w:val="30"/>
        </w:rPr>
        <w:t xml:space="preserve">3 · Silver — the rules</w:t>
      </w:r>
    </w:p>
    <w:p>
      <w:pPr>
        <w:spacing w:after="120" w:before="60" w:line="280"/>
      </w:pPr>
      <w:r>
        <w:rPr>
          <w:color w:val="52514E"/>
          <w:sz w:val="20"/>
          <w:szCs w:val="20"/>
        </w:rPr>
        <w:t xml:space="preserve">Views only. Every rule lives in a readable SQL statement, because this is the layer that gets shown to a verifier. They build on each other in the order below.</w:t>
      </w:r>
    </w:p>
    <w:p>
      <w:pPr>
        <w:pStyle w:val="Heading3"/>
        <w:spacing w:after="80" w:before="190"/>
      </w:pPr>
      <w:r>
        <w:rPr>
          <w:b/>
          <w:bCs/>
          <w:color w:val="52514E"/>
          <w:sz w:val="21"/>
          <w:szCs w:val="21"/>
        </w:rPr>
        <w:t xml:space="preserve">3.1 · silver.file_site_day</w:t>
      </w:r>
    </w:p>
    <w:p>
      <w:pPr>
        <w:spacing w:after="120" w:before="60" w:line="280"/>
      </w:pPr>
      <w:r>
        <w:rPr>
          <w:color w:val="52514E"/>
          <w:sz w:val="20"/>
          <w:szCs w:val="20"/>
        </w:rPr>
        <w:t xml:space="preserve">Each file’s own account of a site-day. Inverter-grain files are summed across devices; plant-grain files pass the plant row straight through.</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bronze.reading + bronze.source_file   →   one row per (file, site, day)</w:t>
      </w:r>
    </w:p>
    <w:p>
      <w:pPr>
        <w:pStyle w:val="Heading3"/>
        <w:spacing w:after="80" w:before="190"/>
      </w:pPr>
      <w:r>
        <w:rPr>
          <w:b/>
          <w:bCs/>
          <w:color w:val="52514E"/>
          <w:sz w:val="21"/>
          <w:szCs w:val="21"/>
        </w:rPr>
        <w:t xml:space="preserve">3.2 · silver.generation_daily</w:t>
      </w:r>
    </w:p>
    <w:p>
      <w:pPr>
        <w:spacing w:after="120" w:before="60" w:line="280"/>
      </w:pPr>
      <w:r>
        <w:rPr>
          <w:color w:val="52514E"/>
          <w:sz w:val="20"/>
          <w:szCs w:val="20"/>
        </w:rPr>
        <w:t xml:space="preserve">One row per site per day. Where two files cover the same site-day, the most recently uploaded one wins; the loser is kept and exposed as silver.superseded_site_day. This is how supersession works without ever deleting anything.</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DISTINCT ON (plant_name, reading_date)  ORDER BY uploaded_at DESC</w:t>
      </w:r>
    </w:p>
    <w:p>
      <w:pPr>
        <w:pStyle w:val="Heading3"/>
        <w:spacing w:after="80" w:before="190"/>
      </w:pPr>
      <w:r>
        <w:rPr>
          <w:b/>
          <w:bCs/>
          <w:color w:val="52514E"/>
          <w:sz w:val="21"/>
          <w:szCs w:val="21"/>
        </w:rPr>
        <w:t xml:space="preserve">3.3 · silver.site_day_expected</w:t>
      </w:r>
    </w:p>
    <w:p>
      <w:pPr>
        <w:spacing w:after="120" w:before="60" w:line="280"/>
      </w:pPr>
      <w:r>
        <w:rPr>
          <w:color w:val="52514E"/>
          <w:sz w:val="20"/>
          <w:szCs w:val="20"/>
        </w:rPr>
        <w:t xml:space="preserve">A row per site per day across the whole loaded window, whether or not data exists. Without this, gaps are invisible — a missing day simply would not appear. This is the view that makes absence visible.</w:t>
      </w:r>
    </w:p>
    <w:p>
      <w:pPr>
        <w:pBdr>
          <w:left w:val="single" w:color="256ABF" w:sz="12" w:space="6"/>
        </w:pBdr>
        <w:shd w:fill="F4F4F1" w:val="clear"/>
        <w:spacing w:after="150" w:before="100" w:line="250"/>
        <w:ind w:left="140" w:right="140"/>
      </w:pPr>
      <w:r>
        <w:rPr>
          <w:rFonts w:ascii="Consolas" w:cs="Consolas" w:eastAsia="Consolas" w:hAnsi="Consolas"/>
          <w:color w:val="0B0B0B"/>
          <w:sz w:val="18"/>
          <w:szCs w:val="18"/>
        </w:rPr>
        <w:t xml:space="preserve">bronze.site  CROSS JOIN  generate_series(window_start, window_end)</w:t>
      </w:r>
    </w:p>
    <w:p>
      <w:pPr>
        <w:pStyle w:val="Heading3"/>
        <w:spacing w:after="80" w:before="190"/>
      </w:pPr>
      <w:r>
        <w:rPr>
          <w:b/>
          <w:bCs/>
          <w:color w:val="52514E"/>
          <w:sz w:val="21"/>
          <w:szCs w:val="21"/>
        </w:rPr>
        <w:t xml:space="preserve">3.4 · silver.data_quality</w:t>
      </w:r>
    </w:p>
    <w:p>
      <w:pPr>
        <w:spacing w:after="120" w:before="60" w:line="280"/>
      </w:pPr>
      <w:r>
        <w:rPr>
          <w:color w:val="52514E"/>
          <w:sz w:val="20"/>
          <w:szCs w:val="20"/>
        </w:rPr>
        <w:t xml:space="preserve">One boolean per rule, each its own CASE expression that can be read aloud.</w:t>
      </w:r>
    </w:p>
    <w:tbl>
      <w:tblPr>
        <w:tblW w:type="dxa" w:w="9360"/>
        <w:tblBorders>
          <w:top w:val="single" w:color="E3E2DD" w:sz="2"/>
          <w:left w:val="nil"/>
          <w:bottom w:val="single" w:color="E3E2DD" w:sz="2"/>
          <w:right w:val="nil"/>
          <w:insideH w:val="single" w:color="E3E2DD" w:sz="2"/>
          <w:insideV w:val="nil"/>
        </w:tblBorders>
      </w:tblPr>
      <w:tblGrid>
        <w:gridCol w:w="3557"/>
        <w:gridCol w:w="5803"/>
      </w:tblGrid>
      <w:tr>
        <w:trPr>
          <w:tblHeader/>
        </w:trPr>
        <w:tc>
          <w:tcPr>
            <w:tcW w:type="dxa" w:w="3557"/>
            <w:shd w:fill="6B7A8D" w:val="clear"/>
            <w:tcMar>
              <w:top w:type="dxa" w:w="90"/>
              <w:left w:type="dxa" w:w="120"/>
              <w:bottom w:type="dxa" w:w="90"/>
              <w:right w:type="dxa" w:w="120"/>
            </w:tcMar>
          </w:tcPr>
          <w:p>
            <w:pPr>
              <w:spacing w:after="0" w:before="0"/>
            </w:pPr>
            <w:r>
              <w:rPr>
                <w:b/>
                <w:bCs/>
                <w:color w:val="FFFFFF"/>
                <w:spacing w:val="20"/>
                <w:sz w:val="17"/>
                <w:szCs w:val="17"/>
              </w:rPr>
              <w:t xml:space="preserve">Flag</w:t>
            </w:r>
          </w:p>
        </w:tc>
        <w:tc>
          <w:tcPr>
            <w:tcW w:type="dxa" w:w="5803"/>
            <w:shd w:fill="6B7A8D" w:val="clear"/>
            <w:tcMar>
              <w:top w:type="dxa" w:w="90"/>
              <w:left w:type="dxa" w:w="120"/>
              <w:bottom w:type="dxa" w:w="90"/>
              <w:right w:type="dxa" w:w="120"/>
            </w:tcMar>
          </w:tcPr>
          <w:p>
            <w:pPr>
              <w:spacing w:after="0" w:before="0"/>
            </w:pPr>
            <w:r>
              <w:rPr>
                <w:b/>
                <w:bCs/>
                <w:color w:val="FFFFFF"/>
                <w:spacing w:val="20"/>
                <w:sz w:val="17"/>
                <w:szCs w:val="17"/>
              </w:rPr>
              <w:t xml:space="preserve">True when</w:t>
            </w:r>
          </w:p>
        </w:tc>
      </w:tr>
      <w:tr>
        <w:tc>
          <w:tcPr>
            <w:tcW w:type="dxa" w:w="3557"/>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is_missing</w:t>
            </w:r>
          </w:p>
        </w:tc>
        <w:tc>
          <w:tcPr>
            <w:tcW w:type="dxa" w:w="5803"/>
            <w:shd w:fill="F7F7F5" w:val="clear"/>
            <w:tcMar>
              <w:top w:type="dxa" w:w="90"/>
              <w:left w:type="dxa" w:w="120"/>
              <w:bottom w:type="dxa" w:w="90"/>
              <w:right w:type="dxa" w:w="120"/>
            </w:tcMar>
          </w:tcPr>
          <w:p>
            <w:pPr>
              <w:spacing w:after="0" w:before="0" w:line="260"/>
            </w:pPr>
            <w:r>
              <w:rPr>
                <w:color w:val="52514E"/>
                <w:sz w:val="18"/>
                <w:szCs w:val="18"/>
              </w:rPr>
              <w:t xml:space="preserve">No row exists for that site on that day</w:t>
            </w:r>
          </w:p>
        </w:tc>
      </w:tr>
      <w:tr>
        <w:tc>
          <w:tcPr>
            <w:tcW w:type="dxa" w:w="3557"/>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is_zero</w:t>
            </w:r>
          </w:p>
        </w:tc>
        <w:tc>
          <w:tcPr>
            <w:tcW w:type="dxa" w:w="5803"/>
            <w:shd w:fill="FFFFFF" w:val="clear"/>
            <w:tcMar>
              <w:top w:type="dxa" w:w="90"/>
              <w:left w:type="dxa" w:w="120"/>
              <w:bottom w:type="dxa" w:w="90"/>
              <w:right w:type="dxa" w:w="120"/>
            </w:tcMar>
          </w:tcPr>
          <w:p>
            <w:pPr>
              <w:spacing w:after="0" w:before="0" w:line="260"/>
            </w:pPr>
            <w:r>
              <w:rPr>
                <w:color w:val="52514E"/>
                <w:sz w:val="18"/>
                <w:szCs w:val="18"/>
              </w:rPr>
              <w:t xml:space="preserve">Generation is exactly zero</w:t>
            </w:r>
          </w:p>
        </w:tc>
      </w:tr>
      <w:tr>
        <w:tc>
          <w:tcPr>
            <w:tcW w:type="dxa" w:w="3557"/>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is_negative</w:t>
            </w:r>
          </w:p>
        </w:tc>
        <w:tc>
          <w:tcPr>
            <w:tcW w:type="dxa" w:w="5803"/>
            <w:shd w:fill="F7F7F5" w:val="clear"/>
            <w:tcMar>
              <w:top w:type="dxa" w:w="90"/>
              <w:left w:type="dxa" w:w="120"/>
              <w:bottom w:type="dxa" w:w="90"/>
              <w:right w:type="dxa" w:w="120"/>
            </w:tcMar>
          </w:tcPr>
          <w:p>
            <w:pPr>
              <w:spacing w:after="0" w:before="0" w:line="260"/>
            </w:pPr>
            <w:r>
              <w:rPr>
                <w:color w:val="52514E"/>
                <w:sz w:val="18"/>
                <w:szCs w:val="18"/>
              </w:rPr>
              <w:t xml:space="preserve">Generation is below zero</w:t>
            </w:r>
          </w:p>
        </w:tc>
      </w:tr>
      <w:tr>
        <w:tc>
          <w:tcPr>
            <w:tcW w:type="dxa" w:w="3557"/>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is_implausible</w:t>
            </w:r>
          </w:p>
        </w:tc>
        <w:tc>
          <w:tcPr>
            <w:tcW w:type="dxa" w:w="5803"/>
            <w:shd w:fill="FFFFFF" w:val="clear"/>
            <w:tcMar>
              <w:top w:type="dxa" w:w="90"/>
              <w:left w:type="dxa" w:w="120"/>
              <w:bottom w:type="dxa" w:w="90"/>
              <w:right w:type="dxa" w:w="120"/>
            </w:tcMar>
          </w:tcPr>
          <w:p>
            <w:pPr>
              <w:spacing w:after="0" w:before="0" w:line="260"/>
            </w:pPr>
            <w:r>
              <w:rPr>
                <w:color w:val="52514E"/>
                <w:sz w:val="18"/>
                <w:szCs w:val="18"/>
              </w:rPr>
              <w:t xml:space="preserve">Specific yield exceeds the configured threshold</w:t>
            </w:r>
          </w:p>
        </w:tc>
      </w:tr>
      <w:tr>
        <w:tc>
          <w:tcPr>
            <w:tcW w:type="dxa" w:w="3557"/>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is_before_grid_connection</w:t>
            </w:r>
          </w:p>
        </w:tc>
        <w:tc>
          <w:tcPr>
            <w:tcW w:type="dxa" w:w="5803"/>
            <w:shd w:fill="F7F7F5" w:val="clear"/>
            <w:tcMar>
              <w:top w:type="dxa" w:w="90"/>
              <w:left w:type="dxa" w:w="120"/>
              <w:bottom w:type="dxa" w:w="90"/>
              <w:right w:type="dxa" w:w="120"/>
            </w:tcMar>
          </w:tcPr>
          <w:p>
            <w:pPr>
              <w:spacing w:after="0" w:before="0" w:line="260"/>
            </w:pPr>
            <w:r>
              <w:rPr>
                <w:color w:val="52514E"/>
                <w:sz w:val="18"/>
                <w:szCs w:val="18"/>
              </w:rPr>
              <w:t xml:space="preserve">The day precedes the site’s grid connection date</w:t>
            </w:r>
          </w:p>
        </w:tc>
      </w:tr>
      <w:tr>
        <w:tc>
          <w:tcPr>
            <w:tcW w:type="dxa" w:w="3557"/>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is_duplicate</w:t>
            </w:r>
          </w:p>
        </w:tc>
        <w:tc>
          <w:tcPr>
            <w:tcW w:type="dxa" w:w="5803"/>
            <w:shd w:fill="FFFFFF" w:val="clear"/>
            <w:tcMar>
              <w:top w:type="dxa" w:w="90"/>
              <w:left w:type="dxa" w:w="120"/>
              <w:bottom w:type="dxa" w:w="90"/>
              <w:right w:type="dxa" w:w="120"/>
            </w:tcMar>
          </w:tcPr>
          <w:p>
            <w:pPr>
              <w:spacing w:after="0" w:before="0" w:line="260"/>
            </w:pPr>
            <w:r>
              <w:rPr>
                <w:color w:val="52514E"/>
                <w:sz w:val="18"/>
                <w:szCs w:val="18"/>
              </w:rPr>
              <w:t xml:space="preserve">Two files disagree about this site-day by more than 0.5%</w:t>
            </w:r>
          </w:p>
        </w:tc>
      </w:tr>
      <w:tr>
        <w:tc>
          <w:tcPr>
            <w:tcW w:type="dxa" w:w="3557"/>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is_site_inactive</w:t>
            </w:r>
          </w:p>
        </w:tc>
        <w:tc>
          <w:tcPr>
            <w:tcW w:type="dxa" w:w="5803"/>
            <w:shd w:fill="F7F7F5" w:val="clear"/>
            <w:tcMar>
              <w:top w:type="dxa" w:w="90"/>
              <w:left w:type="dxa" w:w="120"/>
              <w:bottom w:type="dxa" w:w="90"/>
              <w:right w:type="dxa" w:w="120"/>
            </w:tcMar>
          </w:tcPr>
          <w:p>
            <w:pPr>
              <w:spacing w:after="0" w:before="0" w:line="260"/>
            </w:pPr>
            <w:r>
              <w:rPr>
                <w:color w:val="52514E"/>
                <w:sz w:val="18"/>
                <w:szCs w:val="18"/>
              </w:rPr>
              <w:t xml:space="preserve">The plant status is not a running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A78D6" w:sz="18"/>
              <w:bottom w:val="nil"/>
              <w:right w:val="nil"/>
            </w:tcBorders>
            <w:shd w:fill="F4F7FC" w:val="clear"/>
            <w:tcMar>
              <w:top w:type="dxa" w:w="140"/>
              <w:left w:type="dxa" w:w="180"/>
              <w:bottom w:type="dxa" w:w="140"/>
              <w:right w:type="dxa" w:w="180"/>
            </w:tcMar>
          </w:tcPr>
          <w:p>
            <w:pPr>
              <w:spacing w:line="280"/>
            </w:pPr>
            <w:r>
              <w:rPr>
                <w:b/>
                <w:bCs/>
                <w:color w:val="2A78D6"/>
                <w:sz w:val="20"/>
                <w:szCs w:val="20"/>
              </w:rPr>
              <w:t xml:space="preserve">Why is_duplicate means disagreement, not presence.  </w:t>
            </w:r>
            <w:r>
              <w:rPr>
                <w:color w:val="52514E"/>
                <w:sz w:val="20"/>
                <w:szCs w:val="20"/>
              </w:rPr>
              <w:t xml:space="preserve">Two files covering one site-day is normal — the later one wins and the earlier is kept. It is only a quality problem when the two sources disagree about the number. An earlier version flagged every day of a site that appeared in two exports, excluding a whole quarter for no reason.</w:t>
            </w:r>
          </w:p>
        </w:tc>
      </w:tr>
    </w:tbl>
    <w:p>
      <w:pPr>
        <w:pStyle w:val="Heading3"/>
        <w:spacing w:after="80" w:before="190"/>
      </w:pPr>
      <w:r>
        <w:rPr>
          <w:b/>
          <w:bCs/>
          <w:color w:val="52514E"/>
          <w:sz w:val="21"/>
          <w:szCs w:val="21"/>
        </w:rPr>
        <w:t xml:space="preserve">3.5 · silver.quality_flag</w:t>
      </w:r>
    </w:p>
    <w:p>
      <w:pPr>
        <w:spacing w:after="120" w:before="60" w:line="280"/>
      </w:pPr>
      <w:r>
        <w:rPr>
          <w:color w:val="52514E"/>
          <w:sz w:val="20"/>
          <w:szCs w:val="20"/>
        </w:rPr>
        <w:t xml:space="preserve">Collapses those booleans into one flag per site-day — ok, suspect or missing — plus the reason in words. A missing day stays missing: it is never interpolated and never quietly becomes a zero.</w:t>
      </w:r>
    </w:p>
    <w:p>
      <w:pPr>
        <w:pStyle w:val="Heading3"/>
        <w:spacing w:after="80" w:before="190"/>
      </w:pPr>
      <w:r>
        <w:rPr>
          <w:b/>
          <w:bCs/>
          <w:color w:val="52514E"/>
          <w:sz w:val="21"/>
          <w:szCs w:val="21"/>
        </w:rPr>
        <w:t xml:space="preserve">3.6 · silver.eligibility — the bridge</w:t>
      </w:r>
    </w:p>
    <w:p>
      <w:pPr>
        <w:spacing w:after="120" w:before="60" w:line="280"/>
      </w:pPr>
      <w:r>
        <w:rPr>
          <w:color w:val="52514E"/>
          <w:sz w:val="20"/>
          <w:szCs w:val="20"/>
        </w:rPr>
        <w:t xml:space="preserve">The view that connects energy to credits. Per site per day, generation is split into eligible and excluded, and every excluded kWh carries a reason.</w:t>
      </w:r>
    </w:p>
    <w:p>
      <w:pPr>
        <w:pBdr>
          <w:left w:val="single" w:color="256ABF" w:sz="12" w:space="6"/>
        </w:pBdr>
        <w:shd w:fill="E4F6EF" w:val="clear"/>
        <w:spacing w:after="0" w:before="100" w:line="250"/>
        <w:ind w:left="140" w:right="140"/>
      </w:pPr>
      <w:r>
        <w:rPr>
          <w:rFonts w:ascii="Consolas" w:cs="Consolas" w:eastAsia="Consolas" w:hAnsi="Consolas"/>
          <w:color w:val="0B0B0B"/>
          <w:sz w:val="18"/>
          <w:szCs w:val="18"/>
        </w:rPr>
        <w:t xml:space="preserve">generation_kwh   =   eligible_kwh   +   excluded_kwh</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 </w:t>
      </w:r>
    </w:p>
    <w:p>
      <w:pPr>
        <w:pBdr>
          <w:left w:val="single" w:color="256ABF" w:sz="12" w:space="6"/>
        </w:pBdr>
        <w:shd w:fill="E4F6EF" w:val="clear"/>
        <w:spacing w:after="0" w:before="0" w:line="250"/>
        <w:ind w:left="140" w:right="140"/>
      </w:pPr>
      <w:r>
        <w:rPr>
          <w:rFonts w:ascii="Consolas" w:cs="Consolas" w:eastAsia="Consolas" w:hAnsi="Consolas"/>
          <w:color w:val="0B0B0B"/>
          <w:sz w:val="18"/>
          <w:szCs w:val="18"/>
        </w:rPr>
        <w:t xml:space="preserve">exclusion_reason ∈ { before_grid_connection, site_inactive,</w:t>
      </w:r>
    </w:p>
    <w:p>
      <w:pPr>
        <w:pBdr>
          <w:left w:val="single" w:color="256ABF" w:sz="12" w:space="6"/>
        </w:pBdr>
        <w:shd w:fill="E4F6EF" w:val="clear"/>
        <w:spacing w:after="150" w:before="0" w:line="250"/>
        <w:ind w:left="140" w:right="140"/>
      </w:pPr>
      <w:r>
        <w:rPr>
          <w:rFonts w:ascii="Consolas" w:cs="Consolas" w:eastAsia="Consolas" w:hAnsi="Consolas"/>
          <w:color w:val="0B0B0B"/>
          <w:sz w:val="18"/>
          <w:szCs w:val="18"/>
        </w:rPr>
        <w:t xml:space="preserve">                     data_gap, quality_suspect }</w:t>
      </w:r>
    </w:p>
    <w:p>
      <w:pPr>
        <w:spacing w:after="120" w:before="60" w:line="280"/>
      </w:pPr>
      <w:r>
        <w:rPr>
          <w:color w:val="52514E"/>
          <w:sz w:val="20"/>
          <w:szCs w:val="20"/>
        </w:rPr>
        <w:t xml:space="preserve">Rules are applied in that order and the first match decides. This is what the river on the Overview screen draws, and the tests assert that the two sides balance exactly.</w:t>
      </w:r>
    </w:p>
    <w:p>
      <w:pPr>
        <w:pStyle w:val="Heading3"/>
        <w:spacing w:after="80" w:before="190"/>
      </w:pPr>
      <w:r>
        <w:rPr>
          <w:b/>
          <w:bCs/>
          <w:color w:val="52514E"/>
          <w:sz w:val="21"/>
          <w:szCs w:val="21"/>
        </w:rPr>
        <w:t xml:space="preserve">3.7 · silver.site_month and silver.fleet_month</w:t>
      </w:r>
    </w:p>
    <w:p>
      <w:pPr>
        <w:spacing w:after="120" w:before="60" w:line="280"/>
      </w:pPr>
      <w:r>
        <w:rPr>
          <w:color w:val="52514E"/>
          <w:sz w:val="20"/>
          <w:szCs w:val="20"/>
        </w:rPr>
        <w:t xml:space="preserve">Monthly aggregates that carry the worst child quality, never the average. One missing day makes the month "missing" — an average would let a good month hide a bad week.</w:t>
      </w:r>
    </w:p>
    <w:p>
      <w:r>
        <w:br w:type="page"/>
      </w:r>
    </w:p>
    <w:p>
      <w:pPr>
        <w:pStyle w:val="Heading1"/>
        <w:pBdr>
          <w:bottom w:val="single" w:color="0A6E4C" w:sz="10" w:space="6"/>
        </w:pBdr>
        <w:spacing w:after="140" w:before="380"/>
      </w:pPr>
      <w:r>
        <w:rPr>
          <w:b/>
          <w:bCs/>
          <w:color w:val="0A6E4C"/>
          <w:sz w:val="30"/>
          <w:szCs w:val="30"/>
        </w:rPr>
        <w:t xml:space="preserve">4 · Gold — the numbers</w:t>
      </w:r>
    </w:p>
    <w:p>
      <w:pPr>
        <w:pStyle w:val="Heading3"/>
        <w:spacing w:after="80" w:before="190"/>
      </w:pPr>
      <w:r>
        <w:rPr>
          <w:b/>
          <w:bCs/>
          <w:color w:val="52514E"/>
          <w:sz w:val="21"/>
          <w:szCs w:val="21"/>
        </w:rPr>
        <w:t xml:space="preserve">4.1 · gold.factor_by_month</w:t>
      </w:r>
    </w:p>
    <w:p>
      <w:pPr>
        <w:spacing w:after="120" w:before="60" w:line="280"/>
      </w:pPr>
      <w:r>
        <w:rPr>
          <w:color w:val="52514E"/>
          <w:sz w:val="20"/>
          <w:szCs w:val="20"/>
        </w:rPr>
        <w:t xml:space="preserve">Resolves which published emission factor applies to each month. Only the row marked active can drive a number; the other published margins are recorded as reference. If the month falls outside the factor’s published validity, this view returns none — and no reduction is claimed.</w:t>
      </w:r>
    </w:p>
    <w:p>
      <w:pPr>
        <w:pStyle w:val="Heading3"/>
        <w:spacing w:after="80" w:before="190"/>
      </w:pPr>
      <w:r>
        <w:rPr>
          <w:b/>
          <w:bCs/>
          <w:color w:val="52514E"/>
          <w:sz w:val="21"/>
          <w:szCs w:val="21"/>
        </w:rPr>
        <w:t xml:space="preserve">4.2 · gold.carbon</w:t>
      </w:r>
    </w:p>
    <w:p>
      <w:pPr>
        <w:spacing w:after="120" w:before="60" w:line="280"/>
      </w:pPr>
      <w:r>
        <w:rPr>
          <w:color w:val="52514E"/>
          <w:sz w:val="20"/>
          <w:szCs w:val="20"/>
        </w:rPr>
        <w:t xml:space="preserve">Eligible MWh times the factor, joined on date so the factor’s version travels with the result instead of being baked into it. Project emissions and leakage are explicit zero columns so the formula reads complete.</w:t>
      </w:r>
    </w:p>
    <w:p>
      <w:pPr>
        <w:pBdr>
          <w:left w:val="single" w:color="256ABF" w:sz="12" w:space="6"/>
        </w:pBdr>
        <w:shd w:fill="E4F6EF" w:val="clear"/>
        <w:spacing w:after="150" w:before="100" w:line="250"/>
        <w:ind w:left="140" w:right="140"/>
      </w:pPr>
      <w:r>
        <w:rPr>
          <w:rFonts w:ascii="Consolas" w:cs="Consolas" w:eastAsia="Consolas" w:hAnsi="Consolas"/>
          <w:color w:val="0B0B0B"/>
          <w:sz w:val="18"/>
          <w:szCs w:val="18"/>
        </w:rPr>
        <w:t xml:space="preserve">eligible_MWh  ×  emission_factor  −  project_emissions  −  leakage  =  tCO2e</w:t>
      </w:r>
    </w:p>
    <w:p>
      <w:pPr>
        <w:pStyle w:val="Heading3"/>
        <w:spacing w:after="80" w:before="190"/>
      </w:pPr>
      <w:r>
        <w:rPr>
          <w:b/>
          <w:bCs/>
          <w:color w:val="52514E"/>
          <w:sz w:val="21"/>
          <w:szCs w:val="21"/>
        </w:rPr>
        <w:t xml:space="preserve">4.3 · gold.vcu</w:t>
      </w:r>
    </w:p>
    <w:p>
      <w:pPr>
        <w:spacing w:after="120" w:before="60" w:line="280"/>
      </w:pPr>
      <w:r>
        <w:rPr>
          <w:color w:val="52514E"/>
          <w:sz w:val="20"/>
          <w:szCs w:val="20"/>
        </w:rPr>
        <w:t xml:space="preserve">A verified carbon unit is one whole tonne, so a month issues whole tonnes and the fraction is carried forward rather than rounded away. The ledger is the running total: each month issues the difference between this month’s floor and last month’s.</w:t>
      </w:r>
    </w:p>
    <w:tbl>
      <w:tblPr>
        <w:tblW w:type="dxa" w:w="9360"/>
        <w:tblBorders>
          <w:top w:val="single" w:color="E3E2DD" w:sz="2"/>
          <w:left w:val="nil"/>
          <w:bottom w:val="single" w:color="E3E2DD" w:sz="2"/>
          <w:right w:val="nil"/>
          <w:insideH w:val="single" w:color="E3E2DD" w:sz="2"/>
          <w:insideV w:val="nil"/>
        </w:tblBorders>
      </w:tblPr>
      <w:tblGrid>
        <w:gridCol w:w="3370"/>
        <w:gridCol w:w="5990"/>
      </w:tblGrid>
      <w:tr>
        <w:trPr>
          <w:tblHeader/>
        </w:trPr>
        <w:tc>
          <w:tcPr>
            <w:tcW w:type="dxa" w:w="3370"/>
            <w:shd w:fill="0A6E4C" w:val="clear"/>
            <w:tcMar>
              <w:top w:type="dxa" w:w="90"/>
              <w:left w:type="dxa" w:w="120"/>
              <w:bottom w:type="dxa" w:w="90"/>
              <w:right w:type="dxa" w:w="120"/>
            </w:tcMar>
          </w:tcPr>
          <w:p>
            <w:pPr>
              <w:spacing w:after="0" w:before="0"/>
            </w:pPr>
            <w:r>
              <w:rPr>
                <w:b/>
                <w:bCs/>
                <w:color w:val="FFFFFF"/>
                <w:spacing w:val="20"/>
                <w:sz w:val="17"/>
                <w:szCs w:val="17"/>
              </w:rPr>
              <w:t xml:space="preserve">Column</w:t>
            </w:r>
          </w:p>
        </w:tc>
        <w:tc>
          <w:tcPr>
            <w:tcW w:type="dxa" w:w="5990"/>
            <w:shd w:fill="0A6E4C" w:val="clear"/>
            <w:tcMar>
              <w:top w:type="dxa" w:w="90"/>
              <w:left w:type="dxa" w:w="120"/>
              <w:bottom w:type="dxa" w:w="90"/>
              <w:right w:type="dxa" w:w="120"/>
            </w:tcMar>
          </w:tcPr>
          <w:p>
            <w:pPr>
              <w:spacing w:after="0" w:before="0"/>
            </w:pPr>
            <w:r>
              <w:rPr>
                <w:b/>
                <w:bCs/>
                <w:color w:val="FFFFFF"/>
                <w:spacing w:val="20"/>
                <w:sz w:val="17"/>
                <w:szCs w:val="17"/>
              </w:rPr>
              <w:t xml:space="preserve">Holds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net_reduction_tco2e</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This month’s reduction</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cumulative_tco2e</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Running total for the site</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carry_in_tco2e</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fraction brought forward from last month</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vcu_issued</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Whole units issuable this month</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carry_forward_tco2e</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fraction carried on to the next</w:t>
            </w:r>
          </w:p>
        </w:tc>
      </w:tr>
    </w:tbl>
    <w:p>
      <w:pPr>
        <w:pStyle w:val="Heading3"/>
        <w:spacing w:after="80" w:before="190"/>
      </w:pPr>
      <w:r>
        <w:rPr>
          <w:b/>
          <w:bCs/>
          <w:color w:val="52514E"/>
          <w:sz w:val="21"/>
          <w:szCs w:val="21"/>
        </w:rPr>
        <w:t xml:space="preserve">4.4 · gold.price_by_month and gold.revenue</w:t>
      </w:r>
    </w:p>
    <w:p>
      <w:pPr>
        <w:spacing w:after="120" w:before="60" w:line="280"/>
      </w:pPr>
      <w:r>
        <w:rPr>
          <w:color w:val="52514E"/>
          <w:sz w:val="20"/>
          <w:szCs w:val="20"/>
        </w:rPr>
        <w:t xml:space="preserve">The VCU price in force at each month’s end, and units times price. With no price on file, no revenue figure is produced at all.</w:t>
      </w:r>
    </w:p>
    <w:p>
      <w:pPr>
        <w:pStyle w:val="Heading3"/>
        <w:spacing w:after="80" w:before="190"/>
      </w:pPr>
      <w:r>
        <w:rPr>
          <w:b/>
          <w:bCs/>
          <w:color w:val="52514E"/>
          <w:sz w:val="21"/>
          <w:szCs w:val="21"/>
        </w:rPr>
        <w:t xml:space="preserve">4.5 · gold.fleet_summary and gold.fleet_table</w:t>
      </w:r>
    </w:p>
    <w:p>
      <w:pPr>
        <w:spacing w:after="120" w:before="60" w:line="280"/>
      </w:pPr>
      <w:r>
        <w:rPr>
          <w:color w:val="52514E"/>
          <w:sz w:val="20"/>
          <w:szCs w:val="20"/>
        </w:rPr>
        <w:t xml:space="preserve">The headline row on the Overview screen, and one row per site for the Fleet screen — coverage, specific yield, quality score, VCUs.</w:t>
      </w:r>
    </w:p>
    <w:p>
      <w:pPr>
        <w:pStyle w:val="Heading3"/>
        <w:spacing w:after="80" w:before="190"/>
      </w:pPr>
      <w:r>
        <w:rPr>
          <w:b/>
          <w:bCs/>
          <w:color w:val="52514E"/>
          <w:sz w:val="21"/>
          <w:szCs w:val="21"/>
        </w:rPr>
        <w:t xml:space="preserve">4.6 · gold.lineage — the one that matters</w:t>
      </w:r>
    </w:p>
    <w:p>
      <w:pPr>
        <w:spacing w:after="120" w:before="60" w:line="280"/>
      </w:pPr>
      <w:r>
        <w:rPr>
          <w:color w:val="52514E"/>
          <w:sz w:val="20"/>
          <w:szCs w:val="20"/>
        </w:rPr>
        <w:t xml:space="preserve">Takes any gold figure and returns the chain back to the evidence. It was built at the same time as the calculations, not afterwards.</w:t>
      </w:r>
    </w:p>
    <w:p>
      <w:pPr>
        <w:pBdr>
          <w:left w:val="single" w:color="256ABF" w:sz="12" w:space="6"/>
        </w:pBdr>
        <w:shd w:fill="EEEBFA" w:val="clear"/>
        <w:spacing w:after="0" w:before="100" w:line="250"/>
        <w:ind w:left="140" w:right="140"/>
      </w:pPr>
      <w:r>
        <w:rPr>
          <w:rFonts w:ascii="Consolas" w:cs="Consolas" w:eastAsia="Consolas" w:hAnsi="Consolas"/>
          <w:color w:val="0B0B0B"/>
          <w:sz w:val="18"/>
          <w:szCs w:val="18"/>
        </w:rPr>
        <w:t xml:space="preserve">gold.vcu  →  silver.eligibility  →  bronze.reading  →  bronze.source_file</w:t>
      </w:r>
    </w:p>
    <w:p>
      <w:pPr>
        <w:pBdr>
          <w:left w:val="single" w:color="256ABF" w:sz="12" w:space="6"/>
        </w:pBdr>
        <w:shd w:fill="EEEBFA" w:val="clear"/>
        <w:spacing w:after="0" w:before="0" w:line="250"/>
        <w:ind w:left="140" w:right="140"/>
      </w:pPr>
      <w:r>
        <w:rPr>
          <w:rFonts w:ascii="Consolas" w:cs="Consolas" w:eastAsia="Consolas" w:hAnsi="Consolas"/>
          <w:color w:val="0B0B0B"/>
          <w:sz w:val="18"/>
          <w:szCs w:val="18"/>
        </w:rPr>
        <w:t xml:space="preserve"> </w:t>
      </w:r>
    </w:p>
    <w:p>
      <w:pPr>
        <w:pBdr>
          <w:left w:val="single" w:color="256ABF" w:sz="12" w:space="6"/>
        </w:pBdr>
        <w:shd w:fill="EEEBFA" w:val="clear"/>
        <w:spacing w:after="150" w:before="0" w:line="250"/>
        <w:ind w:left="140" w:right="140"/>
      </w:pPr>
      <w:r>
        <w:rPr>
          <w:rFonts w:ascii="Consolas" w:cs="Consolas" w:eastAsia="Consolas" w:hAnsi="Consolas"/>
          <w:color w:val="0B0B0B"/>
          <w:sz w:val="18"/>
          <w:szCs w:val="18"/>
        </w:rPr>
        <w:t xml:space="preserve">month     →  site-days           →  cells           →  filename + sha256</w:t>
      </w:r>
    </w:p>
    <w:p>
      <w:pPr>
        <w:pStyle w:val="Heading1"/>
        <w:pBdr>
          <w:bottom w:val="single" w:color="256ABF" w:sz="10" w:space="6"/>
        </w:pBdr>
        <w:spacing w:after="140" w:before="380"/>
      </w:pPr>
      <w:r>
        <w:rPr>
          <w:b/>
          <w:bCs/>
          <w:color w:val="256ABF"/>
          <w:sz w:val="30"/>
          <w:szCs w:val="30"/>
        </w:rPr>
        <w:t xml:space="preserve">5 · Why it is views all the way up</w:t>
      </w:r>
    </w:p>
    <w:p>
      <w:pPr>
        <w:pStyle w:val="ListParagraph"/>
        <w:numPr>
          <w:ilvl w:val="0"/>
          <w:numId w:val="2"/>
        </w:numPr>
        <w:spacing w:after="70" w:before="40" w:line="280"/>
      </w:pPr>
      <w:r>
        <w:rPr>
          <w:b/>
          <w:bCs/>
          <w:color w:val="0B0B0B"/>
          <w:sz w:val="20"/>
          <w:szCs w:val="20"/>
        </w:rPr>
        <w:t xml:space="preserve">A new upload changes every number automatically. </w:t>
      </w:r>
      <w:r>
        <w:rPr>
          <w:color w:val="52514E"/>
          <w:sz w:val="20"/>
          <w:szCs w:val="20"/>
        </w:rPr>
        <w:t xml:space="preserve">There is no pipeline to re-run and no job to schedule.</w:t>
      </w:r>
    </w:p>
    <w:p>
      <w:pPr>
        <w:pStyle w:val="ListParagraph"/>
        <w:numPr>
          <w:ilvl w:val="0"/>
          <w:numId w:val="2"/>
        </w:numPr>
        <w:spacing w:after="70" w:before="40" w:line="280"/>
      </w:pPr>
      <w:r>
        <w:rPr>
          <w:b/>
          <w:bCs/>
          <w:color w:val="0B0B0B"/>
          <w:sz w:val="20"/>
          <w:szCs w:val="20"/>
        </w:rPr>
        <w:t xml:space="preserve">A changed threshold changes every number automatically. </w:t>
      </w:r>
      <w:r>
        <w:rPr>
          <w:color w:val="52514E"/>
          <w:sz w:val="20"/>
          <w:szCs w:val="20"/>
        </w:rPr>
        <w:t xml:space="preserve">Thresholds live in silver.parameter, which the views read, so the number on screen is the number the SQL used.</w:t>
      </w:r>
    </w:p>
    <w:p>
      <w:pPr>
        <w:pStyle w:val="ListParagraph"/>
        <w:numPr>
          <w:ilvl w:val="0"/>
          <w:numId w:val="2"/>
        </w:numPr>
        <w:spacing w:after="70" w:before="40" w:line="280"/>
      </w:pPr>
      <w:r>
        <w:rPr>
          <w:b/>
          <w:bCs/>
          <w:color w:val="0B0B0B"/>
          <w:sz w:val="20"/>
          <w:szCs w:val="20"/>
        </w:rPr>
        <w:t xml:space="preserve">A new emission factor applies from its own date. </w:t>
      </w:r>
      <w:r>
        <w:rPr>
          <w:color w:val="52514E"/>
          <w:sz w:val="20"/>
          <w:szCs w:val="20"/>
        </w:rPr>
        <w:t xml:space="preserve">Historical months keep the factor that was valid then, because the join is on date.</w:t>
      </w:r>
    </w:p>
    <w:p>
      <w:pPr>
        <w:pStyle w:val="ListParagraph"/>
        <w:numPr>
          <w:ilvl w:val="0"/>
          <w:numId w:val="2"/>
        </w:numPr>
        <w:spacing w:after="70" w:before="40" w:line="280"/>
      </w:pPr>
      <w:r>
        <w:rPr>
          <w:b/>
          <w:bCs/>
          <w:color w:val="0B0B0B"/>
          <w:sz w:val="20"/>
          <w:szCs w:val="20"/>
        </w:rPr>
        <w:t xml:space="preserve">Nothing can go stale, </w:t>
      </w:r>
      <w:r>
        <w:rPr>
          <w:color w:val="52514E"/>
          <w:sz w:val="20"/>
          <w:szCs w:val="20"/>
        </w:rPr>
        <w:t xml:space="preserve">because nothing downstream of Bronze is stored.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EDA100" w:sz="18"/>
              <w:bottom w:val="nil"/>
              <w:right w:val="nil"/>
            </w:tcBorders>
            <w:shd w:fill="FDF3DE" w:val="clear"/>
            <w:tcMar>
              <w:top w:type="dxa" w:w="140"/>
              <w:left w:type="dxa" w:w="180"/>
              <w:bottom w:type="dxa" w:w="140"/>
              <w:right w:type="dxa" w:w="180"/>
            </w:tcMar>
          </w:tcPr>
          <w:p>
            <w:pPr>
              <w:spacing w:line="280"/>
            </w:pPr>
            <w:r>
              <w:rPr>
                <w:b/>
                <w:bCs/>
                <w:color w:val="EDA100"/>
                <w:sz w:val="20"/>
                <w:szCs w:val="20"/>
              </w:rPr>
              <w:t xml:space="preserve">The cost of that choice, and how it was paid.  </w:t>
            </w:r>
            <w:r>
              <w:rPr>
                <w:color w:val="52514E"/>
                <w:sz w:val="20"/>
                <w:szCs w:val="20"/>
              </w:rPr>
              <w:t xml:space="preserve">Recomputing on every read is only viable if the views are cheap. They were not at first: a correlated subquery in data_quality re-aggregated all of Bronze once per site-day, and the summary endpoint took eight seconds on 676 readings. Resolving that per-day work once, and resolving the factor and price once per month rather than per row, brought it to under half a second. Any new view should be measured the same way.</w:t>
            </w:r>
          </w:p>
        </w:tc>
      </w:tr>
    </w:tbl>
    <w:p>
      <w:pPr>
        <w:pStyle w:val="Heading1"/>
        <w:pBdr>
          <w:bottom w:val="single" w:color="0B0B0B" w:sz="10" w:space="6"/>
        </w:pBdr>
        <w:spacing w:after="140" w:before="380"/>
      </w:pPr>
      <w:r>
        <w:rPr>
          <w:b/>
          <w:bCs/>
          <w:color w:val="0B0B0B"/>
          <w:sz w:val="30"/>
          <w:szCs w:val="30"/>
        </w:rPr>
        <w:t xml:space="preserve">6 · Dependency map</w:t>
      </w:r>
    </w:p>
    <w:p>
      <w:pPr>
        <w:spacing w:after="120" w:before="60" w:line="280"/>
      </w:pPr>
      <w:r>
        <w:rPr>
          <w:color w:val="52514E"/>
          <w:sz w:val="20"/>
          <w:szCs w:val="20"/>
        </w:rPr>
        <w:t xml:space="preserve">Read upwards: each view is built from the ones above it.</w:t>
      </w:r>
    </w:p>
    <w:tbl>
      <w:tblPr>
        <w:tblW w:type="dxa" w:w="9360"/>
        <w:tblBorders>
          <w:top w:val="single" w:color="E3E2DD" w:sz="2"/>
          <w:left w:val="nil"/>
          <w:bottom w:val="single" w:color="E3E2DD" w:sz="2"/>
          <w:right w:val="nil"/>
          <w:insideH w:val="single" w:color="E3E2DD" w:sz="2"/>
          <w:insideV w:val="nil"/>
        </w:tblBorders>
      </w:tblPr>
      <w:tblGrid>
        <w:gridCol w:w="2621"/>
        <w:gridCol w:w="5242"/>
        <w:gridCol w:w="1498"/>
      </w:tblGrid>
      <w:tr>
        <w:trPr>
          <w:tblHeader/>
        </w:trPr>
        <w:tc>
          <w:tcPr>
            <w:tcW w:type="dxa" w:w="2621"/>
            <w:shd w:fill="7A7873" w:val="clear"/>
            <w:tcMar>
              <w:top w:type="dxa" w:w="90"/>
              <w:left w:type="dxa" w:w="120"/>
              <w:bottom w:type="dxa" w:w="90"/>
              <w:right w:type="dxa" w:w="120"/>
            </w:tcMar>
          </w:tcPr>
          <w:p>
            <w:pPr>
              <w:spacing w:after="0" w:before="0"/>
            </w:pPr>
            <w:r>
              <w:rPr>
                <w:b/>
                <w:bCs/>
                <w:color w:val="FFFFFF"/>
                <w:spacing w:val="20"/>
                <w:sz w:val="17"/>
                <w:szCs w:val="17"/>
              </w:rPr>
              <w:t xml:space="preserve">View</w:t>
            </w:r>
          </w:p>
        </w:tc>
        <w:tc>
          <w:tcPr>
            <w:tcW w:type="dxa" w:w="5242"/>
            <w:shd w:fill="7A7873" w:val="clear"/>
            <w:tcMar>
              <w:top w:type="dxa" w:w="90"/>
              <w:left w:type="dxa" w:w="120"/>
              <w:bottom w:type="dxa" w:w="90"/>
              <w:right w:type="dxa" w:w="120"/>
            </w:tcMar>
          </w:tcPr>
          <w:p>
            <w:pPr>
              <w:spacing w:after="0" w:before="0"/>
            </w:pPr>
            <w:r>
              <w:rPr>
                <w:b/>
                <w:bCs/>
                <w:color w:val="FFFFFF"/>
                <w:spacing w:val="20"/>
                <w:sz w:val="17"/>
                <w:szCs w:val="17"/>
              </w:rPr>
              <w:t xml:space="preserve">Built from</w:t>
            </w:r>
          </w:p>
        </w:tc>
        <w:tc>
          <w:tcPr>
            <w:tcW w:type="dxa" w:w="1498"/>
            <w:shd w:fill="7A7873" w:val="clear"/>
            <w:tcMar>
              <w:top w:type="dxa" w:w="90"/>
              <w:left w:type="dxa" w:w="120"/>
              <w:bottom w:type="dxa" w:w="90"/>
              <w:right w:type="dxa" w:w="120"/>
            </w:tcMar>
          </w:tcPr>
          <w:p>
            <w:pPr>
              <w:spacing w:after="0" w:before="0"/>
            </w:pPr>
            <w:r>
              <w:rPr>
                <w:b/>
                <w:bCs/>
                <w:color w:val="FFFFFF"/>
                <w:spacing w:val="20"/>
                <w:sz w:val="17"/>
                <w:szCs w:val="17"/>
              </w:rPr>
              <w:t xml:space="preserve">Layer</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file_site_day</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bronze.reading + source_file</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generation_daily</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file_site_day</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site_day_expected</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bronze.site + loaded_window</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data_quality</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site_day_expected + generation_daily + site_day_sources + rules</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quality_flag</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data_quality + rules</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eligibility</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quality_flag</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site_month / fleet_month</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eligibility</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Silver</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factor_by_month</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site_month + gold.emission_factor</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Gold</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carbon</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site_month + factor_by_month</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Gold</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vcu</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carbon</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Gold</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revenue</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vcu + price_by_month</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Gold</w:t>
            </w:r>
          </w:p>
        </w:tc>
      </w:tr>
      <w:tr>
        <w:tc>
          <w:tcPr>
            <w:tcW w:type="dxa" w:w="2621"/>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fleet_summary / fleet_table</w:t>
            </w:r>
          </w:p>
        </w:tc>
        <w:tc>
          <w:tcPr>
            <w:tcW w:type="dxa" w:w="5242"/>
            <w:shd w:fill="FFFFFF" w:val="clear"/>
            <w:tcMar>
              <w:top w:type="dxa" w:w="90"/>
              <w:left w:type="dxa" w:w="120"/>
              <w:bottom w:type="dxa" w:w="90"/>
              <w:right w:type="dxa" w:w="120"/>
            </w:tcMar>
          </w:tcPr>
          <w:p>
            <w:pPr>
              <w:spacing w:after="0" w:before="0" w:line="260"/>
            </w:pPr>
            <w:r>
              <w:rPr>
                <w:color w:val="52514E"/>
                <w:sz w:val="17"/>
                <w:szCs w:val="17"/>
              </w:rPr>
              <w:t xml:space="preserve">site_month + vcu + revenue</w:t>
            </w:r>
          </w:p>
        </w:tc>
        <w:tc>
          <w:tcPr>
            <w:tcW w:type="dxa" w:w="1498"/>
            <w:shd w:fill="FFFFFF" w:val="clear"/>
            <w:tcMar>
              <w:top w:type="dxa" w:w="90"/>
              <w:left w:type="dxa" w:w="120"/>
              <w:bottom w:type="dxa" w:w="90"/>
              <w:right w:type="dxa" w:w="120"/>
            </w:tcMar>
          </w:tcPr>
          <w:p>
            <w:pPr>
              <w:spacing w:after="0" w:before="0" w:line="260"/>
            </w:pPr>
            <w:r>
              <w:rPr>
                <w:color w:val="52514E"/>
                <w:sz w:val="17"/>
                <w:szCs w:val="17"/>
              </w:rPr>
              <w:t xml:space="preserve">Gold</w:t>
            </w:r>
          </w:p>
        </w:tc>
      </w:tr>
      <w:tr>
        <w:tc>
          <w:tcPr>
            <w:tcW w:type="dxa" w:w="2621"/>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lineage</w:t>
            </w:r>
          </w:p>
        </w:tc>
        <w:tc>
          <w:tcPr>
            <w:tcW w:type="dxa" w:w="5242"/>
            <w:shd w:fill="F7F7F5" w:val="clear"/>
            <w:tcMar>
              <w:top w:type="dxa" w:w="90"/>
              <w:left w:type="dxa" w:w="120"/>
              <w:bottom w:type="dxa" w:w="90"/>
              <w:right w:type="dxa" w:w="120"/>
            </w:tcMar>
          </w:tcPr>
          <w:p>
            <w:pPr>
              <w:spacing w:after="0" w:before="0" w:line="260"/>
            </w:pPr>
            <w:r>
              <w:rPr>
                <w:color w:val="52514E"/>
                <w:sz w:val="17"/>
                <w:szCs w:val="17"/>
              </w:rPr>
              <w:t xml:space="preserve">vcu + eligibility + bronze.reading + source_file</w:t>
            </w:r>
          </w:p>
        </w:tc>
        <w:tc>
          <w:tcPr>
            <w:tcW w:type="dxa" w:w="1498"/>
            <w:shd w:fill="F7F7F5" w:val="clear"/>
            <w:tcMar>
              <w:top w:type="dxa" w:w="90"/>
              <w:left w:type="dxa" w:w="120"/>
              <w:bottom w:type="dxa" w:w="90"/>
              <w:right w:type="dxa" w:w="120"/>
            </w:tcMar>
          </w:tcPr>
          <w:p>
            <w:pPr>
              <w:spacing w:after="0" w:before="0" w:line="260"/>
            </w:pPr>
            <w:r>
              <w:rPr>
                <w:color w:val="52514E"/>
                <w:sz w:val="17"/>
                <w:szCs w:val="17"/>
              </w:rPr>
              <w:t xml:space="preserve">Gold</w:t>
            </w:r>
          </w:p>
        </w:tc>
      </w:tr>
    </w:tbl>
    <w:p>
      <w:pPr>
        <w:pStyle w:val="Heading1"/>
        <w:pBdr>
          <w:bottom w:val="single" w:color="4A3AA7" w:sz="10" w:space="6"/>
        </w:pBdr>
        <w:spacing w:after="140" w:before="380"/>
      </w:pPr>
      <w:r>
        <w:rPr>
          <w:b/>
          <w:bCs/>
          <w:color w:val="4A3AA7"/>
          <w:sz w:val="30"/>
          <w:szCs w:val="30"/>
        </w:rPr>
        <w:t xml:space="preserve">7 · Where to read the source</w:t>
      </w:r>
    </w:p>
    <w:tbl>
      <w:tblPr>
        <w:tblW w:type="dxa" w:w="9360"/>
        <w:tblBorders>
          <w:top w:val="single" w:color="E3E2DD" w:sz="2"/>
          <w:left w:val="nil"/>
          <w:bottom w:val="single" w:color="E3E2DD" w:sz="2"/>
          <w:right w:val="nil"/>
          <w:insideH w:val="single" w:color="E3E2DD" w:sz="2"/>
          <w:insideV w:val="nil"/>
        </w:tblBorders>
      </w:tblPr>
      <w:tblGrid>
        <w:gridCol w:w="3370"/>
        <w:gridCol w:w="5990"/>
      </w:tblGrid>
      <w:tr>
        <w:trPr>
          <w:tblHeader/>
        </w:trPr>
        <w:tc>
          <w:tcPr>
            <w:tcW w:type="dxa" w:w="3370"/>
            <w:shd w:fill="4A3AA7" w:val="clear"/>
            <w:tcMar>
              <w:top w:type="dxa" w:w="90"/>
              <w:left w:type="dxa" w:w="120"/>
              <w:bottom w:type="dxa" w:w="90"/>
              <w:right w:type="dxa" w:w="120"/>
            </w:tcMar>
          </w:tcPr>
          <w:p>
            <w:pPr>
              <w:spacing w:after="0" w:before="0"/>
            </w:pPr>
            <w:r>
              <w:rPr>
                <w:b/>
                <w:bCs/>
                <w:color w:val="FFFFFF"/>
                <w:spacing w:val="20"/>
                <w:sz w:val="17"/>
                <w:szCs w:val="17"/>
              </w:rPr>
              <w:t xml:space="preserve">File</w:t>
            </w:r>
          </w:p>
        </w:tc>
        <w:tc>
          <w:tcPr>
            <w:tcW w:type="dxa" w:w="5990"/>
            <w:shd w:fill="4A3AA7" w:val="clear"/>
            <w:tcMar>
              <w:top w:type="dxa" w:w="90"/>
              <w:left w:type="dxa" w:w="120"/>
              <w:bottom w:type="dxa" w:w="90"/>
              <w:right w:type="dxa" w:w="120"/>
            </w:tcMar>
          </w:tcPr>
          <w:p>
            <w:pPr>
              <w:spacing w:after="0" w:before="0"/>
            </w:pPr>
            <w:r>
              <w:rPr>
                <w:b/>
                <w:bCs/>
                <w:color w:val="FFFFFF"/>
                <w:spacing w:val="20"/>
                <w:sz w:val="17"/>
                <w:szCs w:val="17"/>
              </w:rPr>
              <w:t xml:space="preserve">Contains</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app/sql/000_reset_views.sql</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Drops the view graph so a migration can change a column’s shape</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app/sql/001_bronze.sql</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The four Bronze tables and silver.parameter</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app/sql/002_silver.sql</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Every rule, as SQL</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app/sql/003_gold.sql</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Reference tables, the credit maths, and lineage</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app/ingest/parser.py</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one parser, imported by both the upload endpoint and the CLI</w:t>
            </w:r>
          </w:p>
        </w:tc>
      </w:tr>
      <w:tr>
        <w:tc>
          <w:tcPr>
            <w:tcW w:type="dxa" w:w="3370"/>
            <w:shd w:fill="FFFFFF"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app/ingest/loader.py</w:t>
            </w:r>
          </w:p>
        </w:tc>
        <w:tc>
          <w:tcPr>
            <w:tcW w:type="dxa" w:w="5990"/>
            <w:shd w:fill="FFFFFF" w:val="clear"/>
            <w:tcMar>
              <w:top w:type="dxa" w:w="90"/>
              <w:left w:type="dxa" w:w="120"/>
              <w:bottom w:type="dxa" w:w="90"/>
              <w:right w:type="dxa" w:w="120"/>
            </w:tcMar>
          </w:tcPr>
          <w:p>
            <w:pPr>
              <w:spacing w:after="0" w:before="0" w:line="260"/>
            </w:pPr>
            <w:r>
              <w:rPr>
                <w:color w:val="52514E"/>
                <w:sz w:val="18"/>
                <w:szCs w:val="18"/>
              </w:rPr>
              <w:t xml:space="preserve">Duplicate detection, overlap flagging, site upsert</w:t>
            </w:r>
          </w:p>
        </w:tc>
      </w:tr>
      <w:tr>
        <w:tc>
          <w:tcPr>
            <w:tcW w:type="dxa" w:w="3370"/>
            <w:shd w:fill="F7F7F5" w:val="clear"/>
            <w:tcMar>
              <w:top w:type="dxa" w:w="90"/>
              <w:left w:type="dxa" w:w="120"/>
              <w:bottom w:type="dxa" w:w="90"/>
              <w:right w:type="dxa" w:w="120"/>
            </w:tcMar>
          </w:tcPr>
          <w:p>
            <w:pPr>
              <w:spacing w:after="0" w:before="0" w:line="260"/>
            </w:pPr>
            <w:r>
              <w:rPr>
                <w:rFonts w:ascii="Consolas" w:cs="Consolas" w:eastAsia="Consolas" w:hAnsi="Consolas"/>
                <w:b/>
                <w:bCs/>
                <w:color w:val="3A2D85"/>
                <w:sz w:val="17"/>
                <w:szCs w:val="17"/>
              </w:rPr>
              <w:t xml:space="preserve">tests/test_pipeline.py</w:t>
            </w:r>
          </w:p>
        </w:tc>
        <w:tc>
          <w:tcPr>
            <w:tcW w:type="dxa" w:w="5990"/>
            <w:shd w:fill="F7F7F5" w:val="clear"/>
            <w:tcMar>
              <w:top w:type="dxa" w:w="90"/>
              <w:left w:type="dxa" w:w="120"/>
              <w:bottom w:type="dxa" w:w="90"/>
              <w:right w:type="dxa" w:w="120"/>
            </w:tcMar>
          </w:tcPr>
          <w:p>
            <w:pPr>
              <w:spacing w:after="0" w:before="0" w:line="260"/>
            </w:pPr>
            <w:r>
              <w:rPr>
                <w:color w:val="52514E"/>
                <w:sz w:val="18"/>
                <w:szCs w:val="18"/>
              </w:rPr>
              <w:t xml:space="preserve">The numbers, asserted against a real database</w:t>
            </w:r>
          </w:p>
        </w:tc>
      </w:tr>
    </w:tbl>
    <w:p>
      <w:pPr>
        <w:spacing w:after="80"/>
      </w:pPr>
    </w:p>
    <w:p>
      <w:pPr>
        <w:spacing w:after="120" w:before="60" w:line="280"/>
      </w:pPr>
      <w:r>
        <w:rPr>
          <w:color w:val="52514E"/>
          <w:sz w:val="20"/>
          <w:szCs w:val="20"/>
        </w:rPr>
        <w:t xml:space="preserve">The SQL files are the specification. They are written to be read aloud, and they are the same statements that produced every number on the screen.</w:t>
      </w:r>
    </w:p>
    <w:sectPr>
      <w:footerReference w:type="default" r:id="rId7"/>
      <w:pgSz w:w="11906" w:h="16838" w:orient="portrait"/>
      <w:pgMar w:top="118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AA7" w:sz="6" w:space="6"/>
      </w:pBdr>
      <w:spacing w:after="60"/>
    </w:pPr>
  </w:p>
  <w:p>
    <w:pPr>
      <w:tabs>
        <w:tab w:val="right" w:pos="9360"/>
      </w:tabs>
    </w:pPr>
    <w:r>
      <w:rPr>
        <w:color w:val="7A7873"/>
        <w:sz w:val="15"/>
        <w:szCs w:val="15"/>
      </w:rPr>
      <w:t xml:space="preserve">CCredits · Guide 3 of 3 · The data model</w:t>
    </w:r>
    <w:r>
      <w:tab/>
    </w:r>
    <w:r>
      <w:rPr>
        <w:b/>
        <w:bCs/>
        <w:color w:val="8A5A00"/>
        <w:sz w:val="15"/>
        <w:szCs w:val="15"/>
      </w:rPr>
      <w:t xml:space="preserve">Pilot data. Not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1BAF7A"/>
        <w:sz w:val="16"/>
        <w:szCs w:val="16"/>
      </w:rPr>
    </w:lvl>
    <w:lvl w:ilvl="1" w15:tentative="1">
      <w:start w:val="1"/>
      <w:numFmt w:val="bullet"/>
      <w:lvlText w:val="○"/>
      <w:lvlJc w:val="left"/>
      <w:pPr>
        <w:ind w:left="760" w:hanging="220"/>
      </w:pPr>
      <w:rPr>
        <w:color w:val="2A78D6"/>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256AB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2514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CCredits — The data model</dc:title>
  <dc:creator>CCredits</dc:creator>
  <dc:description>CCredits · Guide 3 of 3 · The data model</dc:description>
  <cp:lastModifiedBy>Un-named</cp:lastModifiedBy>
  <cp:revision>1</cp:revision>
  <dcterms:created xsi:type="dcterms:W3CDTF">2026-09-14T13:08:43.483Z</dcterms:created>
  <dcterms:modified xsi:type="dcterms:W3CDTF">2026-09-14T13:08:43.483Z</dcterms:modified>
</cp:coreProperties>
</file>

<file path=docProps/custom.xml><?xml version="1.0" encoding="utf-8"?>
<Properties xmlns="http://schemas.openxmlformats.org/officeDocument/2006/custom-properties" xmlns:vt="http://schemas.openxmlformats.org/officeDocument/2006/docPropsVTypes"/>
</file>