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80"/>
        <w:jc w:val="center"/>
      </w:pPr>
      <w:r>
        <w:rPr>
          <w:rFonts w:ascii="Calibri" w:cs="Calibri" w:eastAsia="Calibri" w:hAnsi="Calibri"/>
          <w:b/>
          <w:bCs/>
          <w:color w:val="6B7280"/>
          <w:spacing w:val="40"/>
          <w:sz w:val="20"/>
          <w:szCs w:val="20"/>
        </w:rPr>
        <w:t xml:space="preserve">TRIPLE I ESG PORTAL</w:t>
      </w:r>
    </w:p>
    <w:p>
      <w:pPr>
        <w:spacing w:after="80"/>
        <w:jc w:val="center"/>
      </w:pPr>
      <w:r>
        <w:rPr>
          <w:rFonts w:ascii="Calibri" w:cs="Calibri" w:eastAsia="Calibri" w:hAnsi="Calibri"/>
          <w:b/>
          <w:bCs/>
          <w:color w:val="111827"/>
          <w:sz w:val="56"/>
          <w:szCs w:val="56"/>
        </w:rPr>
        <w:t xml:space="preserve">Engineering Specification</w:t>
      </w:r>
    </w:p>
    <w:p>
      <w:pPr>
        <w:spacing w:after="600"/>
        <w:jc w:val="center"/>
      </w:pPr>
      <w:r>
        <w:rPr>
          <w:rFonts w:ascii="Calibri" w:cs="Calibri" w:eastAsia="Calibri" w:hAnsi="Calibri"/>
          <w:b/>
          <w:bCs/>
          <w:color w:val="0F766E"/>
          <w:sz w:val="44"/>
          <w:szCs w:val="44"/>
        </w:rPr>
        <w:t xml:space="preserve">PCF Module + Sector Packs</w:t>
      </w:r>
    </w:p>
    <w:p>
      <w:pPr>
        <w:spacing w:after="100"/>
        <w:jc w:val="center"/>
      </w:pPr>
      <w:r>
        <w:rPr>
          <w:rFonts w:ascii="Calibri" w:cs="Calibri" w:eastAsia="Calibri" w:hAnsi="Calibri"/>
          <w:color w:val="111827"/>
          <w:sz w:val="24"/>
          <w:szCs w:val="24"/>
        </w:rPr>
        <w:t xml:space="preserve">Roadmap: Q2 2026 — Q1 2027</w:t>
      </w:r>
    </w:p>
    <w:p>
      <w:pPr>
        <w:spacing w:after="1600"/>
        <w:jc w:val="center"/>
      </w:pPr>
      <w:r>
        <w:rPr>
          <w:rFonts w:ascii="Calibri" w:cs="Calibri" w:eastAsia="Calibri" w:hAnsi="Calibri"/>
          <w:color w:val="6B7280"/>
          <w:sz w:val="22"/>
          <w:szCs w:val="22"/>
        </w:rPr>
        <w:t xml:space="preserve">Version 1.0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4"/>
              <w:left w:val="single" w:color="0F766E" w:sz="24"/>
              <w:bottom w:val="single" w:color="0F766E" w:sz="4"/>
              <w:right w:val="single" w:color="0F766E" w:sz="4"/>
            </w:tcBorders>
            <w:shd w:fill="F0FDFA" w:val="clear"/>
            <w:tcMar>
              <w:top w:type="dxa" w:w="160"/>
              <w:left w:type="dxa" w:w="220"/>
              <w:bottom w:type="dxa" w:w="160"/>
              <w:right w:type="dxa" w:w="180"/>
            </w:tcMar>
          </w:tcPr>
          <w:p>
            <w:pPr>
              <w:spacing w:after="60"/>
            </w:pPr>
            <w:r>
              <w:rPr>
                <w:rFonts w:ascii="Calibri" w:cs="Calibri" w:eastAsia="Calibri" w:hAnsi="Calibri"/>
                <w:b/>
                <w:bCs/>
                <w:color w:val="0F766E"/>
                <w:sz w:val="22"/>
                <w:szCs w:val="22"/>
              </w:rPr>
              <w:t xml:space="preserve">How to read this document</w:t>
            </w:r>
          </w:p>
          <w:p>
            <w:pPr>
              <w:spacing w:after="0" w:line="280"/>
            </w:pPr>
            <w:r>
              <w:rPr>
                <w:rFonts w:ascii="Calibri" w:cs="Calibri" w:eastAsia="Calibri" w:hAnsi="Calibri"/>
                <w:color w:val="111827"/>
                <w:sz w:val="22"/>
                <w:szCs w:val="22"/>
              </w:rPr>
              <w:t xml:space="preserve">Every feature is broken into implementation tickets. Each ticket has a scope, an acceptance criterion, backend tasks (Prisma + Express), frontend tasks (React + Tailwind + Recharts), and a UI spec. Tickets are sized in story points (1 = ~half-day of one engineer; 13 = a whole sprint for a small team). Priorities are P0 = blocker for release, P1 = launch-critical, P2 = can slip one sprint.</w:t>
            </w:r>
          </w:p>
        </w:tc>
      </w:tr>
    </w:tbl>
    <w:p>
      <w:r>
        <w:br w:type="page"/>
      </w:r>
    </w:p>
    <w:p>
      <w:pPr>
        <w:pStyle w:val="Heading1"/>
        <w:spacing w:after="180" w:before="360"/>
      </w:pPr>
      <w:r>
        <w:rPr>
          <w:rFonts w:ascii="Calibri" w:cs="Calibri" w:eastAsia="Calibri" w:hAnsi="Calibri"/>
          <w:b/>
          <w:bCs/>
          <w:color w:val="0F766E"/>
          <w:sz w:val="40"/>
          <w:szCs w:val="40"/>
        </w:rPr>
        <w:t xml:space="preserve">0. Orientation</w:t>
      </w:r>
    </w:p>
    <w:p>
      <w:pPr>
        <w:pStyle w:val="Heading2"/>
        <w:spacing w:after="140" w:before="320"/>
      </w:pPr>
      <w:r>
        <w:rPr>
          <w:rFonts w:ascii="Calibri" w:cs="Calibri" w:eastAsia="Calibri" w:hAnsi="Calibri"/>
          <w:b/>
          <w:bCs/>
          <w:color w:val="111827"/>
          <w:sz w:val="30"/>
          <w:szCs w:val="30"/>
        </w:rPr>
        <w:t xml:space="preserve">0.1 What we are building</w:t>
      </w:r>
    </w:p>
    <w:p>
      <w:pPr>
        <w:spacing w:after="120" w:line="300"/>
      </w:pPr>
      <w:r>
        <w:rPr>
          <w:rFonts w:ascii="Calibri" w:cs="Calibri" w:eastAsia="Calibri" w:hAnsi="Calibri"/>
          <w:color w:val="111827"/>
          <w:sz w:val="22"/>
          <w:szCs w:val="22"/>
        </w:rPr>
        <w:t xml:space="preserve">Three distinct but interdependent capabilities that extend the existing Triple I ESG Portal from a horizontal ESG reporting tool into a vertical, product-aware, supply-chain-aware platform. Delivered across four quarters: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E5E7EB" w:sz="4"/>
              <w:left w:val="single" w:color="E5E7EB" w:sz="4"/>
              <w:bottom w:val="single" w:color="E5E7EB" w:sz="4"/>
              <w:right w:val="single" w:color="E5E7EB" w:sz="4"/>
            </w:tcBorders>
            <w:shd w:fill="0F766E" w:val="clear"/>
            <w:tcMar>
              <w:top w:type="dxa" w:w="100"/>
              <w:left w:type="dxa" w:w="140"/>
              <w:bottom w:type="dxa" w:w="100"/>
              <w:right w:type="dxa" w:w="120"/>
            </w:tcMar>
          </w:tcPr>
          <w:p>
            <w:r>
              <w:rPr>
                <w:rFonts w:ascii="Calibri" w:cs="Calibri" w:eastAsia="Calibri" w:hAnsi="Calibri"/>
                <w:b/>
                <w:bCs/>
                <w:color w:val="FFFFFF"/>
                <w:sz w:val="20"/>
                <w:szCs w:val="20"/>
              </w:rPr>
              <w:t xml:space="preserve">Quarter</w:t>
            </w:r>
          </w:p>
        </w:tc>
        <w:tc>
          <w:tcPr>
            <w:tcW w:type="dxa" w:w="3200"/>
            <w:tcBorders>
              <w:top w:val="single" w:color="E5E7EB" w:sz="4"/>
              <w:left w:val="single" w:color="E5E7EB" w:sz="4"/>
              <w:bottom w:val="single" w:color="E5E7EB" w:sz="4"/>
              <w:right w:val="single" w:color="E5E7EB" w:sz="4"/>
            </w:tcBorders>
            <w:shd w:fill="0F766E" w:val="clear"/>
            <w:tcMar>
              <w:top w:type="dxa" w:w="100"/>
              <w:left w:type="dxa" w:w="140"/>
              <w:bottom w:type="dxa" w:w="100"/>
              <w:right w:type="dxa" w:w="120"/>
            </w:tcMar>
          </w:tcPr>
          <w:p>
            <w:r>
              <w:rPr>
                <w:rFonts w:ascii="Calibri" w:cs="Calibri" w:eastAsia="Calibri" w:hAnsi="Calibri"/>
                <w:b/>
                <w:bCs/>
                <w:color w:val="FFFFFF"/>
                <w:sz w:val="20"/>
                <w:szCs w:val="20"/>
              </w:rPr>
              <w:t xml:space="preserve">Release</w:t>
            </w:r>
          </w:p>
        </w:tc>
        <w:tc>
          <w:tcPr>
            <w:tcW w:type="dxa" w:w="4560"/>
            <w:tcBorders>
              <w:top w:val="single" w:color="E5E7EB" w:sz="4"/>
              <w:left w:val="single" w:color="E5E7EB" w:sz="4"/>
              <w:bottom w:val="single" w:color="E5E7EB" w:sz="4"/>
              <w:right w:val="single" w:color="E5E7EB" w:sz="4"/>
            </w:tcBorders>
            <w:shd w:fill="0F766E" w:val="clear"/>
            <w:tcMar>
              <w:top w:type="dxa" w:w="100"/>
              <w:left w:type="dxa" w:w="140"/>
              <w:bottom w:type="dxa" w:w="100"/>
              <w:right w:type="dxa" w:w="120"/>
            </w:tcMar>
          </w:tcPr>
          <w:p>
            <w:r>
              <w:rPr>
                <w:rFonts w:ascii="Calibri" w:cs="Calibri" w:eastAsia="Calibri" w:hAnsi="Calibri"/>
                <w:b/>
                <w:bCs/>
                <w:color w:val="FFFFFF"/>
                <w:sz w:val="20"/>
                <w:szCs w:val="20"/>
              </w:rPr>
              <w:t xml:space="preserve">Customer outcome</w:t>
            </w:r>
          </w:p>
        </w:tc>
      </w:tr>
      <w:tr>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Q2–Q3 2026</w:t>
            </w:r>
          </w:p>
        </w:tc>
        <w:tc>
          <w:tcPr>
            <w:tcW w:type="dxa" w:w="3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PCF Module (Lite) + Electronics Sector Pack</w:t>
            </w:r>
          </w:p>
        </w:tc>
        <w:tc>
          <w:tcPr>
            <w:tcW w:type="dxa" w:w="4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Unigen can calculate and share per-SKU product carbon footprints using their existing BOM data, and report against SASB TC-HW / Responsible Business Alliance alongside GRI.</w:t>
            </w:r>
          </w:p>
        </w:tc>
      </w:tr>
      <w:tr>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Q4 2026</w:t>
            </w:r>
          </w:p>
        </w:tc>
        <w:tc>
          <w:tcPr>
            <w:tcW w:type="dxa" w:w="3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Automotive Sector Pack + Supplier Scope 3 Portal</w:t>
            </w:r>
          </w:p>
        </w:tc>
        <w:tc>
          <w:tcPr>
            <w:tcW w:type="dxa" w:w="4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Automotive Tier-1/2 suppliers can issue Catena-X-compatible PCFs to OEMs; buyers collect primary-data Scope 3 through a supplier-side portal.</w:t>
            </w:r>
          </w:p>
        </w:tc>
      </w:tr>
      <w:tr>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Q1 2027</w:t>
            </w:r>
          </w:p>
        </w:tc>
        <w:tc>
          <w:tcPr>
            <w:tcW w:type="dxa" w:w="3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Real Estate + Financial Services Sector Packs</w:t>
            </w:r>
          </w:p>
        </w:tc>
        <w:tc>
          <w:tcPr>
            <w:tcW w:type="dxa" w:w="4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GRESB-ready asset-level dashboards for REITs; PCAF financed emissions + SFDR PAI indicators for banks and asset managers.</w:t>
            </w:r>
          </w:p>
        </w:tc>
      </w:tr>
    </w:tbl>
    <w:p>
      <w:pPr>
        <w:pStyle w:val="Heading2"/>
        <w:spacing w:after="140" w:before="320"/>
      </w:pPr>
      <w:r>
        <w:rPr>
          <w:rFonts w:ascii="Calibri" w:cs="Calibri" w:eastAsia="Calibri" w:hAnsi="Calibri"/>
          <w:b/>
          <w:bCs/>
          <w:color w:val="111827"/>
          <w:sz w:val="30"/>
          <w:szCs w:val="30"/>
        </w:rPr>
        <w:t xml:space="preserve">0.2 How this plugs into the existing codebase</w:t>
      </w:r>
    </w:p>
    <w:p>
      <w:pPr>
        <w:spacing w:after="120" w:line="300"/>
      </w:pPr>
      <w:r>
        <w:rPr>
          <w:rFonts w:ascii="Calibri" w:cs="Calibri" w:eastAsia="Calibri" w:hAnsi="Calibri"/>
          <w:color w:val="111827"/>
          <w:sz w:val="22"/>
          <w:szCs w:val="22"/>
        </w:rPr>
        <w:t xml:space="preserve">The current stack is Node.js + Express + Prisma ORM + PostgreSQL on the backend, and React 18 + Vite + TailwindCSS + Recharts on the frontend. All new work extends this stack — no framework changes. The existing modules (E1 Climate, S1 Workforce, SBTi Targets, Reports, Data Connections, Credits, History, Lineage) stay exactly as they are; the new modules sit alongside them and reuse the same primitives (auth middleware, credit tracker, AI-ETL pipeline, report generator).</w:t>
      </w:r>
    </w:p>
    <w:p>
      <w:pPr>
        <w:pStyle w:val="Heading2"/>
        <w:spacing w:after="140" w:before="320"/>
      </w:pPr>
      <w:r>
        <w:rPr>
          <w:rFonts w:ascii="Calibri" w:cs="Calibri" w:eastAsia="Calibri" w:hAnsi="Calibri"/>
          <w:b/>
          <w:bCs/>
          <w:color w:val="111827"/>
          <w:sz w:val="30"/>
          <w:szCs w:val="30"/>
        </w:rPr>
        <w:t xml:space="preserve">0.3 Architectural principles (apply to every ticket)</w:t>
      </w:r>
    </w:p>
    <w:p>
      <w:pPr>
        <w:pStyle w:val="ListParagraph"/>
        <w:numPr>
          <w:ilvl w:val="0"/>
          <w:numId w:val="2"/>
        </w:numPr>
        <w:spacing w:after="80" w:line="280"/>
      </w:pPr>
      <w:r>
        <w:rPr>
          <w:rFonts w:ascii="Calibri" w:cs="Calibri" w:eastAsia="Calibri" w:hAnsi="Calibri"/>
          <w:color w:val="111827"/>
          <w:sz w:val="22"/>
          <w:szCs w:val="22"/>
        </w:rPr>
        <w:t xml:space="preserve">Keep the AI-ETL pattern. Every new ingestion surface (BOM upload, supplier portal submission, asset energy file) must route through the same AI schema-mapping and cleaning pipeline already used for E1/S1. Never make the user map columns by hand.</w:t>
      </w:r>
    </w:p>
    <w:p>
      <w:pPr>
        <w:pStyle w:val="ListParagraph"/>
        <w:numPr>
          <w:ilvl w:val="0"/>
          <w:numId w:val="2"/>
        </w:numPr>
        <w:spacing w:after="80" w:line="280"/>
      </w:pPr>
      <w:r>
        <w:rPr>
          <w:rFonts w:ascii="Calibri" w:cs="Calibri" w:eastAsia="Calibri" w:hAnsi="Calibri"/>
          <w:color w:val="111827"/>
          <w:sz w:val="22"/>
          <w:szCs w:val="22"/>
        </w:rPr>
        <w:t xml:space="preserve">Use the existing credit model. PCF calculations and sector-pack AI calls are billable events — add new transactionType enum values rather than building a parallel metering system.</w:t>
      </w:r>
    </w:p>
    <w:p>
      <w:pPr>
        <w:pStyle w:val="ListParagraph"/>
        <w:numPr>
          <w:ilvl w:val="0"/>
          <w:numId w:val="2"/>
        </w:numPr>
        <w:spacing w:after="80" w:line="280"/>
      </w:pPr>
      <w:r>
        <w:rPr>
          <w:rFonts w:ascii="Calibri" w:cs="Calibri" w:eastAsia="Calibri" w:hAnsi="Calibri"/>
          <w:color w:val="111827"/>
          <w:sz w:val="22"/>
          <w:szCs w:val="22"/>
        </w:rPr>
        <w:t xml:space="preserve">Sector packs are data, not code. A sector pack is a seeded bundle of KPI definitions, materiality starters, emission factors, report templates, and benchmark buckets — loaded from JSON at seed time and rendered by generic components. Adding a new sector must not require frontend work.</w:t>
      </w:r>
    </w:p>
    <w:p>
      <w:pPr>
        <w:pStyle w:val="ListParagraph"/>
        <w:numPr>
          <w:ilvl w:val="0"/>
          <w:numId w:val="2"/>
        </w:numPr>
        <w:spacing w:after="80" w:line="280"/>
      </w:pPr>
      <w:r>
        <w:rPr>
          <w:rFonts w:ascii="Calibri" w:cs="Calibri" w:eastAsia="Calibri" w:hAnsi="Calibri"/>
          <w:color w:val="111827"/>
          <w:sz w:val="22"/>
          <w:szCs w:val="22"/>
        </w:rPr>
        <w:t xml:space="preserve">Primary vs secondary data is a first-class flag. Every emissions number — from the E1 module, from PCF, from the supplier portal — must carry a dataQualityFlag so ESRS E1 §51(g) ("% primary data") computes automatically.</w:t>
      </w:r>
    </w:p>
    <w:p>
      <w:pPr>
        <w:pStyle w:val="ListParagraph"/>
        <w:numPr>
          <w:ilvl w:val="0"/>
          <w:numId w:val="2"/>
        </w:numPr>
        <w:spacing w:after="80" w:line="280"/>
      </w:pPr>
      <w:r>
        <w:rPr>
          <w:rFonts w:ascii="Calibri" w:cs="Calibri" w:eastAsia="Calibri" w:hAnsi="Calibri"/>
          <w:color w:val="111827"/>
          <w:sz w:val="22"/>
          <w:szCs w:val="22"/>
        </w:rPr>
        <w:t xml:space="preserve">Every AI-generated number must be traceable to a source. Reuse the existing Data Lineage module — PCF calculations link back to BOM line items, supplier submissions, and emission-factor versions.</w:t>
      </w:r>
    </w:p>
    <w:p>
      <w:pPr>
        <w:pStyle w:val="ListParagraph"/>
        <w:numPr>
          <w:ilvl w:val="0"/>
          <w:numId w:val="2"/>
        </w:numPr>
        <w:spacing w:after="80" w:line="280"/>
      </w:pPr>
      <w:r>
        <w:rPr>
          <w:rFonts w:ascii="Calibri" w:cs="Calibri" w:eastAsia="Calibri" w:hAnsi="Calibri"/>
          <w:color w:val="111827"/>
          <w:sz w:val="22"/>
          <w:szCs w:val="22"/>
        </w:rPr>
        <w:t xml:space="preserve">No new top-level sidebar entries unless a feature is genuinely user-facing as a discrete destination. Sector selection is a setting; PCF lives under Environmental; the supplier portal is a separate subdomain/app.</w:t>
      </w:r>
    </w:p>
    <w:p>
      <w:r>
        <w:br w:type="page"/>
      </w:r>
    </w:p>
    <w:p>
      <w:pPr>
        <w:pStyle w:val="Heading1"/>
        <w:spacing w:after="180" w:before="360"/>
      </w:pPr>
      <w:r>
        <w:rPr>
          <w:rFonts w:ascii="Calibri" w:cs="Calibri" w:eastAsia="Calibri" w:hAnsi="Calibri"/>
          <w:b/>
          <w:bCs/>
          <w:color w:val="0F766E"/>
          <w:sz w:val="40"/>
          <w:szCs w:val="40"/>
        </w:rPr>
        <w:t xml:space="preserve">1. Q2–Q3 2026  ·  PCF Module (Lite) + Electronics Sector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4"/>
              <w:left w:val="single" w:color="0F766E" w:sz="24"/>
              <w:bottom w:val="single" w:color="0F766E" w:sz="4"/>
              <w:right w:val="single" w:color="0F766E" w:sz="4"/>
            </w:tcBorders>
            <w:shd w:fill="F0FDFA" w:val="clear"/>
            <w:tcMar>
              <w:top w:type="dxa" w:w="160"/>
              <w:left w:type="dxa" w:w="220"/>
              <w:bottom w:type="dxa" w:w="160"/>
              <w:right w:type="dxa" w:w="180"/>
            </w:tcMar>
          </w:tcPr>
          <w:p>
            <w:pPr>
              <w:spacing w:after="60"/>
            </w:pPr>
            <w:r>
              <w:rPr>
                <w:rFonts w:ascii="Calibri" w:cs="Calibri" w:eastAsia="Calibri" w:hAnsi="Calibri"/>
                <w:b/>
                <w:bCs/>
                <w:color w:val="0F766E"/>
                <w:sz w:val="22"/>
                <w:szCs w:val="22"/>
              </w:rPr>
              <w:t xml:space="preserve">Design-partner framing</w:t>
            </w:r>
          </w:p>
          <w:p>
            <w:pPr>
              <w:spacing w:after="0" w:line="280"/>
            </w:pPr>
            <w:r>
              <w:rPr>
                <w:rFonts w:ascii="Calibri" w:cs="Calibri" w:eastAsia="Calibri" w:hAnsi="Calibri"/>
                <w:color w:val="111827"/>
                <w:sz w:val="22"/>
                <w:szCs w:val="22"/>
              </w:rPr>
              <w:t xml:space="preserve">Unigen gets the Electronics Sector Pack free for 12 months in exchange for a named case study, their anonymised data seeding the first benchmark cohort, and one seat on the Customer Advisory Board. This means the first PCF calculations the engine runs are Unigen's SSDs, DRAM modules, and power supplies — design the UX for an electronics engineer, not a generalist.</w:t>
            </w:r>
          </w:p>
        </w:tc>
      </w:tr>
    </w:tbl>
    <w:p>
      <w:pPr>
        <w:pStyle w:val="Heading2"/>
        <w:spacing w:after="140" w:before="320"/>
      </w:pPr>
      <w:r>
        <w:rPr>
          <w:rFonts w:ascii="Calibri" w:cs="Calibri" w:eastAsia="Calibri" w:hAnsi="Calibri"/>
          <w:b/>
          <w:bCs/>
          <w:color w:val="111827"/>
          <w:sz w:val="30"/>
          <w:szCs w:val="30"/>
        </w:rPr>
        <w:t xml:space="preserve">1.1 PCF Core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00"/>
        <w:gridCol w:w="1230"/>
        <w:gridCol w:w="1230"/>
      </w:tblGrid>
      <w:tr>
        <w:tc>
          <w:tcPr>
            <w:tcW w:type="dxa" w:w="1400"/>
            <w:tcBorders>
              <w:top w:val="single" w:color="0F766E" w:sz="4"/>
              <w:left w:val="single" w:color="0F766E" w:sz="4"/>
              <w:bottom w:val="single" w:color="0F766E" w:sz="4"/>
              <w:right w:val="single" w:color="0F766E" w:sz="4"/>
            </w:tcBorders>
            <w:shd w:fill="0F766E" w:val="clear"/>
            <w:tcMar>
              <w:top w:type="dxa" w:w="140"/>
              <w:left w:type="dxa" w:w="160"/>
              <w:bottom w:type="dxa" w:w="140"/>
              <w:right w:type="dxa" w:w="160"/>
            </w:tcMar>
          </w:tcPr>
          <w:p>
            <w:pPr>
              <w:jc w:val="center"/>
            </w:pPr>
            <w:r>
              <w:rPr>
                <w:rFonts w:ascii="Calibri" w:cs="Calibri" w:eastAsia="Calibri" w:hAnsi="Calibri"/>
                <w:b/>
                <w:bCs/>
                <w:color w:val="FFFFFF"/>
                <w:sz w:val="22"/>
                <w:szCs w:val="22"/>
              </w:rPr>
              <w:t xml:space="preserve">PCF-01</w:t>
            </w:r>
          </w:p>
        </w:tc>
        <w:tc>
          <w:tcPr>
            <w:tcW w:type="dxa" w:w="5500"/>
            <w:tcBorders>
              <w:top w:val="single" w:color="0F766E" w:sz="4"/>
              <w:left w:val="single" w:color="0F766E" w:sz="4"/>
              <w:bottom w:val="single" w:color="0F766E" w:sz="4"/>
              <w:right w:val="single" w:color="0F766E" w:sz="4"/>
            </w:tcBorders>
            <w:shd w:fill="CCFBF1" w:val="clear"/>
            <w:tcMar>
              <w:top w:type="dxa" w:w="140"/>
              <w:left w:type="dxa" w:w="160"/>
              <w:bottom w:type="dxa" w:w="140"/>
              <w:right w:type="dxa" w:w="160"/>
            </w:tcMar>
          </w:tcPr>
          <w:p>
            <w:r>
              <w:rPr>
                <w:rFonts w:ascii="Calibri" w:cs="Calibri" w:eastAsia="Calibri" w:hAnsi="Calibri"/>
                <w:b/>
                <w:bCs/>
                <w:color w:val="111827"/>
                <w:sz w:val="22"/>
                <w:szCs w:val="22"/>
              </w:rPr>
              <w:t xml:space="preserve">Extend Prisma schema with product &amp; BOM models</w:t>
            </w:r>
          </w:p>
        </w:tc>
        <w:tc>
          <w:tcPr>
            <w:tcW w:type="dxa" w:w="1230"/>
            <w:tcBorders>
              <w:top w:val="single" w:color="0F766E" w:sz="4"/>
              <w:left w:val="single" w:color="0F766E" w:sz="4"/>
              <w:bottom w:val="single" w:color="0F766E" w:sz="4"/>
              <w:right w:val="single" w:color="0F766E" w:sz="4"/>
            </w:tcBorders>
            <w:shd w:fill="CCFBF1" w:val="clear"/>
            <w:tcMar>
              <w:top w:type="dxa" w:w="140"/>
              <w:left w:type="dxa" w:w="120"/>
              <w:bottom w:type="dxa" w:w="140"/>
              <w:right w:type="dxa" w:w="120"/>
            </w:tcMar>
          </w:tcPr>
          <w:p>
            <w:pPr>
              <w:jc w:val="center"/>
            </w:pPr>
            <w:r>
              <w:rPr>
                <w:rFonts w:ascii="Calibri" w:cs="Calibri" w:eastAsia="Calibri" w:hAnsi="Calibri"/>
                <w:b/>
                <w:bCs/>
                <w:color w:val="111827"/>
                <w:sz w:val="20"/>
                <w:szCs w:val="20"/>
              </w:rPr>
              <w:t xml:space="preserve">8 pts</w:t>
            </w:r>
          </w:p>
        </w:tc>
        <w:tc>
          <w:tcPr>
            <w:tcW w:type="dxa" w:w="1230"/>
            <w:tcBorders>
              <w:top w:val="single" w:color="0F766E" w:sz="4"/>
              <w:left w:val="single" w:color="0F766E" w:sz="4"/>
              <w:bottom w:val="single" w:color="0F766E" w:sz="4"/>
              <w:right w:val="single" w:color="0F766E" w:sz="4"/>
            </w:tcBorders>
            <w:shd w:fill="CCFBF1" w:val="clear"/>
            <w:tcMar>
              <w:top w:type="dxa" w:w="140"/>
              <w:left w:type="dxa" w:w="120"/>
              <w:bottom w:type="dxa" w:w="140"/>
              <w:right w:type="dxa" w:w="120"/>
            </w:tcMar>
          </w:tcPr>
          <w:p>
            <w:pPr>
              <w:jc w:val="center"/>
            </w:pPr>
            <w:r>
              <w:rPr>
                <w:rFonts w:ascii="Calibri" w:cs="Calibri" w:eastAsia="Calibri" w:hAnsi="Calibri"/>
                <w:b/>
                <w:bCs/>
                <w:color w:val="111827"/>
                <w:sz w:val="20"/>
                <w:szCs w:val="20"/>
              </w:rPr>
              <w:t xml:space="preserve">P0</w:t>
            </w:r>
          </w:p>
        </w:tc>
      </w:tr>
    </w:tbl>
    <w:p>
      <w:pPr>
        <w:spacing w:after="100"/>
      </w:pPr>
      <w:r>
        <w:t xml:space="preserve"/>
      </w:r>
    </w:p>
    <w:p>
      <w:pPr>
        <w:spacing w:after="80" w:before="180"/>
      </w:pPr>
      <w:r>
        <w:rPr>
          <w:rFonts w:ascii="Calibri" w:cs="Calibri" w:eastAsia="Calibri" w:hAnsi="Calibri"/>
          <w:b/>
          <w:bCs/>
          <w:color w:val="0F766E"/>
          <w:sz w:val="22"/>
          <w:szCs w:val="22"/>
        </w:rPr>
        <w:t xml:space="preserve">Scope</w:t>
      </w:r>
    </w:p>
    <w:p>
      <w:pPr>
        <w:spacing w:after="120" w:line="300"/>
      </w:pPr>
      <w:r>
        <w:rPr>
          <w:rFonts w:ascii="Calibri" w:cs="Calibri" w:eastAsia="Calibri" w:hAnsi="Calibri"/>
          <w:color w:val="111827"/>
          <w:sz w:val="22"/>
          <w:szCs w:val="22"/>
        </w:rPr>
        <w:t xml:space="preserve">Add seven new Prisma models that form the PCF graph. The models are shared across every sector pack (an SSD, a vehicle, a building, and a financial product are all Products with different LifecycleStages active).</w:t>
      </w:r>
    </w:p>
    <w:p>
      <w:pPr>
        <w:spacing w:after="80" w:before="180"/>
      </w:pPr>
      <w:r>
        <w:rPr>
          <w:rFonts w:ascii="Calibri" w:cs="Calibri" w:eastAsia="Calibri" w:hAnsi="Calibri"/>
          <w:b/>
          <w:bCs/>
          <w:color w:val="0F766E"/>
          <w:sz w:val="22"/>
          <w:szCs w:val="22"/>
        </w:rPr>
        <w:t xml:space="preserve">Prisma schema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0" w:line="260"/>
            </w:pPr>
            <w:r>
              <w:rPr>
                <w:rFonts w:ascii="Consolas" w:cs="Consolas" w:eastAsia="Consolas" w:hAnsi="Consolas"/>
                <w:color w:val="111827"/>
                <w:sz w:val="18"/>
                <w:szCs w:val="18"/>
              </w:rPr>
              <w:t xml:space="preserve">model Product {</w:t>
            </w:r>
          </w:p>
          <w:p>
            <w:pPr>
              <w:spacing w:after="0" w:line="260"/>
            </w:pPr>
            <w:r>
              <w:rPr>
                <w:rFonts w:ascii="Consolas" w:cs="Consolas" w:eastAsia="Consolas" w:hAnsi="Consolas"/>
                <w:color w:val="111827"/>
                <w:sz w:val="18"/>
                <w:szCs w:val="18"/>
              </w:rPr>
              <w:t xml:space="preserve">  id              String   @id @default(uuid())</w:t>
            </w:r>
          </w:p>
          <w:p>
            <w:pPr>
              <w:spacing w:after="0" w:line="260"/>
            </w:pPr>
            <w:r>
              <w:rPr>
                <w:rFonts w:ascii="Consolas" w:cs="Consolas" w:eastAsia="Consolas" w:hAnsi="Consolas"/>
                <w:color w:val="111827"/>
                <w:sz w:val="18"/>
                <w:szCs w:val="18"/>
              </w:rPr>
              <w:t xml:space="preserve">  companyId       String</w:t>
            </w:r>
          </w:p>
          <w:p>
            <w:pPr>
              <w:spacing w:after="0" w:line="260"/>
            </w:pPr>
            <w:r>
              <w:rPr>
                <w:rFonts w:ascii="Consolas" w:cs="Consolas" w:eastAsia="Consolas" w:hAnsi="Consolas"/>
                <w:color w:val="111827"/>
                <w:sz w:val="18"/>
                <w:szCs w:val="18"/>
              </w:rPr>
              <w:t xml:space="preserve">  company         Company  @relation(fields: [companyId], references: [id], onDelete: Cascade)</w:t>
            </w:r>
          </w:p>
          <w:p>
            <w:pPr>
              <w:spacing w:after="0" w:line="260"/>
            </w:pPr>
            <w:r>
              <w:rPr>
                <w:rFonts w:ascii="Consolas" w:cs="Consolas" w:eastAsia="Consolas" w:hAnsi="Consolas"/>
                <w:color w:val="111827"/>
                <w:sz w:val="18"/>
                <w:szCs w:val="18"/>
              </w:rPr>
              <w:t xml:space="preserve">  orgUnitId       String?</w:t>
            </w:r>
          </w:p>
          <w:p>
            <w:pPr>
              <w:spacing w:after="0" w:line="260"/>
            </w:pPr>
            <w:r>
              <w:rPr>
                <w:rFonts w:ascii="Consolas" w:cs="Consolas" w:eastAsia="Consolas" w:hAnsi="Consolas"/>
                <w:color w:val="111827"/>
                <w:sz w:val="18"/>
                <w:szCs w:val="18"/>
              </w:rPr>
              <w:t xml:space="preserve">  orgUnit         OrgUnit? @relation(fields: [orgUnitId], references: [id])</w:t>
            </w:r>
          </w:p>
          <w:p>
            <w:pPr>
              <w:spacing w:after="0" w:line="260"/>
            </w:pPr>
            <w:r>
              <w:rPr>
                <w:rFonts w:ascii="Consolas" w:cs="Consolas" w:eastAsia="Consolas" w:hAnsi="Consolas"/>
                <w:color w:val="111827"/>
                <w:sz w:val="18"/>
                <w:szCs w:val="18"/>
              </w:rPr>
              <w:t xml:space="preserve">  sku             String</w:t>
            </w:r>
          </w:p>
          <w:p>
            <w:pPr>
              <w:spacing w:after="0" w:line="260"/>
            </w:pPr>
            <w:r>
              <w:rPr>
                <w:rFonts w:ascii="Consolas" w:cs="Consolas" w:eastAsia="Consolas" w:hAnsi="Consolas"/>
                <w:color w:val="111827"/>
                <w:sz w:val="18"/>
                <w:szCs w:val="18"/>
              </w:rPr>
              <w:t xml:space="preserve">  name            String</w:t>
            </w:r>
          </w:p>
          <w:p>
            <w:pPr>
              <w:spacing w:after="0" w:line="260"/>
            </w:pPr>
            <w:r>
              <w:rPr>
                <w:rFonts w:ascii="Consolas" w:cs="Consolas" w:eastAsia="Consolas" w:hAnsi="Consolas"/>
                <w:color w:val="111827"/>
                <w:sz w:val="18"/>
                <w:szCs w:val="18"/>
              </w:rPr>
              <w:t xml:space="preserve">  sector          String   // electronics | automotive | real_estate | financial | generic</w:t>
            </w:r>
          </w:p>
          <w:p>
            <w:pPr>
              <w:spacing w:after="0" w:line="260"/>
            </w:pPr>
            <w:r>
              <w:rPr>
                <w:rFonts w:ascii="Consolas" w:cs="Consolas" w:eastAsia="Consolas" w:hAnsi="Consolas"/>
                <w:color w:val="111827"/>
                <w:sz w:val="18"/>
                <w:szCs w:val="18"/>
              </w:rPr>
              <w:t xml:space="preserve">  functionalUnit  String   // "1 SSD module", "1 vehicle", "1 m2 leasable"</w:t>
            </w:r>
          </w:p>
          <w:p>
            <w:pPr>
              <w:spacing w:after="0" w:line="260"/>
            </w:pPr>
            <w:r>
              <w:rPr>
                <w:rFonts w:ascii="Consolas" w:cs="Consolas" w:eastAsia="Consolas" w:hAnsi="Consolas"/>
                <w:color w:val="111827"/>
                <w:sz w:val="18"/>
                <w:szCs w:val="18"/>
              </w:rPr>
              <w:t xml:space="preserve">  declaredUnit    String   // usually same as functionalUnit for Lite</w:t>
            </w:r>
          </w:p>
          <w:p>
            <w:pPr>
              <w:spacing w:after="0" w:line="260"/>
            </w:pPr>
            <w:r>
              <w:rPr>
                <w:rFonts w:ascii="Consolas" w:cs="Consolas" w:eastAsia="Consolas" w:hAnsi="Consolas"/>
                <w:color w:val="111827"/>
                <w:sz w:val="18"/>
                <w:szCs w:val="18"/>
              </w:rPr>
              <w:t xml:space="preserve">  massKg          Float?</w:t>
            </w:r>
          </w:p>
          <w:p>
            <w:pPr>
              <w:spacing w:after="0" w:line="260"/>
            </w:pPr>
            <w:r>
              <w:rPr>
                <w:rFonts w:ascii="Consolas" w:cs="Consolas" w:eastAsia="Consolas" w:hAnsi="Consolas"/>
                <w:color w:val="111827"/>
                <w:sz w:val="18"/>
                <w:szCs w:val="18"/>
              </w:rPr>
              <w:t xml:space="preserve">  lifetimeYears   Float?</w:t>
            </w:r>
          </w:p>
          <w:p>
            <w:pPr>
              <w:spacing w:after="0" w:line="260"/>
            </w:pPr>
            <w:r>
              <w:rPr>
                <w:rFonts w:ascii="Consolas" w:cs="Consolas" w:eastAsia="Consolas" w:hAnsi="Consolas"/>
                <w:color w:val="111827"/>
                <w:sz w:val="18"/>
                <w:szCs w:val="18"/>
              </w:rPr>
              <w:t xml:space="preserve">  methodology     String   @default("ISO_14067")</w:t>
            </w:r>
          </w:p>
          <w:p>
            <w:pPr>
              <w:spacing w:after="0" w:line="260"/>
            </w:pPr>
            <w:r>
              <w:rPr>
                <w:rFonts w:ascii="Consolas" w:cs="Consolas" w:eastAsia="Consolas" w:hAnsi="Consolas"/>
                <w:color w:val="111827"/>
                <w:sz w:val="18"/>
                <w:szCs w:val="18"/>
              </w:rPr>
              <w:t xml:space="preserve">  createdAt       DateTime @default(now())</w:t>
            </w:r>
          </w:p>
          <w:p>
            <w:pPr>
              <w:spacing w:after="0" w:line="260"/>
            </w:pPr>
            <w:r>
              <w:rPr>
                <w:rFonts w:ascii="Consolas" w:cs="Consolas" w:eastAsia="Consolas" w:hAnsi="Consolas"/>
                <w:color w:val="111827"/>
                <w:sz w:val="18"/>
                <w:szCs w:val="18"/>
              </w:rPr>
              <w:t xml:space="preserve">  updatedAt       DateTime @updatedAt</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boms            BillOfMaterialsItem[]</w:t>
            </w:r>
          </w:p>
          <w:p>
            <w:pPr>
              <w:spacing w:after="0" w:line="260"/>
            </w:pPr>
            <w:r>
              <w:rPr>
                <w:rFonts w:ascii="Consolas" w:cs="Consolas" w:eastAsia="Consolas" w:hAnsi="Consolas"/>
                <w:color w:val="111827"/>
                <w:sz w:val="18"/>
                <w:szCs w:val="18"/>
              </w:rPr>
              <w:t xml:space="preserve">  processes       ProcessStep[]</w:t>
            </w:r>
          </w:p>
          <w:p>
            <w:pPr>
              <w:spacing w:after="0" w:line="260"/>
            </w:pPr>
            <w:r>
              <w:rPr>
                <w:rFonts w:ascii="Consolas" w:cs="Consolas" w:eastAsia="Consolas" w:hAnsi="Consolas"/>
                <w:color w:val="111827"/>
                <w:sz w:val="18"/>
                <w:szCs w:val="18"/>
              </w:rPr>
              <w:t xml:space="preserve">  calculations    PcfCalculation[]</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@@unique([companyId, sku])</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model Component {</w:t>
            </w:r>
          </w:p>
          <w:p>
            <w:pPr>
              <w:spacing w:after="0" w:line="260"/>
            </w:pPr>
            <w:r>
              <w:rPr>
                <w:rFonts w:ascii="Consolas" w:cs="Consolas" w:eastAsia="Consolas" w:hAnsi="Consolas"/>
                <w:color w:val="111827"/>
                <w:sz w:val="18"/>
                <w:szCs w:val="18"/>
              </w:rPr>
              <w:t xml:space="preserve">  id              String   @id @default(uuid())</w:t>
            </w:r>
          </w:p>
          <w:p>
            <w:pPr>
              <w:spacing w:after="0" w:line="260"/>
            </w:pPr>
            <w:r>
              <w:rPr>
                <w:rFonts w:ascii="Consolas" w:cs="Consolas" w:eastAsia="Consolas" w:hAnsi="Consolas"/>
                <w:color w:val="111827"/>
                <w:sz w:val="18"/>
                <w:szCs w:val="18"/>
              </w:rPr>
              <w:t xml:space="preserve">  companyId       String</w:t>
            </w:r>
          </w:p>
          <w:p>
            <w:pPr>
              <w:spacing w:after="0" w:line="260"/>
            </w:pPr>
            <w:r>
              <w:rPr>
                <w:rFonts w:ascii="Consolas" w:cs="Consolas" w:eastAsia="Consolas" w:hAnsi="Consolas"/>
                <w:color w:val="111827"/>
                <w:sz w:val="18"/>
                <w:szCs w:val="18"/>
              </w:rPr>
              <w:t xml:space="preserve">  company         Company  @relation(fields: [companyId], references: [id], onDelete: Cascade)</w:t>
            </w:r>
          </w:p>
          <w:p>
            <w:pPr>
              <w:spacing w:after="0" w:line="260"/>
            </w:pPr>
            <w:r>
              <w:rPr>
                <w:rFonts w:ascii="Consolas" w:cs="Consolas" w:eastAsia="Consolas" w:hAnsi="Consolas"/>
                <w:color w:val="111827"/>
                <w:sz w:val="18"/>
                <w:szCs w:val="18"/>
              </w:rPr>
              <w:t xml:space="preserve">  name            String</w:t>
            </w:r>
          </w:p>
          <w:p>
            <w:pPr>
              <w:spacing w:after="0" w:line="260"/>
            </w:pPr>
            <w:r>
              <w:rPr>
                <w:rFonts w:ascii="Consolas" w:cs="Consolas" w:eastAsia="Consolas" w:hAnsi="Consolas"/>
                <w:color w:val="111827"/>
                <w:sz w:val="18"/>
                <w:szCs w:val="18"/>
              </w:rPr>
              <w:t xml:space="preserve">  materialClass   String   // "aluminum_6061", "pcb_fr4", "li_ion_nmc", ...</w:t>
            </w:r>
          </w:p>
          <w:p>
            <w:pPr>
              <w:spacing w:after="0" w:line="260"/>
            </w:pPr>
            <w:r>
              <w:rPr>
                <w:rFonts w:ascii="Consolas" w:cs="Consolas" w:eastAsia="Consolas" w:hAnsi="Consolas"/>
                <w:color w:val="111827"/>
                <w:sz w:val="18"/>
                <w:szCs w:val="18"/>
              </w:rPr>
              <w:t xml:space="preserve">  supplierName    String?</w:t>
            </w:r>
          </w:p>
          <w:p>
            <w:pPr>
              <w:spacing w:after="0" w:line="260"/>
            </w:pPr>
            <w:r>
              <w:rPr>
                <w:rFonts w:ascii="Consolas" w:cs="Consolas" w:eastAsia="Consolas" w:hAnsi="Consolas"/>
                <w:color w:val="111827"/>
                <w:sz w:val="18"/>
                <w:szCs w:val="18"/>
              </w:rPr>
              <w:t xml:space="preserve">  originCountry   String?</w:t>
            </w:r>
          </w:p>
          <w:p>
            <w:pPr>
              <w:spacing w:after="0" w:line="260"/>
            </w:pPr>
            <w:r>
              <w:rPr>
                <w:rFonts w:ascii="Consolas" w:cs="Consolas" w:eastAsia="Consolas" w:hAnsi="Consolas"/>
                <w:color w:val="111827"/>
                <w:sz w:val="18"/>
                <w:szCs w:val="18"/>
              </w:rPr>
              <w:t xml:space="preserve">  primaryDataFlag Boolean  @default(false)</w:t>
            </w:r>
          </w:p>
          <w:p>
            <w:pPr>
              <w:spacing w:after="0" w:line="260"/>
            </w:pPr>
            <w:r>
              <w:rPr>
                <w:rFonts w:ascii="Consolas" w:cs="Consolas" w:eastAsia="Consolas" w:hAnsi="Consolas"/>
                <w:color w:val="111827"/>
                <w:sz w:val="18"/>
                <w:szCs w:val="18"/>
              </w:rPr>
              <w:t xml:space="preserve">  createdAt       DateTime @default(now())</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bomItems        BillOfMaterialsItem[]</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model BillOfMaterialsItem {</w:t>
            </w:r>
          </w:p>
          <w:p>
            <w:pPr>
              <w:spacing w:after="0" w:line="260"/>
            </w:pPr>
            <w:r>
              <w:rPr>
                <w:rFonts w:ascii="Consolas" w:cs="Consolas" w:eastAsia="Consolas" w:hAnsi="Consolas"/>
                <w:color w:val="111827"/>
                <w:sz w:val="18"/>
                <w:szCs w:val="18"/>
              </w:rPr>
              <w:t xml:space="preserve">  id             String    @id @default(uuid())</w:t>
            </w:r>
          </w:p>
          <w:p>
            <w:pPr>
              <w:spacing w:after="0" w:line="260"/>
            </w:pPr>
            <w:r>
              <w:rPr>
                <w:rFonts w:ascii="Consolas" w:cs="Consolas" w:eastAsia="Consolas" w:hAnsi="Consolas"/>
                <w:color w:val="111827"/>
                <w:sz w:val="18"/>
                <w:szCs w:val="18"/>
              </w:rPr>
              <w:t xml:space="preserve">  productId      String</w:t>
            </w:r>
          </w:p>
          <w:p>
            <w:pPr>
              <w:spacing w:after="0" w:line="260"/>
            </w:pPr>
            <w:r>
              <w:rPr>
                <w:rFonts w:ascii="Consolas" w:cs="Consolas" w:eastAsia="Consolas" w:hAnsi="Consolas"/>
                <w:color w:val="111827"/>
                <w:sz w:val="18"/>
                <w:szCs w:val="18"/>
              </w:rPr>
              <w:t xml:space="preserve">  product        Product   @relation(fields: [productId], references: [id], onDelete: Cascade)</w:t>
            </w:r>
          </w:p>
          <w:p>
            <w:pPr>
              <w:spacing w:after="0" w:line="260"/>
            </w:pPr>
            <w:r>
              <w:rPr>
                <w:rFonts w:ascii="Consolas" w:cs="Consolas" w:eastAsia="Consolas" w:hAnsi="Consolas"/>
                <w:color w:val="111827"/>
                <w:sz w:val="18"/>
                <w:szCs w:val="18"/>
              </w:rPr>
              <w:t xml:space="preserve">  componentId    String</w:t>
            </w:r>
          </w:p>
          <w:p>
            <w:pPr>
              <w:spacing w:after="0" w:line="260"/>
            </w:pPr>
            <w:r>
              <w:rPr>
                <w:rFonts w:ascii="Consolas" w:cs="Consolas" w:eastAsia="Consolas" w:hAnsi="Consolas"/>
                <w:color w:val="111827"/>
                <w:sz w:val="18"/>
                <w:szCs w:val="18"/>
              </w:rPr>
              <w:t xml:space="preserve">  component      Component @relation(fields: [componentId], references: [id])</w:t>
            </w:r>
          </w:p>
          <w:p>
            <w:pPr>
              <w:spacing w:after="0" w:line="260"/>
            </w:pPr>
            <w:r>
              <w:rPr>
                <w:rFonts w:ascii="Consolas" w:cs="Consolas" w:eastAsia="Consolas" w:hAnsi="Consolas"/>
                <w:color w:val="111827"/>
                <w:sz w:val="18"/>
                <w:szCs w:val="18"/>
              </w:rPr>
              <w:t xml:space="preserve">  quantity       Float</w:t>
            </w:r>
          </w:p>
          <w:p>
            <w:pPr>
              <w:spacing w:after="0" w:line="260"/>
            </w:pPr>
            <w:r>
              <w:rPr>
                <w:rFonts w:ascii="Consolas" w:cs="Consolas" w:eastAsia="Consolas" w:hAnsi="Consolas"/>
                <w:color w:val="111827"/>
                <w:sz w:val="18"/>
                <w:szCs w:val="18"/>
              </w:rPr>
              <w:t xml:space="preserve">  unit           String    // kg, pcs, m, m2</w:t>
            </w:r>
          </w:p>
          <w:p>
            <w:pPr>
              <w:spacing w:after="0" w:line="260"/>
            </w:pPr>
            <w:r>
              <w:rPr>
                <w:rFonts w:ascii="Consolas" w:cs="Consolas" w:eastAsia="Consolas" w:hAnsi="Consolas"/>
                <w:color w:val="111827"/>
                <w:sz w:val="18"/>
                <w:szCs w:val="18"/>
              </w:rPr>
              <w:t xml:space="preserve">  scrapRatePct   Float     @default(0)</w:t>
            </w:r>
          </w:p>
          <w:p>
            <w:pPr>
              <w:spacing w:after="0" w:line="260"/>
            </w:pPr>
            <w:r>
              <w:rPr>
                <w:rFonts w:ascii="Consolas" w:cs="Consolas" w:eastAsia="Consolas" w:hAnsi="Consolas"/>
                <w:color w:val="111827"/>
                <w:sz w:val="18"/>
                <w:szCs w:val="18"/>
              </w:rPr>
              <w:t xml:space="preserve">  lifecycleStage String    // A1, A2, A3, A4, B1, C1 (EN 15978 stages)</w:t>
            </w:r>
          </w:p>
          <w:p>
            <w:pPr>
              <w:spacing w:after="0" w:line="260"/>
            </w:pPr>
            <w:r>
              <w:rPr>
                <w:rFonts w:ascii="Consolas" w:cs="Consolas" w:eastAsia="Consolas" w:hAnsi="Consolas"/>
                <w:color w:val="111827"/>
                <w:sz w:val="18"/>
                <w:szCs w:val="18"/>
              </w:rPr>
              <w:t xml:space="preserve">  sortOrder      Int       @default(0)</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model EmissionFactor {</w:t>
            </w:r>
          </w:p>
          <w:p>
            <w:pPr>
              <w:spacing w:after="0" w:line="260"/>
            </w:pPr>
            <w:r>
              <w:rPr>
                <w:rFonts w:ascii="Consolas" w:cs="Consolas" w:eastAsia="Consolas" w:hAnsi="Consolas"/>
                <w:color w:val="111827"/>
                <w:sz w:val="18"/>
                <w:szCs w:val="18"/>
              </w:rPr>
              <w:t xml:space="preserve">  id            String   @id @default(uuid())</w:t>
            </w:r>
          </w:p>
          <w:p>
            <w:pPr>
              <w:spacing w:after="0" w:line="260"/>
            </w:pPr>
            <w:r>
              <w:rPr>
                <w:rFonts w:ascii="Consolas" w:cs="Consolas" w:eastAsia="Consolas" w:hAnsi="Consolas"/>
                <w:color w:val="111827"/>
                <w:sz w:val="18"/>
                <w:szCs w:val="18"/>
              </w:rPr>
              <w:t xml:space="preserve">  source        String   // ecoinvent_3_10, defra_2024, epa_ghg_2024, supplier_primary</w:t>
            </w:r>
          </w:p>
          <w:p>
            <w:pPr>
              <w:spacing w:after="0" w:line="260"/>
            </w:pPr>
            <w:r>
              <w:rPr>
                <w:rFonts w:ascii="Consolas" w:cs="Consolas" w:eastAsia="Consolas" w:hAnsi="Consolas"/>
                <w:color w:val="111827"/>
                <w:sz w:val="18"/>
                <w:szCs w:val="18"/>
              </w:rPr>
              <w:t xml:space="preserve">  activityName  String</w:t>
            </w:r>
          </w:p>
          <w:p>
            <w:pPr>
              <w:spacing w:after="0" w:line="260"/>
            </w:pPr>
            <w:r>
              <w:rPr>
                <w:rFonts w:ascii="Consolas" w:cs="Consolas" w:eastAsia="Consolas" w:hAnsi="Consolas"/>
                <w:color w:val="111827"/>
                <w:sz w:val="18"/>
                <w:szCs w:val="18"/>
              </w:rPr>
              <w:t xml:space="preserve">  region        String   // GLO, EU, US, VN, MY, CN, ...</w:t>
            </w:r>
          </w:p>
          <w:p>
            <w:pPr>
              <w:spacing w:after="0" w:line="260"/>
            </w:pPr>
            <w:r>
              <w:rPr>
                <w:rFonts w:ascii="Consolas" w:cs="Consolas" w:eastAsia="Consolas" w:hAnsi="Consolas"/>
                <w:color w:val="111827"/>
                <w:sz w:val="18"/>
                <w:szCs w:val="18"/>
              </w:rPr>
              <w:t xml:space="preserve">  value         Float</w:t>
            </w:r>
          </w:p>
          <w:p>
            <w:pPr>
              <w:spacing w:after="0" w:line="260"/>
            </w:pPr>
            <w:r>
              <w:rPr>
                <w:rFonts w:ascii="Consolas" w:cs="Consolas" w:eastAsia="Consolas" w:hAnsi="Consolas"/>
                <w:color w:val="111827"/>
                <w:sz w:val="18"/>
                <w:szCs w:val="18"/>
              </w:rPr>
              <w:t xml:space="preserve">  unit          String   // kgCO2e per &lt;functionalUnit&gt;</w:t>
            </w:r>
          </w:p>
          <w:p>
            <w:pPr>
              <w:spacing w:after="0" w:line="260"/>
            </w:pPr>
            <w:r>
              <w:rPr>
                <w:rFonts w:ascii="Consolas" w:cs="Consolas" w:eastAsia="Consolas" w:hAnsi="Consolas"/>
                <w:color w:val="111827"/>
                <w:sz w:val="18"/>
                <w:szCs w:val="18"/>
              </w:rPr>
              <w:t xml:space="preserve">  vintage       Int</w:t>
            </w:r>
          </w:p>
          <w:p>
            <w:pPr>
              <w:spacing w:after="0" w:line="260"/>
            </w:pPr>
            <w:r>
              <w:rPr>
                <w:rFonts w:ascii="Consolas" w:cs="Consolas" w:eastAsia="Consolas" w:hAnsi="Consolas"/>
                <w:color w:val="111827"/>
                <w:sz w:val="18"/>
                <w:szCs w:val="18"/>
              </w:rPr>
              <w:t xml:space="preserve">  uncertaintyStd Float?  // for Monte Carlo</w:t>
            </w:r>
          </w:p>
          <w:p>
            <w:pPr>
              <w:spacing w:after="0" w:line="260"/>
            </w:pPr>
            <w:r>
              <w:rPr>
                <w:rFonts w:ascii="Consolas" w:cs="Consolas" w:eastAsia="Consolas" w:hAnsi="Consolas"/>
                <w:color w:val="111827"/>
                <w:sz w:val="18"/>
                <w:szCs w:val="18"/>
              </w:rPr>
              <w:t xml:space="preserve">  createdAt     DateTime @default(now())</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@@index([source, region, vintage])</w:t>
            </w:r>
          </w:p>
          <w:p>
            <w:pPr>
              <w:spacing w:after="0" w:line="260"/>
            </w:pPr>
            <w:r>
              <w:rPr>
                <w:rFonts w:ascii="Consolas" w:cs="Consolas" w:eastAsia="Consolas" w:hAnsi="Consolas"/>
                <w:color w:val="111827"/>
                <w:sz w:val="18"/>
                <w:szCs w:val="18"/>
              </w:rPr>
              <w:t xml:space="preserve">  @@index([activityName])</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model ProcessStep {</w:t>
            </w:r>
          </w:p>
          <w:p>
            <w:pPr>
              <w:spacing w:after="0" w:line="260"/>
            </w:pPr>
            <w:r>
              <w:rPr>
                <w:rFonts w:ascii="Consolas" w:cs="Consolas" w:eastAsia="Consolas" w:hAnsi="Consolas"/>
                <w:color w:val="111827"/>
                <w:sz w:val="18"/>
                <w:szCs w:val="18"/>
              </w:rPr>
              <w:t xml:space="preserve">  id             String  @id @default(uuid())</w:t>
            </w:r>
          </w:p>
          <w:p>
            <w:pPr>
              <w:spacing w:after="0" w:line="260"/>
            </w:pPr>
            <w:r>
              <w:rPr>
                <w:rFonts w:ascii="Consolas" w:cs="Consolas" w:eastAsia="Consolas" w:hAnsi="Consolas"/>
                <w:color w:val="111827"/>
                <w:sz w:val="18"/>
                <w:szCs w:val="18"/>
              </w:rPr>
              <w:t xml:space="preserve">  productId      String</w:t>
            </w:r>
          </w:p>
          <w:p>
            <w:pPr>
              <w:spacing w:after="0" w:line="260"/>
            </w:pPr>
            <w:r>
              <w:rPr>
                <w:rFonts w:ascii="Consolas" w:cs="Consolas" w:eastAsia="Consolas" w:hAnsi="Consolas"/>
                <w:color w:val="111827"/>
                <w:sz w:val="18"/>
                <w:szCs w:val="18"/>
              </w:rPr>
              <w:t xml:space="preserve">  product        Product @relation(fields: [productId], references: [id], onDelete: Cascade)</w:t>
            </w:r>
          </w:p>
          <w:p>
            <w:pPr>
              <w:spacing w:after="0" w:line="260"/>
            </w:pPr>
            <w:r>
              <w:rPr>
                <w:rFonts w:ascii="Consolas" w:cs="Consolas" w:eastAsia="Consolas" w:hAnsi="Consolas"/>
                <w:color w:val="111827"/>
                <w:sz w:val="18"/>
                <w:szCs w:val="18"/>
              </w:rPr>
              <w:t xml:space="preserve">  lifecycleStage String</w:t>
            </w:r>
          </w:p>
          <w:p>
            <w:pPr>
              <w:spacing w:after="0" w:line="260"/>
            </w:pPr>
            <w:r>
              <w:rPr>
                <w:rFonts w:ascii="Consolas" w:cs="Consolas" w:eastAsia="Consolas" w:hAnsi="Consolas"/>
                <w:color w:val="111827"/>
                <w:sz w:val="18"/>
                <w:szCs w:val="18"/>
              </w:rPr>
              <w:t xml:space="preserve">  siteId         String?</w:t>
            </w:r>
          </w:p>
          <w:p>
            <w:pPr>
              <w:spacing w:after="0" w:line="260"/>
            </w:pPr>
            <w:r>
              <w:rPr>
                <w:rFonts w:ascii="Consolas" w:cs="Consolas" w:eastAsia="Consolas" w:hAnsi="Consolas"/>
                <w:color w:val="111827"/>
                <w:sz w:val="18"/>
                <w:szCs w:val="18"/>
              </w:rPr>
              <w:t xml:space="preserve">  energyKwh      Float?</w:t>
            </w:r>
          </w:p>
          <w:p>
            <w:pPr>
              <w:spacing w:after="0" w:line="260"/>
            </w:pPr>
            <w:r>
              <w:rPr>
                <w:rFonts w:ascii="Consolas" w:cs="Consolas" w:eastAsia="Consolas" w:hAnsi="Consolas"/>
                <w:color w:val="111827"/>
                <w:sz w:val="18"/>
                <w:szCs w:val="18"/>
              </w:rPr>
              <w:t xml:space="preserve">  waterM3        Float?</w:t>
            </w:r>
          </w:p>
          <w:p>
            <w:pPr>
              <w:spacing w:after="0" w:line="260"/>
            </w:pPr>
            <w:r>
              <w:rPr>
                <w:rFonts w:ascii="Consolas" w:cs="Consolas" w:eastAsia="Consolas" w:hAnsi="Consolas"/>
                <w:color w:val="111827"/>
                <w:sz w:val="18"/>
                <w:szCs w:val="18"/>
              </w:rPr>
              <w:t xml:space="preserve">  wasteKg        Float?</w:t>
            </w:r>
          </w:p>
          <w:p>
            <w:pPr>
              <w:spacing w:after="0" w:line="260"/>
            </w:pPr>
            <w:r>
              <w:rPr>
                <w:rFonts w:ascii="Consolas" w:cs="Consolas" w:eastAsia="Consolas" w:hAnsi="Consolas"/>
                <w:color w:val="111827"/>
                <w:sz w:val="18"/>
                <w:szCs w:val="18"/>
              </w:rPr>
              <w:t xml:space="preserve">  emissionsKg    Float?</w:t>
            </w:r>
          </w:p>
          <w:p>
            <w:pPr>
              <w:spacing w:after="0" w:line="260"/>
            </w:pPr>
            <w:r>
              <w:rPr>
                <w:rFonts w:ascii="Consolas" w:cs="Consolas" w:eastAsia="Consolas" w:hAnsi="Consolas"/>
                <w:color w:val="111827"/>
                <w:sz w:val="18"/>
                <w:szCs w:val="18"/>
              </w:rPr>
              <w:t xml:space="preserve">  notes          String?</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model PcfCalculation {</w:t>
            </w:r>
          </w:p>
          <w:p>
            <w:pPr>
              <w:spacing w:after="0" w:line="260"/>
            </w:pPr>
            <w:r>
              <w:rPr>
                <w:rFonts w:ascii="Consolas" w:cs="Consolas" w:eastAsia="Consolas" w:hAnsi="Consolas"/>
                <w:color w:val="111827"/>
                <w:sz w:val="18"/>
                <w:szCs w:val="18"/>
              </w:rPr>
              <w:t xml:space="preserve">  id                String   @id @default(uuid())</w:t>
            </w:r>
          </w:p>
          <w:p>
            <w:pPr>
              <w:spacing w:after="0" w:line="260"/>
            </w:pPr>
            <w:r>
              <w:rPr>
                <w:rFonts w:ascii="Consolas" w:cs="Consolas" w:eastAsia="Consolas" w:hAnsi="Consolas"/>
                <w:color w:val="111827"/>
                <w:sz w:val="18"/>
                <w:szCs w:val="18"/>
              </w:rPr>
              <w:t xml:space="preserve">  productId         String</w:t>
            </w:r>
          </w:p>
          <w:p>
            <w:pPr>
              <w:spacing w:after="0" w:line="260"/>
            </w:pPr>
            <w:r>
              <w:rPr>
                <w:rFonts w:ascii="Consolas" w:cs="Consolas" w:eastAsia="Consolas" w:hAnsi="Consolas"/>
                <w:color w:val="111827"/>
                <w:sz w:val="18"/>
                <w:szCs w:val="18"/>
              </w:rPr>
              <w:t xml:space="preserve">  product           Product  @relation(fields: [productId], references: [id], onDelete: Cascade)</w:t>
            </w:r>
          </w:p>
          <w:p>
            <w:pPr>
              <w:spacing w:after="0" w:line="260"/>
            </w:pPr>
            <w:r>
              <w:rPr>
                <w:rFonts w:ascii="Consolas" w:cs="Consolas" w:eastAsia="Consolas" w:hAnsi="Consolas"/>
                <w:color w:val="111827"/>
                <w:sz w:val="18"/>
                <w:szCs w:val="18"/>
              </w:rPr>
              <w:t xml:space="preserve">  runAt             DateTime @default(now())</w:t>
            </w:r>
          </w:p>
          <w:p>
            <w:pPr>
              <w:spacing w:after="0" w:line="260"/>
            </w:pPr>
            <w:r>
              <w:rPr>
                <w:rFonts w:ascii="Consolas" w:cs="Consolas" w:eastAsia="Consolas" w:hAnsi="Consolas"/>
                <w:color w:val="111827"/>
                <w:sz w:val="18"/>
                <w:szCs w:val="18"/>
              </w:rPr>
              <w:t xml:space="preserve">  engineVersion     String</w:t>
            </w:r>
          </w:p>
          <w:p>
            <w:pPr>
              <w:spacing w:after="0" w:line="260"/>
            </w:pPr>
            <w:r>
              <w:rPr>
                <w:rFonts w:ascii="Consolas" w:cs="Consolas" w:eastAsia="Consolas" w:hAnsi="Consolas"/>
                <w:color w:val="111827"/>
                <w:sz w:val="18"/>
                <w:szCs w:val="18"/>
              </w:rPr>
              <w:t xml:space="preserve">  totalKgCo2e       Float</w:t>
            </w:r>
          </w:p>
          <w:p>
            <w:pPr>
              <w:spacing w:after="0" w:line="260"/>
            </w:pPr>
            <w:r>
              <w:rPr>
                <w:rFonts w:ascii="Consolas" w:cs="Consolas" w:eastAsia="Consolas" w:hAnsi="Consolas"/>
                <w:color w:val="111827"/>
                <w:sz w:val="18"/>
                <w:szCs w:val="18"/>
              </w:rPr>
              <w:t xml:space="preserve">  uncertaintyLow    Float?</w:t>
            </w:r>
          </w:p>
          <w:p>
            <w:pPr>
              <w:spacing w:after="0" w:line="260"/>
            </w:pPr>
            <w:r>
              <w:rPr>
                <w:rFonts w:ascii="Consolas" w:cs="Consolas" w:eastAsia="Consolas" w:hAnsi="Consolas"/>
                <w:color w:val="111827"/>
                <w:sz w:val="18"/>
                <w:szCs w:val="18"/>
              </w:rPr>
              <w:t xml:space="preserve">  uncertaintyHigh   Float?</w:t>
            </w:r>
          </w:p>
          <w:p>
            <w:pPr>
              <w:spacing w:after="0" w:line="260"/>
            </w:pPr>
            <w:r>
              <w:rPr>
                <w:rFonts w:ascii="Consolas" w:cs="Consolas" w:eastAsia="Consolas" w:hAnsi="Consolas"/>
                <w:color w:val="111827"/>
                <w:sz w:val="18"/>
                <w:szCs w:val="18"/>
              </w:rPr>
              <w:t xml:space="preserve">  primaryDataPct    Float    // computed share</w:t>
            </w:r>
          </w:p>
          <w:p>
            <w:pPr>
              <w:spacing w:after="0" w:line="260"/>
            </w:pPr>
            <w:r>
              <w:rPr>
                <w:rFonts w:ascii="Consolas" w:cs="Consolas" w:eastAsia="Consolas" w:hAnsi="Consolas"/>
                <w:color w:val="111827"/>
                <w:sz w:val="18"/>
                <w:szCs w:val="18"/>
              </w:rPr>
              <w:t xml:space="preserve">  breakdownByStage  Json     // { A1: 42.1, A2: 3.4, A3: 11.0, ... }</w:t>
            </w:r>
          </w:p>
          <w:p>
            <w:pPr>
              <w:spacing w:after="0" w:line="260"/>
            </w:pPr>
            <w:r>
              <w:rPr>
                <w:rFonts w:ascii="Consolas" w:cs="Consolas" w:eastAsia="Consolas" w:hAnsi="Consolas"/>
                <w:color w:val="111827"/>
                <w:sz w:val="18"/>
                <w:szCs w:val="18"/>
              </w:rPr>
              <w:t xml:space="preserve">  breakdownByComp   Json     // [{ componentId, kgCo2e, pct }]</w:t>
            </w:r>
          </w:p>
          <w:p>
            <w:pPr>
              <w:spacing w:after="0" w:line="260"/>
            </w:pPr>
            <w:r>
              <w:rPr>
                <w:rFonts w:ascii="Consolas" w:cs="Consolas" w:eastAsia="Consolas" w:hAnsi="Consolas"/>
                <w:color w:val="111827"/>
                <w:sz w:val="18"/>
                <w:szCs w:val="18"/>
              </w:rPr>
              <w:t xml:space="preserve">  factorSnapshot    Json     // which factor IDs + vintages were used</w:t>
            </w:r>
          </w:p>
          <w:p>
            <w:pPr>
              <w:spacing w:after="0" w:line="260"/>
            </w:pPr>
            <w:r>
              <w:rPr>
                <w:rFonts w:ascii="Consolas" w:cs="Consolas" w:eastAsia="Consolas" w:hAnsi="Consolas"/>
                <w:color w:val="111827"/>
                <w:sz w:val="18"/>
                <w:szCs w:val="18"/>
              </w:rPr>
              <w:t xml:space="preserve">  status            String   @default("draft") // draft | final | verified</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model PcfVerification {</w:t>
            </w:r>
          </w:p>
          <w:p>
            <w:pPr>
              <w:spacing w:after="0" w:line="260"/>
            </w:pPr>
            <w:r>
              <w:rPr>
                <w:rFonts w:ascii="Consolas" w:cs="Consolas" w:eastAsia="Consolas" w:hAnsi="Consolas"/>
                <w:color w:val="111827"/>
                <w:sz w:val="18"/>
                <w:szCs w:val="18"/>
              </w:rPr>
              <w:t xml:space="preserve">  id               String   @id @default(uuid())</w:t>
            </w:r>
          </w:p>
          <w:p>
            <w:pPr>
              <w:spacing w:after="0" w:line="260"/>
            </w:pPr>
            <w:r>
              <w:rPr>
                <w:rFonts w:ascii="Consolas" w:cs="Consolas" w:eastAsia="Consolas" w:hAnsi="Consolas"/>
                <w:color w:val="111827"/>
                <w:sz w:val="18"/>
                <w:szCs w:val="18"/>
              </w:rPr>
              <w:t xml:space="preserve">  calculationId    String</w:t>
            </w:r>
          </w:p>
          <w:p>
            <w:pPr>
              <w:spacing w:after="0" w:line="260"/>
            </w:pPr>
            <w:r>
              <w:rPr>
                <w:rFonts w:ascii="Consolas" w:cs="Consolas" w:eastAsia="Consolas" w:hAnsi="Consolas"/>
                <w:color w:val="111827"/>
                <w:sz w:val="18"/>
                <w:szCs w:val="18"/>
              </w:rPr>
              <w:t xml:space="preserve">  verifierName     String</w:t>
            </w:r>
          </w:p>
          <w:p>
            <w:pPr>
              <w:spacing w:after="0" w:line="260"/>
            </w:pPr>
            <w:r>
              <w:rPr>
                <w:rFonts w:ascii="Consolas" w:cs="Consolas" w:eastAsia="Consolas" w:hAnsi="Consolas"/>
                <w:color w:val="111827"/>
                <w:sz w:val="18"/>
                <w:szCs w:val="18"/>
              </w:rPr>
              <w:t xml:space="preserve">  verifierOrg      String?</w:t>
            </w:r>
          </w:p>
          <w:p>
            <w:pPr>
              <w:spacing w:after="0" w:line="260"/>
            </w:pPr>
            <w:r>
              <w:rPr>
                <w:rFonts w:ascii="Consolas" w:cs="Consolas" w:eastAsia="Consolas" w:hAnsi="Consolas"/>
                <w:color w:val="111827"/>
                <w:sz w:val="18"/>
                <w:szCs w:val="18"/>
              </w:rPr>
              <w:t xml:space="preserve">  verifiedAt       DateTime</w:t>
            </w:r>
          </w:p>
          <w:p>
            <w:pPr>
              <w:spacing w:after="0" w:line="260"/>
            </w:pPr>
            <w:r>
              <w:rPr>
                <w:rFonts w:ascii="Consolas" w:cs="Consolas" w:eastAsia="Consolas" w:hAnsi="Consolas"/>
                <w:color w:val="111827"/>
                <w:sz w:val="18"/>
                <w:szCs w:val="18"/>
              </w:rPr>
              <w:t xml:space="preserve">  standard         String   // ISO_14067 | PEF | GHG_Product</w:t>
            </w:r>
          </w:p>
          <w:p>
            <w:pPr>
              <w:spacing w:after="0" w:line="260"/>
            </w:pPr>
            <w:r>
              <w:rPr>
                <w:rFonts w:ascii="Consolas" w:cs="Consolas" w:eastAsia="Consolas" w:hAnsi="Consolas"/>
                <w:color w:val="111827"/>
                <w:sz w:val="18"/>
                <w:szCs w:val="18"/>
              </w:rPr>
              <w:t xml:space="preserve">  evidenceUrl      String?</w:t>
            </w:r>
          </w:p>
          <w:p>
            <w:pPr>
              <w:spacing w:after="0" w:line="260"/>
            </w:pPr>
            <w:r>
              <w:rPr>
                <w:rFonts w:ascii="Consolas" w:cs="Consolas" w:eastAsia="Consolas" w:hAnsi="Consolas"/>
                <w:color w:val="111827"/>
                <w:sz w:val="18"/>
                <w:szCs w:val="18"/>
              </w:rPr>
              <w:t xml:space="preserve">  notes            String?</w:t>
            </w:r>
          </w:p>
          <w:p>
            <w:pPr>
              <w:spacing w:after="0" w:line="260"/>
            </w:pPr>
            <w:r>
              <w:rPr>
                <w:rFonts w:ascii="Consolas" w:cs="Consolas" w:eastAsia="Consolas" w:hAnsi="Consolas"/>
                <w:color w:val="111827"/>
                <w:sz w:val="18"/>
                <w:szCs w:val="18"/>
              </w:rPr>
              <w:t xml:space="preserve">}</w:t>
            </w:r>
          </w:p>
        </w:tc>
      </w:tr>
    </w:tbl>
    <w:p>
      <w:pPr>
        <w:spacing w:after="80" w:before="180"/>
      </w:pPr>
      <w:r>
        <w:rPr>
          <w:rFonts w:ascii="Calibri" w:cs="Calibri" w:eastAsia="Calibri" w:hAnsi="Calibri"/>
          <w:b/>
          <w:bCs/>
          <w:color w:val="0F766E"/>
          <w:sz w:val="22"/>
          <w:szCs w:val="22"/>
        </w:rPr>
        <w:t xml:space="preserve">Acceptance</w:t>
      </w:r>
    </w:p>
    <w:p>
      <w:pPr>
        <w:pStyle w:val="ListParagraph"/>
        <w:numPr>
          <w:ilvl w:val="0"/>
          <w:numId w:val="2"/>
        </w:numPr>
        <w:spacing w:after="80" w:line="280"/>
      </w:pPr>
      <w:r>
        <w:rPr>
          <w:rFonts w:ascii="Calibri" w:cs="Calibri" w:eastAsia="Calibri" w:hAnsi="Calibri"/>
          <w:color w:val="111827"/>
          <w:sz w:val="22"/>
          <w:szCs w:val="22"/>
        </w:rPr>
        <w:t xml:space="preserve">prisma migrate dev runs cleanly on a fresh DB.</w:t>
      </w:r>
    </w:p>
    <w:p>
      <w:pPr>
        <w:pStyle w:val="ListParagraph"/>
        <w:numPr>
          <w:ilvl w:val="0"/>
          <w:numId w:val="2"/>
        </w:numPr>
        <w:spacing w:after="80" w:line="280"/>
      </w:pPr>
      <w:r>
        <w:rPr>
          <w:rFonts w:ascii="Calibri" w:cs="Calibri" w:eastAsia="Calibri" w:hAnsi="Calibri"/>
          <w:color w:val="111827"/>
          <w:sz w:val="22"/>
          <w:szCs w:val="22"/>
        </w:rPr>
        <w:t xml:space="preserve">All new tables carry companyId, onDelete: Cascade, and at least one useful composite index.</w:t>
      </w:r>
    </w:p>
    <w:p>
      <w:pPr>
        <w:pStyle w:val="ListParagraph"/>
        <w:numPr>
          <w:ilvl w:val="0"/>
          <w:numId w:val="2"/>
        </w:numPr>
        <w:spacing w:after="80" w:line="280"/>
      </w:pPr>
      <w:r>
        <w:rPr>
          <w:rFonts w:ascii="Calibri" w:cs="Calibri" w:eastAsia="Calibri" w:hAnsi="Calibri"/>
          <w:color w:val="111827"/>
          <w:sz w:val="22"/>
          <w:szCs w:val="22"/>
        </w:rPr>
        <w:t xml:space="preserve">Seed script loads a starter set of 50 Ecoinvent-mapped EmissionFactor rows for common electronics materials (aluminum, copper, FR4 PCB, solder, plastics, Li-ion cells).</w:t>
      </w:r>
    </w:p>
    <w:p>
      <w:pPr>
        <w:pStyle w:val="ListParagraph"/>
        <w:numPr>
          <w:ilvl w:val="0"/>
          <w:numId w:val="2"/>
        </w:numPr>
        <w:spacing w:after="80" w:line="280"/>
      </w:pPr>
      <w:r>
        <w:rPr>
          <w:rFonts w:ascii="Calibri" w:cs="Calibri" w:eastAsia="Calibri" w:hAnsi="Calibri"/>
          <w:color w:val="111827"/>
          <w:sz w:val="22"/>
          <w:szCs w:val="22"/>
        </w:rPr>
        <w:t xml:space="preserve">No breaking changes to existing tables — zero downtime migration.</w:t>
      </w:r>
    </w:p>
    <w:p>
      <w:pPr>
        <w:spacing w:after="100"/>
      </w:pPr>
      <w:r>
        <w:t xml:space="preserve"/>
      </w:r>
    </w:p>
    <w:p>
      <w:pPr>
        <w:pStyle w:val="Heading2"/>
        <w:spacing w:after="140" w:before="320"/>
      </w:pPr>
      <w:r>
        <w:rPr>
          <w:rFonts w:ascii="Calibri" w:cs="Calibri" w:eastAsia="Calibri" w:hAnsi="Calibri"/>
          <w:b/>
          <w:bCs/>
          <w:color w:val="111827"/>
          <w:sz w:val="30"/>
          <w:szCs w:val="30"/>
        </w:rPr>
        <w:t xml:space="preserve">1.2 BOM Upload &amp; AI Material Classifier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00"/>
        <w:gridCol w:w="1230"/>
        <w:gridCol w:w="1230"/>
      </w:tblGrid>
      <w:tr>
        <w:tc>
          <w:tcPr>
            <w:tcW w:type="dxa" w:w="1400"/>
            <w:tcBorders>
              <w:top w:val="single" w:color="0F766E" w:sz="4"/>
              <w:left w:val="single" w:color="0F766E" w:sz="4"/>
              <w:bottom w:val="single" w:color="0F766E" w:sz="4"/>
              <w:right w:val="single" w:color="0F766E" w:sz="4"/>
            </w:tcBorders>
            <w:shd w:fill="0F766E" w:val="clear"/>
            <w:tcMar>
              <w:top w:type="dxa" w:w="140"/>
              <w:left w:type="dxa" w:w="160"/>
              <w:bottom w:type="dxa" w:w="140"/>
              <w:right w:type="dxa" w:w="160"/>
            </w:tcMar>
          </w:tcPr>
          <w:p>
            <w:pPr>
              <w:jc w:val="center"/>
            </w:pPr>
            <w:r>
              <w:rPr>
                <w:rFonts w:ascii="Calibri" w:cs="Calibri" w:eastAsia="Calibri" w:hAnsi="Calibri"/>
                <w:b/>
                <w:bCs/>
                <w:color w:val="FFFFFF"/>
                <w:sz w:val="22"/>
                <w:szCs w:val="22"/>
              </w:rPr>
              <w:t xml:space="preserve">PCF-02</w:t>
            </w:r>
          </w:p>
        </w:tc>
        <w:tc>
          <w:tcPr>
            <w:tcW w:type="dxa" w:w="5500"/>
            <w:tcBorders>
              <w:top w:val="single" w:color="0F766E" w:sz="4"/>
              <w:left w:val="single" w:color="0F766E" w:sz="4"/>
              <w:bottom w:val="single" w:color="0F766E" w:sz="4"/>
              <w:right w:val="single" w:color="0F766E" w:sz="4"/>
            </w:tcBorders>
            <w:shd w:fill="CCFBF1" w:val="clear"/>
            <w:tcMar>
              <w:top w:type="dxa" w:w="140"/>
              <w:left w:type="dxa" w:w="160"/>
              <w:bottom w:type="dxa" w:w="140"/>
              <w:right w:type="dxa" w:w="160"/>
            </w:tcMar>
          </w:tcPr>
          <w:p>
            <w:r>
              <w:rPr>
                <w:rFonts w:ascii="Calibri" w:cs="Calibri" w:eastAsia="Calibri" w:hAnsi="Calibri"/>
                <w:b/>
                <w:bCs/>
                <w:color w:val="111827"/>
                <w:sz w:val="22"/>
                <w:szCs w:val="22"/>
              </w:rPr>
              <w:t xml:space="preserve">BOM spreadsheet upload with AI schema mapping</w:t>
            </w:r>
          </w:p>
        </w:tc>
        <w:tc>
          <w:tcPr>
            <w:tcW w:type="dxa" w:w="1230"/>
            <w:tcBorders>
              <w:top w:val="single" w:color="0F766E" w:sz="4"/>
              <w:left w:val="single" w:color="0F766E" w:sz="4"/>
              <w:bottom w:val="single" w:color="0F766E" w:sz="4"/>
              <w:right w:val="single" w:color="0F766E" w:sz="4"/>
            </w:tcBorders>
            <w:shd w:fill="CCFBF1" w:val="clear"/>
            <w:tcMar>
              <w:top w:type="dxa" w:w="140"/>
              <w:left w:type="dxa" w:w="120"/>
              <w:bottom w:type="dxa" w:w="140"/>
              <w:right w:type="dxa" w:w="120"/>
            </w:tcMar>
          </w:tcPr>
          <w:p>
            <w:pPr>
              <w:jc w:val="center"/>
            </w:pPr>
            <w:r>
              <w:rPr>
                <w:rFonts w:ascii="Calibri" w:cs="Calibri" w:eastAsia="Calibri" w:hAnsi="Calibri"/>
                <w:b/>
                <w:bCs/>
                <w:color w:val="111827"/>
                <w:sz w:val="20"/>
                <w:szCs w:val="20"/>
              </w:rPr>
              <w:t xml:space="preserve">13 pts</w:t>
            </w:r>
          </w:p>
        </w:tc>
        <w:tc>
          <w:tcPr>
            <w:tcW w:type="dxa" w:w="1230"/>
            <w:tcBorders>
              <w:top w:val="single" w:color="0F766E" w:sz="4"/>
              <w:left w:val="single" w:color="0F766E" w:sz="4"/>
              <w:bottom w:val="single" w:color="0F766E" w:sz="4"/>
              <w:right w:val="single" w:color="0F766E" w:sz="4"/>
            </w:tcBorders>
            <w:shd w:fill="CCFBF1" w:val="clear"/>
            <w:tcMar>
              <w:top w:type="dxa" w:w="140"/>
              <w:left w:type="dxa" w:w="120"/>
              <w:bottom w:type="dxa" w:w="140"/>
              <w:right w:type="dxa" w:w="120"/>
            </w:tcMar>
          </w:tcPr>
          <w:p>
            <w:pPr>
              <w:jc w:val="center"/>
            </w:pPr>
            <w:r>
              <w:rPr>
                <w:rFonts w:ascii="Calibri" w:cs="Calibri" w:eastAsia="Calibri" w:hAnsi="Calibri"/>
                <w:b/>
                <w:bCs/>
                <w:color w:val="111827"/>
                <w:sz w:val="20"/>
                <w:szCs w:val="20"/>
              </w:rPr>
              <w:t xml:space="preserve">P0</w:t>
            </w:r>
          </w:p>
        </w:tc>
      </w:tr>
    </w:tbl>
    <w:p>
      <w:pPr>
        <w:spacing w:after="100"/>
      </w:pPr>
      <w:r>
        <w:t xml:space="preserve"/>
      </w:r>
    </w:p>
    <w:p>
      <w:pPr>
        <w:spacing w:after="80" w:before="180"/>
      </w:pPr>
      <w:r>
        <w:rPr>
          <w:rFonts w:ascii="Calibri" w:cs="Calibri" w:eastAsia="Calibri" w:hAnsi="Calibri"/>
          <w:b/>
          <w:bCs/>
          <w:color w:val="0F766E"/>
          <w:sz w:val="22"/>
          <w:szCs w:val="22"/>
        </w:rPr>
        <w:t xml:space="preserve">Scope</w:t>
      </w:r>
    </w:p>
    <w:p>
      <w:pPr>
        <w:spacing w:after="120" w:line="300"/>
      </w:pPr>
      <w:r>
        <w:rPr>
          <w:rFonts w:ascii="Calibri" w:cs="Calibri" w:eastAsia="Calibri" w:hAnsi="Calibri"/>
          <w:color w:val="111827"/>
          <w:sz w:val="22"/>
          <w:szCs w:val="22"/>
        </w:rPr>
        <w:t xml:space="preserve">A dedicated BOM upload surface at POST /api/pcf/products/:productId/bom-upload. Accepts any Excel/CSV with any column order in any language — reuses the existing AI-ETL pipeline pattern from /api/e1/upload and /api/s1/upload. The new twist is a material classifier step that maps freeform material descriptions to canonical materialClass values and suggests the best EmissionFactor match.</w:t>
      </w:r>
    </w:p>
    <w:p>
      <w:pPr>
        <w:spacing w:after="80" w:before="180"/>
      </w:pPr>
      <w:r>
        <w:rPr>
          <w:rFonts w:ascii="Calibri" w:cs="Calibri" w:eastAsia="Calibri" w:hAnsi="Calibri"/>
          <w:b/>
          <w:bCs/>
          <w:color w:val="0F766E"/>
          <w:sz w:val="22"/>
          <w:szCs w:val="22"/>
        </w:rPr>
        <w:t xml:space="preserve">Backend tasks</w:t>
      </w:r>
    </w:p>
    <w:p>
      <w:pPr>
        <w:pStyle w:val="ListParagraph"/>
        <w:numPr>
          <w:ilvl w:val="0"/>
          <w:numId w:val="2"/>
        </w:numPr>
        <w:spacing w:after="80" w:line="280"/>
      </w:pPr>
      <w:r>
        <w:rPr>
          <w:rFonts w:ascii="Calibri" w:cs="Calibri" w:eastAsia="Calibri" w:hAnsi="Calibri"/>
          <w:color w:val="111827"/>
          <w:sz w:val="22"/>
          <w:szCs w:val="22"/>
        </w:rPr>
        <w:t xml:space="preserve">New route backend/src/routes/pcf.js with: POST /products, GET /products, GET /products/:id, POST /products/:id/bom-upload, POST /products/:id/calculate.</w:t>
      </w:r>
    </w:p>
    <w:p>
      <w:pPr>
        <w:pStyle w:val="ListParagraph"/>
        <w:numPr>
          <w:ilvl w:val="0"/>
          <w:numId w:val="2"/>
        </w:numPr>
        <w:spacing w:after="80" w:line="280"/>
      </w:pPr>
      <w:r>
        <w:rPr>
          <w:rFonts w:ascii="Calibri" w:cs="Calibri" w:eastAsia="Calibri" w:hAnsi="Calibri"/>
          <w:color w:val="111827"/>
          <w:sz w:val="22"/>
          <w:szCs w:val="22"/>
        </w:rPr>
        <w:t xml:space="preserve">Reuse the column-mapping prompt structure from the existing AI-ETL engine; add a second prompt stage that classifies each BOM row into (materialClass, supplierName, originCountry, lifecycleStage) with confidence scores.</w:t>
      </w:r>
    </w:p>
    <w:p>
      <w:pPr>
        <w:pStyle w:val="ListParagraph"/>
        <w:numPr>
          <w:ilvl w:val="0"/>
          <w:numId w:val="2"/>
        </w:numPr>
        <w:spacing w:after="80" w:line="280"/>
      </w:pPr>
      <w:r>
        <w:rPr>
          <w:rFonts w:ascii="Calibri" w:cs="Calibri" w:eastAsia="Calibri" w:hAnsi="Calibri"/>
          <w:color w:val="111827"/>
          <w:sz w:val="22"/>
          <w:szCs w:val="22"/>
        </w:rPr>
        <w:t xml:space="preserve">For each mapped row, query EmissionFactor table with the classified materialClass + region; return top-3 candidates with confidence. Store the user's chosen factor on the BOMItem.</w:t>
      </w:r>
    </w:p>
    <w:p>
      <w:pPr>
        <w:pStyle w:val="ListParagraph"/>
        <w:numPr>
          <w:ilvl w:val="0"/>
          <w:numId w:val="2"/>
        </w:numPr>
        <w:spacing w:after="80" w:line="280"/>
      </w:pPr>
      <w:r>
        <w:rPr>
          <w:rFonts w:ascii="Calibri" w:cs="Calibri" w:eastAsia="Calibri" w:hAnsi="Calibri"/>
          <w:color w:val="111827"/>
          <w:sz w:val="22"/>
          <w:szCs w:val="22"/>
        </w:rPr>
        <w:t xml:space="preserve">Integrate with trackedAICall + CreditTransaction. Add new transactionType values: PCF_BOM_UPLOAD (2 credits per product regardless of row count), PCF_CALCULATION (1 credit per calculation run).</w:t>
      </w:r>
    </w:p>
    <w:p>
      <w:pPr>
        <w:pStyle w:val="ListParagraph"/>
        <w:numPr>
          <w:ilvl w:val="0"/>
          <w:numId w:val="2"/>
        </w:numPr>
        <w:spacing w:after="80" w:line="280"/>
      </w:pPr>
      <w:r>
        <w:rPr>
          <w:rFonts w:ascii="Calibri" w:cs="Calibri" w:eastAsia="Calibri" w:hAnsi="Calibri"/>
          <w:color w:val="111827"/>
          <w:sz w:val="22"/>
          <w:szCs w:val="22"/>
        </w:rPr>
        <w:t xml:space="preserve">All AI calls route through the existing Anthropic client (claude-sonnet-4-20250514).</w:t>
      </w:r>
    </w:p>
    <w:p>
      <w:pPr>
        <w:spacing w:after="80" w:before="180"/>
      </w:pPr>
      <w:r>
        <w:rPr>
          <w:rFonts w:ascii="Calibri" w:cs="Calibri" w:eastAsia="Calibri" w:hAnsi="Calibri"/>
          <w:b/>
          <w:bCs/>
          <w:color w:val="0F766E"/>
          <w:sz w:val="22"/>
          <w:szCs w:val="22"/>
        </w:rPr>
        <w:t xml:space="preserve">Frontend tasks</w:t>
      </w:r>
    </w:p>
    <w:p>
      <w:pPr>
        <w:pStyle w:val="ListParagraph"/>
        <w:numPr>
          <w:ilvl w:val="0"/>
          <w:numId w:val="2"/>
        </w:numPr>
        <w:spacing w:after="80" w:line="280"/>
      </w:pPr>
      <w:r>
        <w:rPr>
          <w:rFonts w:ascii="Calibri" w:cs="Calibri" w:eastAsia="Calibri" w:hAnsi="Calibri"/>
          <w:color w:val="111827"/>
          <w:sz w:val="22"/>
          <w:szCs w:val="22"/>
        </w:rPr>
        <w:t xml:space="preserve">New page frontend/src/pages/pcf/ProductList.jsx — table of all Products with SKU, name, sector, latest PCF value, primary-data %, and status badge.</w:t>
      </w:r>
    </w:p>
    <w:p>
      <w:pPr>
        <w:pStyle w:val="ListParagraph"/>
        <w:numPr>
          <w:ilvl w:val="0"/>
          <w:numId w:val="2"/>
        </w:numPr>
        <w:spacing w:after="80" w:line="280"/>
      </w:pPr>
      <w:r>
        <w:rPr>
          <w:rFonts w:ascii="Calibri" w:cs="Calibri" w:eastAsia="Calibri" w:hAnsi="Calibri"/>
          <w:color w:val="111827"/>
          <w:sz w:val="22"/>
          <w:szCs w:val="22"/>
        </w:rPr>
        <w:t xml:space="preserve">New page ProductDetail.jsx with three tabs: BOM, Calculation, History.</w:t>
      </w:r>
    </w:p>
    <w:p>
      <w:pPr>
        <w:pStyle w:val="ListParagraph"/>
        <w:numPr>
          <w:ilvl w:val="0"/>
          <w:numId w:val="2"/>
        </w:numPr>
        <w:spacing w:after="80" w:line="280"/>
      </w:pPr>
      <w:r>
        <w:rPr>
          <w:rFonts w:ascii="Calibri" w:cs="Calibri" w:eastAsia="Calibri" w:hAnsi="Calibri"/>
          <w:color w:val="111827"/>
          <w:sz w:val="22"/>
          <w:szCs w:val="22"/>
        </w:rPr>
        <w:t xml:space="preserve">BOM tab reuses the FileDropzone component from the existing E1Upload. After upload, render a review table where each row shows: original text → AI-suggested materialClass + factor → confidence chip. Low-confidence rows (&lt;70%) float to the top in a "Needs review" band.</w:t>
      </w:r>
    </w:p>
    <w:p>
      <w:pPr>
        <w:pStyle w:val="ListParagraph"/>
        <w:numPr>
          <w:ilvl w:val="0"/>
          <w:numId w:val="2"/>
        </w:numPr>
        <w:spacing w:after="80" w:line="280"/>
      </w:pPr>
      <w:r>
        <w:rPr>
          <w:rFonts w:ascii="Calibri" w:cs="Calibri" w:eastAsia="Calibri" w:hAnsi="Calibri"/>
          <w:color w:val="111827"/>
          <w:sz w:val="22"/>
          <w:szCs w:val="22"/>
        </w:rPr>
        <w:t xml:space="preserve">Every cell is inline-editable. Clicking a factor opens a lightweight search-select (like GitHub's issue search) that queries /api/pcf/factors?q=...</w:t>
      </w:r>
    </w:p>
    <w:p>
      <w:pPr>
        <w:spacing w:after="80" w:before="180"/>
      </w:pPr>
      <w:r>
        <w:rPr>
          <w:rFonts w:ascii="Calibri" w:cs="Calibri" w:eastAsia="Calibri" w:hAnsi="Calibri"/>
          <w:b/>
          <w:bCs/>
          <w:color w:val="0F766E"/>
          <w:sz w:val="22"/>
          <w:szCs w:val="22"/>
        </w:rPr>
        <w:t xml:space="preserve">UI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20"/>
            </w:tcMar>
          </w:tcPr>
          <w:p>
            <w:r>
              <w:rPr>
                <w:rFonts w:ascii="Calibri" w:cs="Calibri" w:eastAsia="Calibri" w:hAnsi="Calibri"/>
                <w:b/>
                <w:bCs/>
                <w:color w:val="111827"/>
                <w:sz w:val="20"/>
                <w:szCs w:val="20"/>
              </w:rPr>
              <w:t xml:space="preserve">Primary CTA</w:t>
            </w:r>
          </w:p>
        </w:tc>
        <w:tc>
          <w:tcPr>
            <w:tcW w:type="dxa" w:w="676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20"/>
            </w:tcMar>
          </w:tcPr>
          <w:p>
            <w:r>
              <w:rPr>
                <w:rFonts w:ascii="Calibri" w:cs="Calibri" w:eastAsia="Calibri" w:hAnsi="Calibri"/>
                <w:color w:val="111827"/>
                <w:sz w:val="20"/>
                <w:szCs w:val="20"/>
              </w:rPr>
              <w:t xml:space="preserve">Drop-zone with "Drop BOM file (.xlsx, .csv) here". On hover, teal outline; on drag-over, teal fill with 20% opacity. Matches existing FileDropzone component exactly.</w:t>
            </w:r>
          </w:p>
        </w:tc>
      </w:tr>
      <w:tr>
        <w:tc>
          <w:tcPr>
            <w:tcW w:type="dxa" w:w="2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bCs/>
                <w:color w:val="111827"/>
                <w:sz w:val="20"/>
                <w:szCs w:val="20"/>
              </w:rPr>
              <w:t xml:space="preserve">Progress</w:t>
            </w:r>
          </w:p>
        </w:tc>
        <w:tc>
          <w:tcPr>
            <w:tcW w:type="dxa" w:w="6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color w:val="111827"/>
                <w:sz w:val="20"/>
                <w:szCs w:val="20"/>
              </w:rPr>
              <w:t xml:space="preserve">After upload: three-step progress indicator (Upload → AI map → Classify) using existing stepper pattern.</w:t>
            </w:r>
          </w:p>
        </w:tc>
      </w:tr>
      <w:tr>
        <w:tc>
          <w:tcPr>
            <w:tcW w:type="dxa" w:w="260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20"/>
            </w:tcMar>
          </w:tcPr>
          <w:p>
            <w:r>
              <w:rPr>
                <w:rFonts w:ascii="Calibri" w:cs="Calibri" w:eastAsia="Calibri" w:hAnsi="Calibri"/>
                <w:b/>
                <w:bCs/>
                <w:color w:val="111827"/>
                <w:sz w:val="20"/>
                <w:szCs w:val="20"/>
              </w:rPr>
              <w:t xml:space="preserve">Review table</w:t>
            </w:r>
          </w:p>
        </w:tc>
        <w:tc>
          <w:tcPr>
            <w:tcW w:type="dxa" w:w="676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20"/>
            </w:tcMar>
          </w:tcPr>
          <w:p>
            <w:r>
              <w:rPr>
                <w:rFonts w:ascii="Calibri" w:cs="Calibri" w:eastAsia="Calibri" w:hAnsi="Calibri"/>
                <w:color w:val="111827"/>
                <w:sz w:val="20"/>
                <w:szCs w:val="20"/>
              </w:rPr>
              <w:t xml:space="preserve">Columns: Row #, Original text, Material (editable), Factor (editable), Quantity, Unit, Stage, Confidence. Confidence rendered as small colored pill: green ≥85, amber 70–85, red &lt;70.</w:t>
            </w:r>
          </w:p>
        </w:tc>
      </w:tr>
      <w:tr>
        <w:tc>
          <w:tcPr>
            <w:tcW w:type="dxa" w:w="2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bCs/>
                <w:color w:val="111827"/>
                <w:sz w:val="20"/>
                <w:szCs w:val="20"/>
              </w:rPr>
              <w:t xml:space="preserve">Empty state</w:t>
            </w:r>
          </w:p>
        </w:tc>
        <w:tc>
          <w:tcPr>
            <w:tcW w:type="dxa" w:w="6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color w:val="111827"/>
                <w:sz w:val="20"/>
                <w:szCs w:val="20"/>
              </w:rPr>
              <w:t xml:space="preserve">Blue-tinted card with a sample .xlsx download link: "Not sure how to format your BOM? Grab our starter template" — reduces support load.</w:t>
            </w:r>
          </w:p>
        </w:tc>
      </w:tr>
      <w:tr>
        <w:tc>
          <w:tcPr>
            <w:tcW w:type="dxa" w:w="260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20"/>
            </w:tcMar>
          </w:tcPr>
          <w:p>
            <w:r>
              <w:rPr>
                <w:rFonts w:ascii="Calibri" w:cs="Calibri" w:eastAsia="Calibri" w:hAnsi="Calibri"/>
                <w:b/>
                <w:bCs/>
                <w:color w:val="111827"/>
                <w:sz w:val="20"/>
                <w:szCs w:val="20"/>
              </w:rPr>
              <w:t xml:space="preserve">Errors</w:t>
            </w:r>
          </w:p>
        </w:tc>
        <w:tc>
          <w:tcPr>
            <w:tcW w:type="dxa" w:w="6760"/>
            <w:tcBorders>
              <w:top w:val="single" w:color="E5E7EB" w:sz="4"/>
              <w:left w:val="single" w:color="E5E7EB" w:sz="4"/>
              <w:bottom w:val="single" w:color="E5E7EB" w:sz="4"/>
              <w:right w:val="single" w:color="E5E7EB" w:sz="4"/>
            </w:tcBorders>
            <w:shd w:fill="FAFAFA" w:val="clear"/>
            <w:tcMar>
              <w:top w:type="dxa" w:w="100"/>
              <w:left w:type="dxa" w:w="140"/>
              <w:bottom w:type="dxa" w:w="100"/>
              <w:right w:type="dxa" w:w="120"/>
            </w:tcMar>
          </w:tcPr>
          <w:p>
            <w:r>
              <w:rPr>
                <w:rFonts w:ascii="Calibri" w:cs="Calibri" w:eastAsia="Calibri" w:hAnsi="Calibri"/>
                <w:color w:val="111827"/>
                <w:sz w:val="20"/>
                <w:szCs w:val="20"/>
              </w:rPr>
              <w:t xml:space="preserve">Row-level errors render inline with a tooltip, never a modal.</w:t>
            </w:r>
          </w:p>
        </w:tc>
      </w:tr>
      <w:tr>
        <w:tc>
          <w:tcPr>
            <w:tcW w:type="dxa" w:w="2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bCs/>
                <w:color w:val="111827"/>
                <w:sz w:val="20"/>
                <w:szCs w:val="20"/>
              </w:rPr>
              <w:t xml:space="preserve">Keyboard</w:t>
            </w:r>
          </w:p>
        </w:tc>
        <w:tc>
          <w:tcPr>
            <w:tcW w:type="dxa" w:w="6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color w:val="111827"/>
                <w:sz w:val="20"/>
                <w:szCs w:val="20"/>
              </w:rPr>
              <w:t xml:space="preserve">Tab navigates cells; Enter saves; Esc cancels; j/k move row selection.</w:t>
            </w:r>
          </w:p>
        </w:tc>
      </w:tr>
    </w:tbl>
    <w:p>
      <w:pPr>
        <w:spacing w:after="80" w:before="180"/>
      </w:pPr>
      <w:r>
        <w:rPr>
          <w:rFonts w:ascii="Calibri" w:cs="Calibri" w:eastAsia="Calibri" w:hAnsi="Calibri"/>
          <w:b/>
          <w:bCs/>
          <w:color w:val="0F766E"/>
          <w:sz w:val="22"/>
          <w:szCs w:val="22"/>
        </w:rPr>
        <w:t xml:space="preserve">Acceptance</w:t>
      </w:r>
    </w:p>
    <w:p>
      <w:pPr>
        <w:pStyle w:val="ListParagraph"/>
        <w:numPr>
          <w:ilvl w:val="0"/>
          <w:numId w:val="2"/>
        </w:numPr>
        <w:spacing w:after="80" w:line="280"/>
      </w:pPr>
      <w:r>
        <w:rPr>
          <w:rFonts w:ascii="Calibri" w:cs="Calibri" w:eastAsia="Calibri" w:hAnsi="Calibri"/>
          <w:color w:val="111827"/>
          <w:sz w:val="22"/>
          <w:szCs w:val="22"/>
        </w:rPr>
        <w:t xml:space="preserve">Upload a 500-row BOM; end-to-end in under 40 seconds on a typical product.</w:t>
      </w:r>
    </w:p>
    <w:p>
      <w:pPr>
        <w:pStyle w:val="ListParagraph"/>
        <w:numPr>
          <w:ilvl w:val="0"/>
          <w:numId w:val="2"/>
        </w:numPr>
        <w:spacing w:after="80" w:line="280"/>
      </w:pPr>
      <w:r>
        <w:rPr>
          <w:rFonts w:ascii="Calibri" w:cs="Calibri" w:eastAsia="Calibri" w:hAnsi="Calibri"/>
          <w:color w:val="111827"/>
          <w:sz w:val="22"/>
          <w:szCs w:val="22"/>
        </w:rPr>
        <w:t xml:space="preserve">Classifier reaches ≥85% accuracy on the Unigen test fixture (50 canonical SKUs with known answers).</w:t>
      </w:r>
    </w:p>
    <w:p>
      <w:pPr>
        <w:pStyle w:val="ListParagraph"/>
        <w:numPr>
          <w:ilvl w:val="0"/>
          <w:numId w:val="2"/>
        </w:numPr>
        <w:spacing w:after="80" w:line="280"/>
      </w:pPr>
      <w:r>
        <w:rPr>
          <w:rFonts w:ascii="Calibri" w:cs="Calibri" w:eastAsia="Calibri" w:hAnsi="Calibri"/>
          <w:color w:val="111827"/>
          <w:sz w:val="22"/>
          <w:szCs w:val="22"/>
        </w:rPr>
        <w:t xml:space="preserve">Every BOM row is traceable in the Lineage module back to (file, row number, user, timestamp).</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00"/>
        <w:gridCol w:w="1230"/>
        <w:gridCol w:w="1230"/>
      </w:tblGrid>
      <w:tr>
        <w:tc>
          <w:tcPr>
            <w:tcW w:type="dxa" w:w="1400"/>
            <w:tcBorders>
              <w:top w:val="single" w:color="0F766E" w:sz="4"/>
              <w:left w:val="single" w:color="0F766E" w:sz="4"/>
              <w:bottom w:val="single" w:color="0F766E" w:sz="4"/>
              <w:right w:val="single" w:color="0F766E" w:sz="4"/>
            </w:tcBorders>
            <w:shd w:fill="0F766E" w:val="clear"/>
            <w:tcMar>
              <w:top w:type="dxa" w:w="140"/>
              <w:left w:type="dxa" w:w="160"/>
              <w:bottom w:type="dxa" w:w="140"/>
              <w:right w:type="dxa" w:w="160"/>
            </w:tcMar>
          </w:tcPr>
          <w:p>
            <w:pPr>
              <w:jc w:val="center"/>
            </w:pPr>
            <w:r>
              <w:rPr>
                <w:rFonts w:ascii="Calibri" w:cs="Calibri" w:eastAsia="Calibri" w:hAnsi="Calibri"/>
                <w:b/>
                <w:bCs/>
                <w:color w:val="FFFFFF"/>
                <w:sz w:val="22"/>
                <w:szCs w:val="22"/>
              </w:rPr>
              <w:t xml:space="preserve">PCF-03</w:t>
            </w:r>
          </w:p>
        </w:tc>
        <w:tc>
          <w:tcPr>
            <w:tcW w:type="dxa" w:w="5500"/>
            <w:tcBorders>
              <w:top w:val="single" w:color="0F766E" w:sz="4"/>
              <w:left w:val="single" w:color="0F766E" w:sz="4"/>
              <w:bottom w:val="single" w:color="0F766E" w:sz="4"/>
              <w:right w:val="single" w:color="0F766E" w:sz="4"/>
            </w:tcBorders>
            <w:shd w:fill="CCFBF1" w:val="clear"/>
            <w:tcMar>
              <w:top w:type="dxa" w:w="140"/>
              <w:left w:type="dxa" w:w="160"/>
              <w:bottom w:type="dxa" w:w="140"/>
              <w:right w:type="dxa" w:w="160"/>
            </w:tcMar>
          </w:tcPr>
          <w:p>
            <w:r>
              <w:rPr>
                <w:rFonts w:ascii="Calibri" w:cs="Calibri" w:eastAsia="Calibri" w:hAnsi="Calibri"/>
                <w:b/>
                <w:bCs/>
                <w:color w:val="111827"/>
                <w:sz w:val="22"/>
                <w:szCs w:val="22"/>
              </w:rPr>
              <w:t xml:space="preserve">LCA calculation engine with Monte Carlo uncertainty</w:t>
            </w:r>
          </w:p>
        </w:tc>
        <w:tc>
          <w:tcPr>
            <w:tcW w:type="dxa" w:w="1230"/>
            <w:tcBorders>
              <w:top w:val="single" w:color="0F766E" w:sz="4"/>
              <w:left w:val="single" w:color="0F766E" w:sz="4"/>
              <w:bottom w:val="single" w:color="0F766E" w:sz="4"/>
              <w:right w:val="single" w:color="0F766E" w:sz="4"/>
            </w:tcBorders>
            <w:shd w:fill="CCFBF1" w:val="clear"/>
            <w:tcMar>
              <w:top w:type="dxa" w:w="140"/>
              <w:left w:type="dxa" w:w="120"/>
              <w:bottom w:type="dxa" w:w="140"/>
              <w:right w:type="dxa" w:w="120"/>
            </w:tcMar>
          </w:tcPr>
          <w:p>
            <w:pPr>
              <w:jc w:val="center"/>
            </w:pPr>
            <w:r>
              <w:rPr>
                <w:rFonts w:ascii="Calibri" w:cs="Calibri" w:eastAsia="Calibri" w:hAnsi="Calibri"/>
                <w:b/>
                <w:bCs/>
                <w:color w:val="111827"/>
                <w:sz w:val="20"/>
                <w:szCs w:val="20"/>
              </w:rPr>
              <w:t xml:space="preserve">13 pts</w:t>
            </w:r>
          </w:p>
        </w:tc>
        <w:tc>
          <w:tcPr>
            <w:tcW w:type="dxa" w:w="1230"/>
            <w:tcBorders>
              <w:top w:val="single" w:color="0F766E" w:sz="4"/>
              <w:left w:val="single" w:color="0F766E" w:sz="4"/>
              <w:bottom w:val="single" w:color="0F766E" w:sz="4"/>
              <w:right w:val="single" w:color="0F766E" w:sz="4"/>
            </w:tcBorders>
            <w:shd w:fill="CCFBF1" w:val="clear"/>
            <w:tcMar>
              <w:top w:type="dxa" w:w="140"/>
              <w:left w:type="dxa" w:w="120"/>
              <w:bottom w:type="dxa" w:w="140"/>
              <w:right w:type="dxa" w:w="120"/>
            </w:tcMar>
          </w:tcPr>
          <w:p>
            <w:pPr>
              <w:jc w:val="center"/>
            </w:pPr>
            <w:r>
              <w:rPr>
                <w:rFonts w:ascii="Calibri" w:cs="Calibri" w:eastAsia="Calibri" w:hAnsi="Calibri"/>
                <w:b/>
                <w:bCs/>
                <w:color w:val="111827"/>
                <w:sz w:val="20"/>
                <w:szCs w:val="20"/>
              </w:rPr>
              <w:t xml:space="preserve">P0</w:t>
            </w:r>
          </w:p>
        </w:tc>
      </w:tr>
    </w:tbl>
    <w:p>
      <w:pPr>
        <w:spacing w:after="100"/>
      </w:pPr>
      <w:r>
        <w:t xml:space="preserve"/>
      </w:r>
    </w:p>
    <w:p>
      <w:pPr>
        <w:spacing w:after="80" w:before="180"/>
      </w:pPr>
      <w:r>
        <w:rPr>
          <w:rFonts w:ascii="Calibri" w:cs="Calibri" w:eastAsia="Calibri" w:hAnsi="Calibri"/>
          <w:b/>
          <w:bCs/>
          <w:color w:val="0F766E"/>
          <w:sz w:val="22"/>
          <w:szCs w:val="22"/>
        </w:rPr>
        <w:t xml:space="preserve">Scope</w:t>
      </w:r>
    </w:p>
    <w:p>
      <w:pPr>
        <w:spacing w:after="120" w:line="300"/>
      </w:pPr>
      <w:r>
        <w:rPr>
          <w:rFonts w:ascii="Calibri" w:cs="Calibri" w:eastAsia="Calibri" w:hAnsi="Calibri"/>
          <w:color w:val="111827"/>
          <w:sz w:val="22"/>
          <w:szCs w:val="22"/>
        </w:rPr>
        <w:t xml:space="preserve">Pure-Node calculation service that takes a Product + its BOM + ProcessSteps and returns a PcfCalculation. Lite version uses a cradle-to-gate boundary (stages A1–A3). Full version adds A4, B1, C1 in Q4. Uses Monte Carlo (1,000 iterations) over emission-factor uncertainty distributions to output a 5th/95th percentile range.</w:t>
      </w:r>
    </w:p>
    <w:p>
      <w:pPr>
        <w:spacing w:after="80" w:before="180"/>
      </w:pPr>
      <w:r>
        <w:rPr>
          <w:rFonts w:ascii="Calibri" w:cs="Calibri" w:eastAsia="Calibri" w:hAnsi="Calibri"/>
          <w:b/>
          <w:bCs/>
          <w:color w:val="0F766E"/>
          <w:sz w:val="22"/>
          <w:szCs w:val="22"/>
        </w:rPr>
        <w:t xml:space="preserve">Backend tasks</w:t>
      </w:r>
    </w:p>
    <w:p>
      <w:pPr>
        <w:pStyle w:val="ListParagraph"/>
        <w:numPr>
          <w:ilvl w:val="0"/>
          <w:numId w:val="2"/>
        </w:numPr>
        <w:spacing w:after="80" w:line="280"/>
      </w:pPr>
      <w:r>
        <w:rPr>
          <w:rFonts w:ascii="Calibri" w:cs="Calibri" w:eastAsia="Calibri" w:hAnsi="Calibri"/>
          <w:color w:val="111827"/>
          <w:sz w:val="22"/>
          <w:szCs w:val="22"/>
        </w:rPr>
        <w:t xml:space="preserve">New file backend/src/services/pcfEngine.js exporting calculatePcf(productId): Promise&lt;PcfCalculation&gt;.</w:t>
      </w:r>
    </w:p>
    <w:p>
      <w:pPr>
        <w:pStyle w:val="ListParagraph"/>
        <w:numPr>
          <w:ilvl w:val="0"/>
          <w:numId w:val="2"/>
        </w:numPr>
        <w:spacing w:after="80" w:line="280"/>
      </w:pPr>
      <w:r>
        <w:rPr>
          <w:rFonts w:ascii="Calibri" w:cs="Calibri" w:eastAsia="Calibri" w:hAnsi="Calibri"/>
          <w:color w:val="111827"/>
          <w:sz w:val="22"/>
          <w:szCs w:val="22"/>
        </w:rPr>
        <w:t xml:space="preserve">Algorithm: for each BOMItem, fetch chosen EmissionFactor, compute kgCO2e = quantity × (1 + scrapRatePct/100) × factorValue, bucket by lifecycleStage and componentId.</w:t>
      </w:r>
    </w:p>
    <w:p>
      <w:pPr>
        <w:pStyle w:val="ListParagraph"/>
        <w:numPr>
          <w:ilvl w:val="0"/>
          <w:numId w:val="2"/>
        </w:numPr>
        <w:spacing w:after="80" w:line="280"/>
      </w:pPr>
      <w:r>
        <w:rPr>
          <w:rFonts w:ascii="Calibri" w:cs="Calibri" w:eastAsia="Calibri" w:hAnsi="Calibri"/>
          <w:color w:val="111827"/>
          <w:sz w:val="22"/>
          <w:szCs w:val="22"/>
        </w:rPr>
        <w:t xml:space="preserve">Monte Carlo: resample factor values from N(mean, std) where std is stored on EmissionFactor (fall back to 10% if null), run 1,000 trials, output p5/p50/p95.</w:t>
      </w:r>
    </w:p>
    <w:p>
      <w:pPr>
        <w:pStyle w:val="ListParagraph"/>
        <w:numPr>
          <w:ilvl w:val="0"/>
          <w:numId w:val="2"/>
        </w:numPr>
        <w:spacing w:after="80" w:line="280"/>
      </w:pPr>
      <w:r>
        <w:rPr>
          <w:rFonts w:ascii="Calibri" w:cs="Calibri" w:eastAsia="Calibri" w:hAnsi="Calibri"/>
          <w:color w:val="111827"/>
          <w:sz w:val="22"/>
          <w:szCs w:val="22"/>
        </w:rPr>
        <w:t xml:space="preserve">primaryDataPct = sum of quantity-weighted bom items where component.primaryDataFlag = true, divided by total.</w:t>
      </w:r>
    </w:p>
    <w:p>
      <w:pPr>
        <w:pStyle w:val="ListParagraph"/>
        <w:numPr>
          <w:ilvl w:val="0"/>
          <w:numId w:val="2"/>
        </w:numPr>
        <w:spacing w:after="80" w:line="280"/>
      </w:pPr>
      <w:r>
        <w:rPr>
          <w:rFonts w:ascii="Calibri" w:cs="Calibri" w:eastAsia="Calibri" w:hAnsi="Calibri"/>
          <w:color w:val="111827"/>
          <w:sz w:val="22"/>
          <w:szCs w:val="22"/>
        </w:rPr>
        <w:t xml:space="preserve">Store full factorSnapshot JSON so results are reproducible even after factor database updates.</w:t>
      </w:r>
    </w:p>
    <w:p>
      <w:pPr>
        <w:pStyle w:val="ListParagraph"/>
        <w:numPr>
          <w:ilvl w:val="0"/>
          <w:numId w:val="2"/>
        </w:numPr>
        <w:spacing w:after="80" w:line="280"/>
      </w:pPr>
      <w:r>
        <w:rPr>
          <w:rFonts w:ascii="Calibri" w:cs="Calibri" w:eastAsia="Calibri" w:hAnsi="Calibri"/>
          <w:color w:val="111827"/>
          <w:sz w:val="22"/>
          <w:szCs w:val="22"/>
        </w:rPr>
        <w:t xml:space="preserve">Wrap in a Promise.allSettled with a 30 s timeout; fail gracefully if any factor is missing.</w:t>
      </w:r>
    </w:p>
    <w:p>
      <w:pPr>
        <w:spacing w:after="80" w:before="180"/>
      </w:pPr>
      <w:r>
        <w:rPr>
          <w:rFonts w:ascii="Calibri" w:cs="Calibri" w:eastAsia="Calibri" w:hAnsi="Calibri"/>
          <w:b/>
          <w:bCs/>
          <w:color w:val="0F766E"/>
          <w:sz w:val="22"/>
          <w:szCs w:val="22"/>
        </w:rPr>
        <w:t xml:space="preserve">Frontend tasks</w:t>
      </w:r>
    </w:p>
    <w:p>
      <w:pPr>
        <w:pStyle w:val="ListParagraph"/>
        <w:numPr>
          <w:ilvl w:val="0"/>
          <w:numId w:val="2"/>
        </w:numPr>
        <w:spacing w:after="80" w:line="280"/>
      </w:pPr>
      <w:r>
        <w:rPr>
          <w:rFonts w:ascii="Calibri" w:cs="Calibri" w:eastAsia="Calibri" w:hAnsi="Calibri"/>
          <w:color w:val="111827"/>
          <w:sz w:val="22"/>
          <w:szCs w:val="22"/>
        </w:rPr>
        <w:t xml:space="preserve">Calculation tab on ProductDetail page. "Run calculation" button; result renders with: big number at top (p50), range underneath (p5 – p95), Sankey diagram for stage breakdown, horizontal bar chart for top 10 components.</w:t>
      </w:r>
    </w:p>
    <w:p>
      <w:pPr>
        <w:pStyle w:val="ListParagraph"/>
        <w:numPr>
          <w:ilvl w:val="0"/>
          <w:numId w:val="2"/>
        </w:numPr>
        <w:spacing w:after="80" w:line="280"/>
      </w:pPr>
      <w:r>
        <w:rPr>
          <w:rFonts w:ascii="Calibri" w:cs="Calibri" w:eastAsia="Calibri" w:hAnsi="Calibri"/>
          <w:color w:val="111827"/>
          <w:sz w:val="22"/>
          <w:szCs w:val="22"/>
        </w:rPr>
        <w:t xml:space="preserve">Sankey uses Recharts Treemap or a lightweight D3 Sankey (recommend d3-sankey + react-d3-sankey wrapper, already compatible with existing Recharts setup).</w:t>
      </w:r>
    </w:p>
    <w:p>
      <w:pPr>
        <w:pStyle w:val="ListParagraph"/>
        <w:numPr>
          <w:ilvl w:val="0"/>
          <w:numId w:val="2"/>
        </w:numPr>
        <w:spacing w:after="80" w:line="280"/>
      </w:pPr>
      <w:r>
        <w:rPr>
          <w:rFonts w:ascii="Calibri" w:cs="Calibri" w:eastAsia="Calibri" w:hAnsi="Calibri"/>
          <w:color w:val="111827"/>
          <w:sz w:val="22"/>
          <w:szCs w:val="22"/>
        </w:rPr>
        <w:t xml:space="preserve">On hover over any Sankey node, highlight the matching BOM rows in the BOM tab through shared state.</w:t>
      </w:r>
    </w:p>
    <w:p>
      <w:pPr>
        <w:pStyle w:val="ListParagraph"/>
        <w:numPr>
          <w:ilvl w:val="0"/>
          <w:numId w:val="2"/>
        </w:numPr>
        <w:spacing w:after="80" w:line="280"/>
      </w:pPr>
      <w:r>
        <w:rPr>
          <w:rFonts w:ascii="Calibri" w:cs="Calibri" w:eastAsia="Calibri" w:hAnsi="Calibri"/>
          <w:color w:val="111827"/>
          <w:sz w:val="22"/>
          <w:szCs w:val="22"/>
        </w:rPr>
        <w:t xml:space="preserve">"Why this number?" panel — a slide-out drawer listing the top 5 contributors with their factor source, region, and vintage. Users can click any row to jump to its BOM entry.</w:t>
      </w:r>
    </w:p>
    <w:p>
      <w:pPr>
        <w:spacing w:after="80" w:before="180"/>
      </w:pPr>
      <w:r>
        <w:rPr>
          <w:rFonts w:ascii="Calibri" w:cs="Calibri" w:eastAsia="Calibri" w:hAnsi="Calibri"/>
          <w:b/>
          <w:bCs/>
          <w:color w:val="0F766E"/>
          <w:sz w:val="22"/>
          <w:szCs w:val="22"/>
        </w:rPr>
        <w:t xml:space="preserve">Acceptance</w:t>
      </w:r>
    </w:p>
    <w:p>
      <w:pPr>
        <w:pStyle w:val="ListParagraph"/>
        <w:numPr>
          <w:ilvl w:val="0"/>
          <w:numId w:val="2"/>
        </w:numPr>
        <w:spacing w:after="80" w:line="280"/>
      </w:pPr>
      <w:r>
        <w:rPr>
          <w:rFonts w:ascii="Calibri" w:cs="Calibri" w:eastAsia="Calibri" w:hAnsi="Calibri"/>
          <w:color w:val="111827"/>
          <w:sz w:val="22"/>
          <w:szCs w:val="22"/>
        </w:rPr>
        <w:t xml:space="preserve">Calculation for a 100-row BOM completes in &lt; 2 seconds server-side.</w:t>
      </w:r>
    </w:p>
    <w:p>
      <w:pPr>
        <w:pStyle w:val="ListParagraph"/>
        <w:numPr>
          <w:ilvl w:val="0"/>
          <w:numId w:val="2"/>
        </w:numPr>
        <w:spacing w:after="80" w:line="280"/>
      </w:pPr>
      <w:r>
        <w:rPr>
          <w:rFonts w:ascii="Calibri" w:cs="Calibri" w:eastAsia="Calibri" w:hAnsi="Calibri"/>
          <w:color w:val="111827"/>
          <w:sz w:val="22"/>
          <w:szCs w:val="22"/>
        </w:rPr>
        <w:t xml:space="preserve">Two runs in a row with the same inputs produce identical totals but different (bounded) p5/p95 within expected noise.</w:t>
      </w:r>
    </w:p>
    <w:p>
      <w:pPr>
        <w:pStyle w:val="ListParagraph"/>
        <w:numPr>
          <w:ilvl w:val="0"/>
          <w:numId w:val="2"/>
        </w:numPr>
        <w:spacing w:after="80" w:line="280"/>
      </w:pPr>
      <w:r>
        <w:rPr>
          <w:rFonts w:ascii="Calibri" w:cs="Calibri" w:eastAsia="Calibri" w:hAnsi="Calibri"/>
          <w:color w:val="111827"/>
          <w:sz w:val="22"/>
          <w:szCs w:val="22"/>
        </w:rPr>
        <w:t xml:space="preserve">Removing a component's primary-data flag visibly drops primaryDataPct.</w:t>
      </w:r>
    </w:p>
    <w:p>
      <w:pPr>
        <w:spacing w:after="100"/>
      </w:pPr>
      <w:r>
        <w:t xml:space="preserve"/>
      </w:r>
    </w:p>
    <w:p>
      <w:pPr>
        <w:pStyle w:val="Heading2"/>
        <w:spacing w:after="140" w:before="320"/>
      </w:pPr>
      <w:r>
        <w:rPr>
          <w:rFonts w:ascii="Calibri" w:cs="Calibri" w:eastAsia="Calibri" w:hAnsi="Calibri"/>
          <w:b/>
          <w:bCs/>
          <w:color w:val="111827"/>
          <w:sz w:val="30"/>
          <w:szCs w:val="30"/>
        </w:rPr>
        <w:t xml:space="preserve">1.3 What-If Simulator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00"/>
        <w:gridCol w:w="1230"/>
        <w:gridCol w:w="1230"/>
      </w:tblGrid>
      <w:tr>
        <w:tc>
          <w:tcPr>
            <w:tcW w:type="dxa" w:w="1400"/>
            <w:tcBorders>
              <w:top w:val="single" w:color="0F766E" w:sz="4"/>
              <w:left w:val="single" w:color="0F766E" w:sz="4"/>
              <w:bottom w:val="single" w:color="0F766E" w:sz="4"/>
              <w:right w:val="single" w:color="0F766E" w:sz="4"/>
            </w:tcBorders>
            <w:shd w:fill="0F766E" w:val="clear"/>
            <w:tcMar>
              <w:top w:type="dxa" w:w="140"/>
              <w:left w:type="dxa" w:w="160"/>
              <w:bottom w:type="dxa" w:w="140"/>
              <w:right w:type="dxa" w:w="160"/>
            </w:tcMar>
          </w:tcPr>
          <w:p>
            <w:pPr>
              <w:jc w:val="center"/>
            </w:pPr>
            <w:r>
              <w:rPr>
                <w:rFonts w:ascii="Calibri" w:cs="Calibri" w:eastAsia="Calibri" w:hAnsi="Calibri"/>
                <w:b/>
                <w:bCs/>
                <w:color w:val="FFFFFF"/>
                <w:sz w:val="22"/>
                <w:szCs w:val="22"/>
              </w:rPr>
              <w:t xml:space="preserve">PCF-04</w:t>
            </w:r>
          </w:p>
        </w:tc>
        <w:tc>
          <w:tcPr>
            <w:tcW w:type="dxa" w:w="5500"/>
            <w:tcBorders>
              <w:top w:val="single" w:color="0F766E" w:sz="4"/>
              <w:left w:val="single" w:color="0F766E" w:sz="4"/>
              <w:bottom w:val="single" w:color="0F766E" w:sz="4"/>
              <w:right w:val="single" w:color="0F766E" w:sz="4"/>
            </w:tcBorders>
            <w:shd w:fill="CCFBF1" w:val="clear"/>
            <w:tcMar>
              <w:top w:type="dxa" w:w="140"/>
              <w:left w:type="dxa" w:w="160"/>
              <w:bottom w:type="dxa" w:w="140"/>
              <w:right w:type="dxa" w:w="160"/>
            </w:tcMar>
          </w:tcPr>
          <w:p>
            <w:r>
              <w:rPr>
                <w:rFonts w:ascii="Calibri" w:cs="Calibri" w:eastAsia="Calibri" w:hAnsi="Calibri"/>
                <w:b/>
                <w:bCs/>
                <w:color w:val="111827"/>
                <w:sz w:val="22"/>
                <w:szCs w:val="22"/>
              </w:rPr>
              <w:t xml:space="preserve">What-if simulator for abatement scenarios</w:t>
            </w:r>
          </w:p>
        </w:tc>
        <w:tc>
          <w:tcPr>
            <w:tcW w:type="dxa" w:w="1230"/>
            <w:tcBorders>
              <w:top w:val="single" w:color="0F766E" w:sz="4"/>
              <w:left w:val="single" w:color="0F766E" w:sz="4"/>
              <w:bottom w:val="single" w:color="0F766E" w:sz="4"/>
              <w:right w:val="single" w:color="0F766E" w:sz="4"/>
            </w:tcBorders>
            <w:shd w:fill="CCFBF1" w:val="clear"/>
            <w:tcMar>
              <w:top w:type="dxa" w:w="140"/>
              <w:left w:type="dxa" w:w="120"/>
              <w:bottom w:type="dxa" w:w="140"/>
              <w:right w:type="dxa" w:w="120"/>
            </w:tcMar>
          </w:tcPr>
          <w:p>
            <w:pPr>
              <w:jc w:val="center"/>
            </w:pPr>
            <w:r>
              <w:rPr>
                <w:rFonts w:ascii="Calibri" w:cs="Calibri" w:eastAsia="Calibri" w:hAnsi="Calibri"/>
                <w:b/>
                <w:bCs/>
                <w:color w:val="111827"/>
                <w:sz w:val="20"/>
                <w:szCs w:val="20"/>
              </w:rPr>
              <w:t xml:space="preserve">8 pts</w:t>
            </w:r>
          </w:p>
        </w:tc>
        <w:tc>
          <w:tcPr>
            <w:tcW w:type="dxa" w:w="1230"/>
            <w:tcBorders>
              <w:top w:val="single" w:color="0F766E" w:sz="4"/>
              <w:left w:val="single" w:color="0F766E" w:sz="4"/>
              <w:bottom w:val="single" w:color="0F766E" w:sz="4"/>
              <w:right w:val="single" w:color="0F766E" w:sz="4"/>
            </w:tcBorders>
            <w:shd w:fill="CCFBF1" w:val="clear"/>
            <w:tcMar>
              <w:top w:type="dxa" w:w="140"/>
              <w:left w:type="dxa" w:w="120"/>
              <w:bottom w:type="dxa" w:w="140"/>
              <w:right w:type="dxa" w:w="120"/>
            </w:tcMar>
          </w:tcPr>
          <w:p>
            <w:pPr>
              <w:jc w:val="center"/>
            </w:pPr>
            <w:r>
              <w:rPr>
                <w:rFonts w:ascii="Calibri" w:cs="Calibri" w:eastAsia="Calibri" w:hAnsi="Calibri"/>
                <w:b/>
                <w:bCs/>
                <w:color w:val="111827"/>
                <w:sz w:val="20"/>
                <w:szCs w:val="20"/>
              </w:rPr>
              <w:t xml:space="preserve">P1</w:t>
            </w:r>
          </w:p>
        </w:tc>
      </w:tr>
    </w:tbl>
    <w:p>
      <w:pPr>
        <w:spacing w:after="100"/>
      </w:pPr>
      <w:r>
        <w:t xml:space="preserve"/>
      </w:r>
    </w:p>
    <w:p>
      <w:pPr>
        <w:spacing w:after="80" w:before="180"/>
      </w:pPr>
      <w:r>
        <w:rPr>
          <w:rFonts w:ascii="Calibri" w:cs="Calibri" w:eastAsia="Calibri" w:hAnsi="Calibri"/>
          <w:b/>
          <w:bCs/>
          <w:color w:val="0F766E"/>
          <w:sz w:val="22"/>
          <w:szCs w:val="22"/>
        </w:rPr>
        <w:t xml:space="preserve">Scope</w:t>
      </w:r>
    </w:p>
    <w:p>
      <w:pPr>
        <w:spacing w:after="120" w:line="300"/>
      </w:pPr>
      <w:r>
        <w:rPr>
          <w:rFonts w:ascii="Calibri" w:cs="Calibri" w:eastAsia="Calibri" w:hAnsi="Calibri"/>
          <w:color w:val="111827"/>
          <w:sz w:val="22"/>
          <w:szCs w:val="22"/>
        </w:rPr>
        <w:t xml:space="preserve">A scenario modeller that lets the user pose questions like "What if we swap to 30% recycled aluminum?", "What if assembly moves from Shenzhen to Ho Chi Minh City?", "What if the Malaysia site runs on renewable PPA?" — and see the PCF delta live without persisting the change.</w:t>
      </w:r>
    </w:p>
    <w:p>
      <w:pPr>
        <w:spacing w:after="80" w:before="180"/>
      </w:pPr>
      <w:r>
        <w:rPr>
          <w:rFonts w:ascii="Calibri" w:cs="Calibri" w:eastAsia="Calibri" w:hAnsi="Calibri"/>
          <w:b/>
          <w:bCs/>
          <w:color w:val="0F766E"/>
          <w:sz w:val="22"/>
          <w:szCs w:val="22"/>
        </w:rPr>
        <w:t xml:space="preserve">Backend</w:t>
      </w:r>
    </w:p>
    <w:p>
      <w:pPr>
        <w:pStyle w:val="ListParagraph"/>
        <w:numPr>
          <w:ilvl w:val="0"/>
          <w:numId w:val="2"/>
        </w:numPr>
        <w:spacing w:after="80" w:line="280"/>
      </w:pPr>
      <w:r>
        <w:rPr>
          <w:rFonts w:ascii="Calibri" w:cs="Calibri" w:eastAsia="Calibri" w:hAnsi="Calibri"/>
          <w:color w:val="111827"/>
          <w:sz w:val="22"/>
          <w:szCs w:val="22"/>
        </w:rPr>
        <w:t xml:space="preserve">POST /api/pcf/products/:id/simulate — accepts a scenario object (array of overrides: swap factor A for factor B, change region, change a ProcessStep energy value). Runs calculatePcf with overrides in-memory, returns a diff result.</w:t>
      </w:r>
    </w:p>
    <w:p>
      <w:pPr>
        <w:pStyle w:val="ListParagraph"/>
        <w:numPr>
          <w:ilvl w:val="0"/>
          <w:numId w:val="2"/>
        </w:numPr>
        <w:spacing w:after="80" w:line="280"/>
      </w:pPr>
      <w:r>
        <w:rPr>
          <w:rFonts w:ascii="Calibri" w:cs="Calibri" w:eastAsia="Calibri" w:hAnsi="Calibri"/>
          <w:color w:val="111827"/>
          <w:sz w:val="22"/>
          <w:szCs w:val="22"/>
        </w:rPr>
        <w:t xml:space="preserve">Does not write PcfCalculation — this is stateless by design.</w:t>
      </w:r>
    </w:p>
    <w:p>
      <w:pPr>
        <w:spacing w:after="80" w:before="180"/>
      </w:pPr>
      <w:r>
        <w:rPr>
          <w:rFonts w:ascii="Calibri" w:cs="Calibri" w:eastAsia="Calibri" w:hAnsi="Calibri"/>
          <w:b/>
          <w:bCs/>
          <w:color w:val="0F766E"/>
          <w:sz w:val="22"/>
          <w:szCs w:val="22"/>
        </w:rPr>
        <w:t xml:space="preserve">Frontend</w:t>
      </w:r>
    </w:p>
    <w:p>
      <w:pPr>
        <w:pStyle w:val="ListParagraph"/>
        <w:numPr>
          <w:ilvl w:val="0"/>
          <w:numId w:val="2"/>
        </w:numPr>
        <w:spacing w:after="80" w:line="280"/>
      </w:pPr>
      <w:r>
        <w:rPr>
          <w:rFonts w:ascii="Calibri" w:cs="Calibri" w:eastAsia="Calibri" w:hAnsi="Calibri"/>
          <w:color w:val="111827"/>
          <w:sz w:val="22"/>
          <w:szCs w:val="22"/>
        </w:rPr>
        <w:t xml:space="preserve">Side-by-side layout: baseline PCF on the left, scenario PCF on the right, delta in the middle (green if reduction, red if increase).</w:t>
      </w:r>
    </w:p>
    <w:p>
      <w:pPr>
        <w:pStyle w:val="ListParagraph"/>
        <w:numPr>
          <w:ilvl w:val="0"/>
          <w:numId w:val="2"/>
        </w:numPr>
        <w:spacing w:after="80" w:line="280"/>
      </w:pPr>
      <w:r>
        <w:rPr>
          <w:rFonts w:ascii="Calibri" w:cs="Calibri" w:eastAsia="Calibri" w:hAnsi="Calibri"/>
          <w:color w:val="111827"/>
          <w:sz w:val="22"/>
          <w:szCs w:val="22"/>
        </w:rPr>
        <w:t xml:space="preserve">Three pre-built scenario templates in the sidebar: "Recycled materials", "Site energy switch", "Supplier relocation". One click populates the overrides form.</w:t>
      </w:r>
    </w:p>
    <w:p>
      <w:pPr>
        <w:pStyle w:val="ListParagraph"/>
        <w:numPr>
          <w:ilvl w:val="0"/>
          <w:numId w:val="2"/>
        </w:numPr>
        <w:spacing w:after="80" w:line="280"/>
      </w:pPr>
      <w:r>
        <w:rPr>
          <w:rFonts w:ascii="Calibri" w:cs="Calibri" w:eastAsia="Calibri" w:hAnsi="Calibri"/>
          <w:color w:val="111827"/>
          <w:sz w:val="22"/>
          <w:szCs w:val="22"/>
        </w:rPr>
        <w:t xml:space="preserve">User can save a scenario as a named "abatement option" that feeds into the existing SBTi Targets module — this creates a powerful cross-sell between PCF and SBTi.</w:t>
      </w:r>
    </w:p>
    <w:p>
      <w:pPr>
        <w:spacing w:after="80" w:before="180"/>
      </w:pPr>
      <w:r>
        <w:rPr>
          <w:rFonts w:ascii="Calibri" w:cs="Calibri" w:eastAsia="Calibri" w:hAnsi="Calibri"/>
          <w:b/>
          <w:bCs/>
          <w:color w:val="0F766E"/>
          <w:sz w:val="22"/>
          <w:szCs w:val="22"/>
        </w:rPr>
        <w:t xml:space="preserve">UI delight moment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4"/>
              <w:left w:val="single" w:color="0F766E" w:sz="24"/>
              <w:bottom w:val="single" w:color="0F766E" w:sz="4"/>
              <w:right w:val="single" w:color="0F766E" w:sz="4"/>
            </w:tcBorders>
            <w:shd w:fill="F0FDFA" w:val="clear"/>
            <w:tcMar>
              <w:top w:type="dxa" w:w="160"/>
              <w:left w:type="dxa" w:w="220"/>
              <w:bottom w:type="dxa" w:w="160"/>
              <w:right w:type="dxa" w:w="180"/>
            </w:tcMar>
          </w:tcPr>
          <w:p>
            <w:pPr>
              <w:spacing w:after="60"/>
            </w:pPr>
            <w:r>
              <w:rPr>
                <w:rFonts w:ascii="Calibri" w:cs="Calibri" w:eastAsia="Calibri" w:hAnsi="Calibri"/>
                <w:b/>
                <w:bCs/>
                <w:color w:val="0F766E"/>
                <w:sz w:val="22"/>
                <w:szCs w:val="22"/>
              </w:rPr>
              <w:t xml:space="preserve">The "wow" frame</w:t>
            </w:r>
          </w:p>
          <w:p>
            <w:pPr>
              <w:spacing w:after="0" w:line="280"/>
            </w:pPr>
            <w:r>
              <w:rPr>
                <w:rFonts w:ascii="Calibri" w:cs="Calibri" w:eastAsia="Calibri" w:hAnsi="Calibri"/>
                <w:color w:val="111827"/>
                <w:sz w:val="22"/>
                <w:szCs w:val="22"/>
              </w:rPr>
              <w:t xml:space="preserve">When the user adjusts a slider (e.g., recycled aluminum % from 0 to 30), the Sankey diagram animates in real time as the numbers change. This is the screenshot that ends up on the product landing page. Recharts doesn't do this natively — use Framer Motion for the tween between states.</w:t>
            </w:r>
          </w:p>
        </w:tc>
      </w:tr>
    </w:tbl>
    <w:p>
      <w:pPr>
        <w:spacing w:after="100"/>
      </w:pPr>
      <w:r>
        <w:t xml:space="preserve"/>
      </w:r>
    </w:p>
    <w:p>
      <w:pPr>
        <w:pStyle w:val="Heading2"/>
        <w:spacing w:after="140" w:before="320"/>
      </w:pPr>
      <w:r>
        <w:rPr>
          <w:rFonts w:ascii="Calibri" w:cs="Calibri" w:eastAsia="Calibri" w:hAnsi="Calibri"/>
          <w:b/>
          <w:bCs/>
          <w:color w:val="111827"/>
          <w:sz w:val="30"/>
          <w:szCs w:val="30"/>
        </w:rPr>
        <w:t xml:space="preserve">1.4 Electronics Sector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00"/>
        <w:gridCol w:w="1230"/>
        <w:gridCol w:w="1230"/>
      </w:tblGrid>
      <w:tr>
        <w:tc>
          <w:tcPr>
            <w:tcW w:type="dxa" w:w="1400"/>
            <w:tcBorders>
              <w:top w:val="single" w:color="0F766E" w:sz="4"/>
              <w:left w:val="single" w:color="0F766E" w:sz="4"/>
              <w:bottom w:val="single" w:color="0F766E" w:sz="4"/>
              <w:right w:val="single" w:color="0F766E" w:sz="4"/>
            </w:tcBorders>
            <w:shd w:fill="0F766E" w:val="clear"/>
            <w:tcMar>
              <w:top w:type="dxa" w:w="140"/>
              <w:left w:type="dxa" w:w="160"/>
              <w:bottom w:type="dxa" w:w="140"/>
              <w:right w:type="dxa" w:w="160"/>
            </w:tcMar>
          </w:tcPr>
          <w:p>
            <w:pPr>
              <w:jc w:val="center"/>
            </w:pPr>
            <w:r>
              <w:rPr>
                <w:rFonts w:ascii="Calibri" w:cs="Calibri" w:eastAsia="Calibri" w:hAnsi="Calibri"/>
                <w:b/>
                <w:bCs/>
                <w:color w:val="FFFFFF"/>
                <w:sz w:val="22"/>
                <w:szCs w:val="22"/>
              </w:rPr>
              <w:t xml:space="preserve">PCF-05</w:t>
            </w:r>
          </w:p>
        </w:tc>
        <w:tc>
          <w:tcPr>
            <w:tcW w:type="dxa" w:w="5500"/>
            <w:tcBorders>
              <w:top w:val="single" w:color="0F766E" w:sz="4"/>
              <w:left w:val="single" w:color="0F766E" w:sz="4"/>
              <w:bottom w:val="single" w:color="0F766E" w:sz="4"/>
              <w:right w:val="single" w:color="0F766E" w:sz="4"/>
            </w:tcBorders>
            <w:shd w:fill="CCFBF1" w:val="clear"/>
            <w:tcMar>
              <w:top w:type="dxa" w:w="140"/>
              <w:left w:type="dxa" w:w="160"/>
              <w:bottom w:type="dxa" w:w="140"/>
              <w:right w:type="dxa" w:w="160"/>
            </w:tcMar>
          </w:tcPr>
          <w:p>
            <w:r>
              <w:rPr>
                <w:rFonts w:ascii="Calibri" w:cs="Calibri" w:eastAsia="Calibri" w:hAnsi="Calibri"/>
                <w:b/>
                <w:bCs/>
                <w:color w:val="111827"/>
                <w:sz w:val="22"/>
                <w:szCs w:val="22"/>
              </w:rPr>
              <w:t xml:space="preserve">Sector pack framework (reusable infrastructure)</w:t>
            </w:r>
          </w:p>
        </w:tc>
        <w:tc>
          <w:tcPr>
            <w:tcW w:type="dxa" w:w="1230"/>
            <w:tcBorders>
              <w:top w:val="single" w:color="0F766E" w:sz="4"/>
              <w:left w:val="single" w:color="0F766E" w:sz="4"/>
              <w:bottom w:val="single" w:color="0F766E" w:sz="4"/>
              <w:right w:val="single" w:color="0F766E" w:sz="4"/>
            </w:tcBorders>
            <w:shd w:fill="CCFBF1" w:val="clear"/>
            <w:tcMar>
              <w:top w:type="dxa" w:w="140"/>
              <w:left w:type="dxa" w:w="120"/>
              <w:bottom w:type="dxa" w:w="140"/>
              <w:right w:type="dxa" w:w="120"/>
            </w:tcMar>
          </w:tcPr>
          <w:p>
            <w:pPr>
              <w:jc w:val="center"/>
            </w:pPr>
            <w:r>
              <w:rPr>
                <w:rFonts w:ascii="Calibri" w:cs="Calibri" w:eastAsia="Calibri" w:hAnsi="Calibri"/>
                <w:b/>
                <w:bCs/>
                <w:color w:val="111827"/>
                <w:sz w:val="20"/>
                <w:szCs w:val="20"/>
              </w:rPr>
              <w:t xml:space="preserve">8 pts</w:t>
            </w:r>
          </w:p>
        </w:tc>
        <w:tc>
          <w:tcPr>
            <w:tcW w:type="dxa" w:w="1230"/>
            <w:tcBorders>
              <w:top w:val="single" w:color="0F766E" w:sz="4"/>
              <w:left w:val="single" w:color="0F766E" w:sz="4"/>
              <w:bottom w:val="single" w:color="0F766E" w:sz="4"/>
              <w:right w:val="single" w:color="0F766E" w:sz="4"/>
            </w:tcBorders>
            <w:shd w:fill="CCFBF1" w:val="clear"/>
            <w:tcMar>
              <w:top w:type="dxa" w:w="140"/>
              <w:left w:type="dxa" w:w="120"/>
              <w:bottom w:type="dxa" w:w="140"/>
              <w:right w:type="dxa" w:w="120"/>
            </w:tcMar>
          </w:tcPr>
          <w:p>
            <w:pPr>
              <w:jc w:val="center"/>
            </w:pPr>
            <w:r>
              <w:rPr>
                <w:rFonts w:ascii="Calibri" w:cs="Calibri" w:eastAsia="Calibri" w:hAnsi="Calibri"/>
                <w:b/>
                <w:bCs/>
                <w:color w:val="111827"/>
                <w:sz w:val="20"/>
                <w:szCs w:val="20"/>
              </w:rPr>
              <w:t xml:space="preserve">P0</w:t>
            </w:r>
          </w:p>
        </w:tc>
      </w:tr>
    </w:tbl>
    <w:p>
      <w:pPr>
        <w:spacing w:after="100"/>
      </w:pPr>
      <w:r>
        <w:t xml:space="preserve"/>
      </w:r>
    </w:p>
    <w:p>
      <w:pPr>
        <w:spacing w:after="80" w:before="180"/>
      </w:pPr>
      <w:r>
        <w:rPr>
          <w:rFonts w:ascii="Calibri" w:cs="Calibri" w:eastAsia="Calibri" w:hAnsi="Calibri"/>
          <w:b/>
          <w:bCs/>
          <w:color w:val="0F766E"/>
          <w:sz w:val="22"/>
          <w:szCs w:val="22"/>
        </w:rPr>
        <w:t xml:space="preserve">Scope</w:t>
      </w:r>
    </w:p>
    <w:p>
      <w:pPr>
        <w:spacing w:after="120" w:line="300"/>
      </w:pPr>
      <w:r>
        <w:rPr>
          <w:rFonts w:ascii="Calibri" w:cs="Calibri" w:eastAsia="Calibri" w:hAnsi="Calibri"/>
          <w:color w:val="111827"/>
          <w:sz w:val="22"/>
          <w:szCs w:val="22"/>
        </w:rPr>
        <w:t xml:space="preserve">A data-driven plug-in system. Each sector pack is a folder under backend/src/sectors/&lt;sector&gt;/ containing five JSON files: pack.json (metadata), kpis.json, materiality.json, factors.json, templates/. Seeded into the DB at install time; selected at onboarding and switchable in Settings.</w:t>
      </w:r>
    </w:p>
    <w:p>
      <w:pPr>
        <w:spacing w:after="80" w:before="180"/>
      </w:pPr>
      <w:r>
        <w:rPr>
          <w:rFonts w:ascii="Calibri" w:cs="Calibri" w:eastAsia="Calibri" w:hAnsi="Calibri"/>
          <w:b/>
          <w:bCs/>
          <w:color w:val="0F766E"/>
          <w:sz w:val="22"/>
          <w:szCs w:val="22"/>
        </w:rPr>
        <w:t xml:space="preserve">Prisma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0" w:line="260"/>
            </w:pPr>
            <w:r>
              <w:rPr>
                <w:rFonts w:ascii="Consolas" w:cs="Consolas" w:eastAsia="Consolas" w:hAnsi="Consolas"/>
                <w:color w:val="111827"/>
                <w:sz w:val="18"/>
                <w:szCs w:val="18"/>
              </w:rPr>
              <w:t xml:space="preserve">model SectorPack {</w:t>
            </w:r>
          </w:p>
          <w:p>
            <w:pPr>
              <w:spacing w:after="0" w:line="260"/>
            </w:pPr>
            <w:r>
              <w:rPr>
                <w:rFonts w:ascii="Consolas" w:cs="Consolas" w:eastAsia="Consolas" w:hAnsi="Consolas"/>
                <w:color w:val="111827"/>
                <w:sz w:val="18"/>
                <w:szCs w:val="18"/>
              </w:rPr>
              <w:t xml:space="preserve">  id          String   @id @default(uuid())</w:t>
            </w:r>
          </w:p>
          <w:p>
            <w:pPr>
              <w:spacing w:after="0" w:line="260"/>
            </w:pPr>
            <w:r>
              <w:rPr>
                <w:rFonts w:ascii="Consolas" w:cs="Consolas" w:eastAsia="Consolas" w:hAnsi="Consolas"/>
                <w:color w:val="111827"/>
                <w:sz w:val="18"/>
                <w:szCs w:val="18"/>
              </w:rPr>
              <w:t xml:space="preserve">  key         String   @unique  // electronics | automotive | real_estate | financial</w:t>
            </w:r>
          </w:p>
          <w:p>
            <w:pPr>
              <w:spacing w:after="0" w:line="260"/>
            </w:pPr>
            <w:r>
              <w:rPr>
                <w:rFonts w:ascii="Consolas" w:cs="Consolas" w:eastAsia="Consolas" w:hAnsi="Consolas"/>
                <w:color w:val="111827"/>
                <w:sz w:val="18"/>
                <w:szCs w:val="18"/>
              </w:rPr>
              <w:t xml:space="preserve">  name        String</w:t>
            </w:r>
          </w:p>
          <w:p>
            <w:pPr>
              <w:spacing w:after="0" w:line="260"/>
            </w:pPr>
            <w:r>
              <w:rPr>
                <w:rFonts w:ascii="Consolas" w:cs="Consolas" w:eastAsia="Consolas" w:hAnsi="Consolas"/>
                <w:color w:val="111827"/>
                <w:sz w:val="18"/>
                <w:szCs w:val="18"/>
              </w:rPr>
              <w:t xml:space="preserve">  version     String</w:t>
            </w:r>
          </w:p>
          <w:p>
            <w:pPr>
              <w:spacing w:after="0" w:line="260"/>
            </w:pPr>
            <w:r>
              <w:rPr>
                <w:rFonts w:ascii="Consolas" w:cs="Consolas" w:eastAsia="Consolas" w:hAnsi="Consolas"/>
                <w:color w:val="111827"/>
                <w:sz w:val="18"/>
                <w:szCs w:val="18"/>
              </w:rPr>
              <w:t xml:space="preserve">  enabled     Boolean  @default(true)</w:t>
            </w:r>
          </w:p>
          <w:p>
            <w:pPr>
              <w:spacing w:after="0" w:line="260"/>
            </w:pPr>
            <w:r>
              <w:rPr>
                <w:rFonts w:ascii="Consolas" w:cs="Consolas" w:eastAsia="Consolas" w:hAnsi="Consolas"/>
                <w:color w:val="111827"/>
                <w:sz w:val="18"/>
                <w:szCs w:val="18"/>
              </w:rPr>
              <w:t xml:space="preserve">  manifest    Json</w:t>
            </w:r>
          </w:p>
          <w:p>
            <w:pPr>
              <w:spacing w:after="0" w:line="260"/>
            </w:pPr>
            <w:r>
              <w:rPr>
                <w:rFonts w:ascii="Consolas" w:cs="Consolas" w:eastAsia="Consolas" w:hAnsi="Consolas"/>
                <w:color w:val="111827"/>
                <w:sz w:val="18"/>
                <w:szCs w:val="18"/>
              </w:rPr>
              <w:t xml:space="preserve">  createdAt   DateTime @default(now())</w:t>
            </w:r>
          </w:p>
          <w:p>
            <w:pPr>
              <w:spacing w:after="0" w:line="260"/>
            </w:pPr>
            <w:r>
              <w:rPr>
                <w:rFonts w:ascii="Consolas" w:cs="Consolas" w:eastAsia="Consolas" w:hAnsi="Consolas"/>
                <w:color w:val="111827"/>
                <w:sz w:val="18"/>
                <w:szCs w:val="18"/>
              </w:rPr>
              <w:t xml:space="preserve">  kpis        SectorKpi[]</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model SectorKpi {</w:t>
            </w:r>
          </w:p>
          <w:p>
            <w:pPr>
              <w:spacing w:after="0" w:line="260"/>
            </w:pPr>
            <w:r>
              <w:rPr>
                <w:rFonts w:ascii="Consolas" w:cs="Consolas" w:eastAsia="Consolas" w:hAnsi="Consolas"/>
                <w:color w:val="111827"/>
                <w:sz w:val="18"/>
                <w:szCs w:val="18"/>
              </w:rPr>
              <w:t xml:space="preserve">  id            String   @id @default(uuid())</w:t>
            </w:r>
          </w:p>
          <w:p>
            <w:pPr>
              <w:spacing w:after="0" w:line="260"/>
            </w:pPr>
            <w:r>
              <w:rPr>
                <w:rFonts w:ascii="Consolas" w:cs="Consolas" w:eastAsia="Consolas" w:hAnsi="Consolas"/>
                <w:color w:val="111827"/>
                <w:sz w:val="18"/>
                <w:szCs w:val="18"/>
              </w:rPr>
              <w:t xml:space="preserve">  packId        String</w:t>
            </w:r>
          </w:p>
          <w:p>
            <w:pPr>
              <w:spacing w:after="0" w:line="260"/>
            </w:pPr>
            <w:r>
              <w:rPr>
                <w:rFonts w:ascii="Consolas" w:cs="Consolas" w:eastAsia="Consolas" w:hAnsi="Consolas"/>
                <w:color w:val="111827"/>
                <w:sz w:val="18"/>
                <w:szCs w:val="18"/>
              </w:rPr>
              <w:t xml:space="preserve">  pack          SectorPack @relation(fields: [packId], references: [id], onDelete: Cascade)</w:t>
            </w:r>
          </w:p>
          <w:p>
            <w:pPr>
              <w:spacing w:after="0" w:line="260"/>
            </w:pPr>
            <w:r>
              <w:rPr>
                <w:rFonts w:ascii="Consolas" w:cs="Consolas" w:eastAsia="Consolas" w:hAnsi="Consolas"/>
                <w:color w:val="111827"/>
                <w:sz w:val="18"/>
                <w:szCs w:val="18"/>
              </w:rPr>
              <w:t xml:space="preserve">  code          String   // TC-HW-410a.1</w:t>
            </w:r>
          </w:p>
          <w:p>
            <w:pPr>
              <w:spacing w:after="0" w:line="260"/>
            </w:pPr>
            <w:r>
              <w:rPr>
                <w:rFonts w:ascii="Consolas" w:cs="Consolas" w:eastAsia="Consolas" w:hAnsi="Consolas"/>
                <w:color w:val="111827"/>
                <w:sz w:val="18"/>
                <w:szCs w:val="18"/>
              </w:rPr>
              <w:t xml:space="preserve">  name          String</w:t>
            </w:r>
          </w:p>
          <w:p>
            <w:pPr>
              <w:spacing w:after="0" w:line="260"/>
            </w:pPr>
            <w:r>
              <w:rPr>
                <w:rFonts w:ascii="Consolas" w:cs="Consolas" w:eastAsia="Consolas" w:hAnsi="Consolas"/>
                <w:color w:val="111827"/>
                <w:sz w:val="18"/>
                <w:szCs w:val="18"/>
              </w:rPr>
              <w:t xml:space="preserve">  unit          String</w:t>
            </w:r>
          </w:p>
          <w:p>
            <w:pPr>
              <w:spacing w:after="0" w:line="260"/>
            </w:pPr>
            <w:r>
              <w:rPr>
                <w:rFonts w:ascii="Consolas" w:cs="Consolas" w:eastAsia="Consolas" w:hAnsi="Consolas"/>
                <w:color w:val="111827"/>
                <w:sz w:val="18"/>
                <w:szCs w:val="18"/>
              </w:rPr>
              <w:t xml:space="preserve">  framework     String   // SASB | ESRS | RBA | custom</w:t>
            </w:r>
          </w:p>
          <w:p>
            <w:pPr>
              <w:spacing w:after="0" w:line="260"/>
            </w:pPr>
            <w:r>
              <w:rPr>
                <w:rFonts w:ascii="Consolas" w:cs="Consolas" w:eastAsia="Consolas" w:hAnsi="Consolas"/>
                <w:color w:val="111827"/>
                <w:sz w:val="18"/>
                <w:szCs w:val="18"/>
              </w:rPr>
              <w:t xml:space="preserve">  category      String   // environmental | social | governance | product</w:t>
            </w:r>
          </w:p>
          <w:p>
            <w:pPr>
              <w:spacing w:after="0" w:line="260"/>
            </w:pPr>
            <w:r>
              <w:rPr>
                <w:rFonts w:ascii="Consolas" w:cs="Consolas" w:eastAsia="Consolas" w:hAnsi="Consolas"/>
                <w:color w:val="111827"/>
                <w:sz w:val="18"/>
                <w:szCs w:val="18"/>
              </w:rPr>
              <w:t xml:space="preserve">  formula       String?  // how to compute from existing data</w:t>
            </w:r>
          </w:p>
          <w:p>
            <w:pPr>
              <w:spacing w:after="0" w:line="260"/>
            </w:pPr>
            <w:r>
              <w:rPr>
                <w:rFonts w:ascii="Consolas" w:cs="Consolas" w:eastAsia="Consolas" w:hAnsi="Consolas"/>
                <w:color w:val="111827"/>
                <w:sz w:val="18"/>
                <w:szCs w:val="18"/>
              </w:rPr>
              <w:t xml:space="preserve">  aggregation   String?  // sum | avg | ratio</w:t>
            </w:r>
          </w:p>
          <w:p>
            <w:pPr>
              <w:spacing w:after="0" w:line="260"/>
            </w:pPr>
            <w:r>
              <w:rPr>
                <w:rFonts w:ascii="Consolas" w:cs="Consolas" w:eastAsia="Consolas" w:hAnsi="Consolas"/>
                <w:color w:val="111827"/>
                <w:sz w:val="18"/>
                <w:szCs w:val="18"/>
              </w:rPr>
              <w:t xml:space="preserve">  sortOrder     Int      @default(0)</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model CompanySectorSelection {</w:t>
            </w:r>
          </w:p>
          <w:p>
            <w:pPr>
              <w:spacing w:after="0" w:line="260"/>
            </w:pPr>
            <w:r>
              <w:rPr>
                <w:rFonts w:ascii="Consolas" w:cs="Consolas" w:eastAsia="Consolas" w:hAnsi="Consolas"/>
                <w:color w:val="111827"/>
                <w:sz w:val="18"/>
                <w:szCs w:val="18"/>
              </w:rPr>
              <w:t xml:space="preserve">  companyId   String   @id</w:t>
            </w:r>
          </w:p>
          <w:p>
            <w:pPr>
              <w:spacing w:after="0" w:line="260"/>
            </w:pPr>
            <w:r>
              <w:rPr>
                <w:rFonts w:ascii="Consolas" w:cs="Consolas" w:eastAsia="Consolas" w:hAnsi="Consolas"/>
                <w:color w:val="111827"/>
                <w:sz w:val="18"/>
                <w:szCs w:val="18"/>
              </w:rPr>
              <w:t xml:space="preserve">  company     Company  @relation(fields: [companyId], references: [id], onDelete: Cascade)</w:t>
            </w:r>
          </w:p>
          <w:p>
            <w:pPr>
              <w:spacing w:after="0" w:line="260"/>
            </w:pPr>
            <w:r>
              <w:rPr>
                <w:rFonts w:ascii="Consolas" w:cs="Consolas" w:eastAsia="Consolas" w:hAnsi="Consolas"/>
                <w:color w:val="111827"/>
                <w:sz w:val="18"/>
                <w:szCs w:val="18"/>
              </w:rPr>
              <w:t xml:space="preserve">  sectorKey   String</w:t>
            </w:r>
          </w:p>
          <w:p>
            <w:pPr>
              <w:spacing w:after="0" w:line="260"/>
            </w:pPr>
            <w:r>
              <w:rPr>
                <w:rFonts w:ascii="Consolas" w:cs="Consolas" w:eastAsia="Consolas" w:hAnsi="Consolas"/>
                <w:color w:val="111827"/>
                <w:sz w:val="18"/>
                <w:szCs w:val="18"/>
              </w:rPr>
              <w:t xml:space="preserve">  selectedAt  DateTime @default(now())</w:t>
            </w:r>
          </w:p>
          <w:p>
            <w:pPr>
              <w:spacing w:after="0" w:line="260"/>
            </w:pPr>
            <w:r>
              <w:rPr>
                <w:rFonts w:ascii="Consolas" w:cs="Consolas" w:eastAsia="Consolas" w:hAnsi="Consolas"/>
                <w:color w:val="111827"/>
                <w:sz w:val="18"/>
                <w:szCs w:val="18"/>
              </w:rPr>
              <w:t xml:space="preserve">}</w:t>
            </w:r>
          </w:p>
        </w:tc>
      </w:tr>
    </w:tbl>
    <w:p>
      <w:pPr>
        <w:spacing w:after="80" w:before="180"/>
      </w:pPr>
      <w:r>
        <w:rPr>
          <w:rFonts w:ascii="Calibri" w:cs="Calibri" w:eastAsia="Calibri" w:hAnsi="Calibri"/>
          <w:b/>
          <w:bCs/>
          <w:color w:val="0F766E"/>
          <w:sz w:val="22"/>
          <w:szCs w:val="22"/>
        </w:rPr>
        <w:t xml:space="preserve">Loader</w:t>
      </w:r>
    </w:p>
    <w:p>
      <w:pPr>
        <w:pStyle w:val="ListParagraph"/>
        <w:numPr>
          <w:ilvl w:val="0"/>
          <w:numId w:val="2"/>
        </w:numPr>
        <w:spacing w:after="80" w:line="280"/>
      </w:pPr>
      <w:r>
        <w:rPr>
          <w:rFonts w:ascii="Calibri" w:cs="Calibri" w:eastAsia="Calibri" w:hAnsi="Calibri"/>
          <w:color w:val="111827"/>
          <w:sz w:val="22"/>
          <w:szCs w:val="22"/>
        </w:rPr>
        <w:t xml:space="preserve">backend/src/services/sectorLoader.js — on boot, read every sectors/*/pack.json, upsert SectorPack + SectorKpi rows. Pack version bump triggers a migration.</w:t>
      </w:r>
    </w:p>
    <w:p>
      <w:pPr>
        <w:pStyle w:val="ListParagraph"/>
        <w:numPr>
          <w:ilvl w:val="0"/>
          <w:numId w:val="2"/>
        </w:numPr>
        <w:spacing w:after="80" w:line="280"/>
      </w:pPr>
      <w:r>
        <w:rPr>
          <w:rFonts w:ascii="Calibri" w:cs="Calibri" w:eastAsia="Calibri" w:hAnsi="Calibri"/>
          <w:color w:val="111827"/>
          <w:sz w:val="22"/>
          <w:szCs w:val="22"/>
        </w:rPr>
        <w:t xml:space="preserve">GET /api/sectors returns the installed list. POST /api/sectors/select sets the company's active pack.</w:t>
      </w:r>
    </w:p>
    <w:p>
      <w:pPr>
        <w:pStyle w:val="ListParagraph"/>
        <w:numPr>
          <w:ilvl w:val="0"/>
          <w:numId w:val="2"/>
        </w:numPr>
        <w:spacing w:after="80" w:line="280"/>
      </w:pPr>
      <w:r>
        <w:rPr>
          <w:rFonts w:ascii="Calibri" w:cs="Calibri" w:eastAsia="Calibri" w:hAnsi="Calibri"/>
          <w:color w:val="111827"/>
          <w:sz w:val="22"/>
          <w:szCs w:val="22"/>
        </w:rPr>
        <w:t xml:space="preserve">Standards Registry (backend/src/services/standardRegistry.js) extends to dynamically append sector-specific disclosures when a pack is active for that company.</w:t>
      </w:r>
    </w:p>
    <w:p>
      <w:pPr>
        <w:spacing w:after="80" w:before="180"/>
      </w:pPr>
      <w:r>
        <w:rPr>
          <w:rFonts w:ascii="Calibri" w:cs="Calibri" w:eastAsia="Calibri" w:hAnsi="Calibri"/>
          <w:b/>
          <w:bCs/>
          <w:color w:val="0F766E"/>
          <w:sz w:val="22"/>
          <w:szCs w:val="22"/>
        </w:rPr>
        <w:t xml:space="preserve">Frontend</w:t>
      </w:r>
    </w:p>
    <w:p>
      <w:pPr>
        <w:pStyle w:val="ListParagraph"/>
        <w:numPr>
          <w:ilvl w:val="0"/>
          <w:numId w:val="2"/>
        </w:numPr>
        <w:spacing w:after="80" w:line="280"/>
      </w:pPr>
      <w:r>
        <w:rPr>
          <w:rFonts w:ascii="Calibri" w:cs="Calibri" w:eastAsia="Calibri" w:hAnsi="Calibri"/>
          <w:color w:val="111827"/>
          <w:sz w:val="22"/>
          <w:szCs w:val="22"/>
        </w:rPr>
        <w:t xml:space="preserve">New onboarding step after company signup: "Which industry best describes you?" — 6-card picker (Electronics, Automotive, Real Estate, Financial Services, Food &amp; Beverage, Other). The card for the selected pack animates to the top and the rest grey out.</w:t>
      </w:r>
    </w:p>
    <w:p>
      <w:pPr>
        <w:pStyle w:val="ListParagraph"/>
        <w:numPr>
          <w:ilvl w:val="0"/>
          <w:numId w:val="2"/>
        </w:numPr>
        <w:spacing w:after="80" w:line="280"/>
      </w:pPr>
      <w:r>
        <w:rPr>
          <w:rFonts w:ascii="Calibri" w:cs="Calibri" w:eastAsia="Calibri" w:hAnsi="Calibri"/>
          <w:color w:val="111827"/>
          <w:sz w:val="22"/>
          <w:szCs w:val="22"/>
        </w:rPr>
        <w:t xml:space="preserve">In Settings → Company, a "Change sector" dropdown with a warning modal (existing data preserved, dashboards reflow).</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00"/>
        <w:gridCol w:w="1230"/>
        <w:gridCol w:w="1230"/>
      </w:tblGrid>
      <w:tr>
        <w:tc>
          <w:tcPr>
            <w:tcW w:type="dxa" w:w="1400"/>
            <w:tcBorders>
              <w:top w:val="single" w:color="0F766E" w:sz="4"/>
              <w:left w:val="single" w:color="0F766E" w:sz="4"/>
              <w:bottom w:val="single" w:color="0F766E" w:sz="4"/>
              <w:right w:val="single" w:color="0F766E" w:sz="4"/>
            </w:tcBorders>
            <w:shd w:fill="0F766E" w:val="clear"/>
            <w:tcMar>
              <w:top w:type="dxa" w:w="140"/>
              <w:left w:type="dxa" w:w="160"/>
              <w:bottom w:type="dxa" w:w="140"/>
              <w:right w:type="dxa" w:w="160"/>
            </w:tcMar>
          </w:tcPr>
          <w:p>
            <w:pPr>
              <w:jc w:val="center"/>
            </w:pPr>
            <w:r>
              <w:rPr>
                <w:rFonts w:ascii="Calibri" w:cs="Calibri" w:eastAsia="Calibri" w:hAnsi="Calibri"/>
                <w:b/>
                <w:bCs/>
                <w:color w:val="FFFFFF"/>
                <w:sz w:val="22"/>
                <w:szCs w:val="22"/>
              </w:rPr>
              <w:t xml:space="preserve">PCF-06</w:t>
            </w:r>
          </w:p>
        </w:tc>
        <w:tc>
          <w:tcPr>
            <w:tcW w:type="dxa" w:w="5500"/>
            <w:tcBorders>
              <w:top w:val="single" w:color="0F766E" w:sz="4"/>
              <w:left w:val="single" w:color="0F766E" w:sz="4"/>
              <w:bottom w:val="single" w:color="0F766E" w:sz="4"/>
              <w:right w:val="single" w:color="0F766E" w:sz="4"/>
            </w:tcBorders>
            <w:shd w:fill="CCFBF1" w:val="clear"/>
            <w:tcMar>
              <w:top w:type="dxa" w:w="140"/>
              <w:left w:type="dxa" w:w="160"/>
              <w:bottom w:type="dxa" w:w="140"/>
              <w:right w:type="dxa" w:w="160"/>
            </w:tcMar>
          </w:tcPr>
          <w:p>
            <w:r>
              <w:rPr>
                <w:rFonts w:ascii="Calibri" w:cs="Calibri" w:eastAsia="Calibri" w:hAnsi="Calibri"/>
                <w:b/>
                <w:bCs/>
                <w:color w:val="111827"/>
                <w:sz w:val="22"/>
                <w:szCs w:val="22"/>
              </w:rPr>
              <w:t xml:space="preserve">Electronics sector pack content</w:t>
            </w:r>
          </w:p>
        </w:tc>
        <w:tc>
          <w:tcPr>
            <w:tcW w:type="dxa" w:w="1230"/>
            <w:tcBorders>
              <w:top w:val="single" w:color="0F766E" w:sz="4"/>
              <w:left w:val="single" w:color="0F766E" w:sz="4"/>
              <w:bottom w:val="single" w:color="0F766E" w:sz="4"/>
              <w:right w:val="single" w:color="0F766E" w:sz="4"/>
            </w:tcBorders>
            <w:shd w:fill="CCFBF1" w:val="clear"/>
            <w:tcMar>
              <w:top w:type="dxa" w:w="140"/>
              <w:left w:type="dxa" w:w="120"/>
              <w:bottom w:type="dxa" w:w="140"/>
              <w:right w:type="dxa" w:w="120"/>
            </w:tcMar>
          </w:tcPr>
          <w:p>
            <w:pPr>
              <w:jc w:val="center"/>
            </w:pPr>
            <w:r>
              <w:rPr>
                <w:rFonts w:ascii="Calibri" w:cs="Calibri" w:eastAsia="Calibri" w:hAnsi="Calibri"/>
                <w:b/>
                <w:bCs/>
                <w:color w:val="111827"/>
                <w:sz w:val="20"/>
                <w:szCs w:val="20"/>
              </w:rPr>
              <w:t xml:space="preserve">8 pts</w:t>
            </w:r>
          </w:p>
        </w:tc>
        <w:tc>
          <w:tcPr>
            <w:tcW w:type="dxa" w:w="1230"/>
            <w:tcBorders>
              <w:top w:val="single" w:color="0F766E" w:sz="4"/>
              <w:left w:val="single" w:color="0F766E" w:sz="4"/>
              <w:bottom w:val="single" w:color="0F766E" w:sz="4"/>
              <w:right w:val="single" w:color="0F766E" w:sz="4"/>
            </w:tcBorders>
            <w:shd w:fill="CCFBF1" w:val="clear"/>
            <w:tcMar>
              <w:top w:type="dxa" w:w="140"/>
              <w:left w:type="dxa" w:w="120"/>
              <w:bottom w:type="dxa" w:w="140"/>
              <w:right w:type="dxa" w:w="120"/>
            </w:tcMar>
          </w:tcPr>
          <w:p>
            <w:pPr>
              <w:jc w:val="center"/>
            </w:pPr>
            <w:r>
              <w:rPr>
                <w:rFonts w:ascii="Calibri" w:cs="Calibri" w:eastAsia="Calibri" w:hAnsi="Calibri"/>
                <w:b/>
                <w:bCs/>
                <w:color w:val="111827"/>
                <w:sz w:val="20"/>
                <w:szCs w:val="20"/>
              </w:rPr>
              <w:t xml:space="preserve">P0</w:t>
            </w:r>
          </w:p>
        </w:tc>
      </w:tr>
    </w:tbl>
    <w:p>
      <w:pPr>
        <w:spacing w:after="100"/>
      </w:pPr>
      <w:r>
        <w:t xml:space="preserve"/>
      </w:r>
    </w:p>
    <w:p>
      <w:pPr>
        <w:spacing w:after="80" w:before="180"/>
      </w:pPr>
      <w:r>
        <w:rPr>
          <w:rFonts w:ascii="Calibri" w:cs="Calibri" w:eastAsia="Calibri" w:hAnsi="Calibri"/>
          <w:b/>
          <w:bCs/>
          <w:color w:val="0F766E"/>
          <w:sz w:val="22"/>
          <w:szCs w:val="22"/>
        </w:rPr>
        <w:t xml:space="preserve">Scope</w:t>
      </w:r>
    </w:p>
    <w:p>
      <w:pPr>
        <w:spacing w:after="120" w:line="300"/>
      </w:pPr>
      <w:r>
        <w:rPr>
          <w:rFonts w:ascii="Calibri" w:cs="Calibri" w:eastAsia="Calibri" w:hAnsi="Calibri"/>
          <w:color w:val="111827"/>
          <w:sz w:val="22"/>
          <w:szCs w:val="22"/>
        </w:rPr>
        <w:t xml:space="preserve">Actual content for the Electronics pack — this is the deliverable Unigen sees. Requires a sustainability SME reviewer sign-off before ship.</w:t>
      </w:r>
    </w:p>
    <w:p>
      <w:pPr>
        <w:spacing w:after="80" w:before="180"/>
      </w:pPr>
      <w:r>
        <w:rPr>
          <w:rFonts w:ascii="Calibri" w:cs="Calibri" w:eastAsia="Calibri" w:hAnsi="Calibri"/>
          <w:b/>
          <w:bCs/>
          <w:color w:val="0F766E"/>
          <w:sz w:val="22"/>
          <w:szCs w:val="22"/>
        </w:rPr>
        <w:t xml:space="preserve">Content bundle (backend/src/sectors/electronics/)</w:t>
      </w:r>
    </w:p>
    <w:p>
      <w:pPr>
        <w:pStyle w:val="ListParagraph"/>
        <w:numPr>
          <w:ilvl w:val="0"/>
          <w:numId w:val="2"/>
        </w:numPr>
        <w:spacing w:after="80" w:line="280"/>
      </w:pPr>
      <w:r>
        <w:rPr>
          <w:rFonts w:ascii="Calibri" w:cs="Calibri" w:eastAsia="Calibri" w:hAnsi="Calibri"/>
          <w:color w:val="111827"/>
          <w:sz w:val="22"/>
          <w:szCs w:val="22"/>
        </w:rPr>
        <w:t xml:space="preserve">pack.json: metadata, version, frameworks supported (SASB TC-HW, TC-SC; ESRS E1/E5; RBA Code of Conduct; Conflict Minerals; RoHS/REACH).</w:t>
      </w:r>
    </w:p>
    <w:p>
      <w:pPr>
        <w:pStyle w:val="ListParagraph"/>
        <w:numPr>
          <w:ilvl w:val="0"/>
          <w:numId w:val="2"/>
        </w:numPr>
        <w:spacing w:after="80" w:line="280"/>
      </w:pPr>
      <w:r>
        <w:rPr>
          <w:rFonts w:ascii="Calibri" w:cs="Calibri" w:eastAsia="Calibri" w:hAnsi="Calibri"/>
          <w:color w:val="111827"/>
          <w:sz w:val="22"/>
          <w:szCs w:val="22"/>
        </w:rPr>
        <w:t xml:space="preserve">kpis.json: ~35 KPIs including: energy use per wafer (TC-SC-130a.1), water withdrawn in regions of high stress (TC-SC-140a.1), hazardous waste per unit produced, share of suppliers audited against RBA, % recycled content per product line, conflict-minerals smelter coverage %.</w:t>
      </w:r>
    </w:p>
    <w:p>
      <w:pPr>
        <w:pStyle w:val="ListParagraph"/>
        <w:numPr>
          <w:ilvl w:val="0"/>
          <w:numId w:val="2"/>
        </w:numPr>
        <w:spacing w:after="80" w:line="280"/>
      </w:pPr>
      <w:r>
        <w:rPr>
          <w:rFonts w:ascii="Calibri" w:cs="Calibri" w:eastAsia="Calibri" w:hAnsi="Calibri"/>
          <w:color w:val="111827"/>
          <w:sz w:val="22"/>
          <w:szCs w:val="22"/>
        </w:rPr>
        <w:t xml:space="preserve">materiality.json: 40 starter IROs typical for EMS/semiconductor companies — negative impact of PFAS use in fabs, transition opportunity from circular electronics, supply-chain labor risk in Southeast Asia, customer-driven decarb requirements from OEMs, etc.</w:t>
      </w:r>
    </w:p>
    <w:p>
      <w:pPr>
        <w:pStyle w:val="ListParagraph"/>
        <w:numPr>
          <w:ilvl w:val="0"/>
          <w:numId w:val="2"/>
        </w:numPr>
        <w:spacing w:after="80" w:line="280"/>
      </w:pPr>
      <w:r>
        <w:rPr>
          <w:rFonts w:ascii="Calibri" w:cs="Calibri" w:eastAsia="Calibri" w:hAnsi="Calibri"/>
          <w:color w:val="111827"/>
          <w:sz w:val="22"/>
          <w:szCs w:val="22"/>
        </w:rPr>
        <w:t xml:space="preserve">factors.json: 80 electronics-specific emission factors (DRAM cells, NAND flash, PCBs by thickness &amp; layer count, aluminum heatsinks by alloy, common packaging materials).</w:t>
      </w:r>
    </w:p>
    <w:p>
      <w:pPr>
        <w:pStyle w:val="ListParagraph"/>
        <w:numPr>
          <w:ilvl w:val="0"/>
          <w:numId w:val="2"/>
        </w:numPr>
        <w:spacing w:after="80" w:line="280"/>
      </w:pPr>
      <w:r>
        <w:rPr>
          <w:rFonts w:ascii="Calibri" w:cs="Calibri" w:eastAsia="Calibri" w:hAnsi="Calibri"/>
          <w:color w:val="111827"/>
          <w:sz w:val="22"/>
          <w:szCs w:val="22"/>
        </w:rPr>
        <w:t xml:space="preserve">templates/report-narrative.md: sector-specific narrative scaffolds for the report generator (how to describe a semiconductor company's climate risk, RBA approach, etc.).</w:t>
      </w:r>
    </w:p>
    <w:p>
      <w:pPr>
        <w:spacing w:after="80" w:before="180"/>
      </w:pPr>
      <w:r>
        <w:rPr>
          <w:rFonts w:ascii="Calibri" w:cs="Calibri" w:eastAsia="Calibri" w:hAnsi="Calibri"/>
          <w:b/>
          <w:bCs/>
          <w:color w:val="0F766E"/>
          <w:sz w:val="22"/>
          <w:szCs w:val="22"/>
        </w:rPr>
        <w:t xml:space="preserve">Frontend dashboard additions</w:t>
      </w:r>
    </w:p>
    <w:p>
      <w:pPr>
        <w:pStyle w:val="ListParagraph"/>
        <w:numPr>
          <w:ilvl w:val="0"/>
          <w:numId w:val="2"/>
        </w:numPr>
        <w:spacing w:after="80" w:line="280"/>
      </w:pPr>
      <w:r>
        <w:rPr>
          <w:rFonts w:ascii="Calibri" w:cs="Calibri" w:eastAsia="Calibri" w:hAnsi="Calibri"/>
          <w:color w:val="111827"/>
          <w:sz w:val="22"/>
          <w:szCs w:val="22"/>
        </w:rPr>
        <w:t xml:space="preserve">When an Electronics-sector company opens /analytics, three extra KPI tiles appear: "Per-SKU PCF coverage", "RBA-audited supplier %", "Conflict-minerals smelter list completeness".</w:t>
      </w:r>
    </w:p>
    <w:p>
      <w:pPr>
        <w:pStyle w:val="ListParagraph"/>
        <w:numPr>
          <w:ilvl w:val="0"/>
          <w:numId w:val="2"/>
        </w:numPr>
        <w:spacing w:after="80" w:line="280"/>
      </w:pPr>
      <w:r>
        <w:rPr>
          <w:rFonts w:ascii="Calibri" w:cs="Calibri" w:eastAsia="Calibri" w:hAnsi="Calibri"/>
          <w:color w:val="111827"/>
          <w:sz w:val="22"/>
          <w:szCs w:val="22"/>
        </w:rPr>
        <w:t xml:space="preserve">New dashboard page /sector/electronics with: fab-level water stress map (D3 choropleth using WRI Aqueduct tier), PCF distribution histogram across the product catalog, per-product-line emissions intensity.</w:t>
      </w:r>
    </w:p>
    <w:p>
      <w:pPr>
        <w:pStyle w:val="ListParagraph"/>
        <w:numPr>
          <w:ilvl w:val="0"/>
          <w:numId w:val="2"/>
        </w:numPr>
        <w:spacing w:after="80" w:line="280"/>
      </w:pPr>
      <w:r>
        <w:rPr>
          <w:rFonts w:ascii="Calibri" w:cs="Calibri" w:eastAsia="Calibri" w:hAnsi="Calibri"/>
          <w:color w:val="111827"/>
          <w:sz w:val="22"/>
          <w:szCs w:val="22"/>
        </w:rPr>
        <w:t xml:space="preserve">Homepage tiles dynamically show sector-relevant modules above generic ones.</w:t>
      </w:r>
    </w:p>
    <w:p>
      <w:pPr>
        <w:spacing w:after="80" w:before="180"/>
      </w:pPr>
      <w:r>
        <w:rPr>
          <w:rFonts w:ascii="Calibri" w:cs="Calibri" w:eastAsia="Calibri" w:hAnsi="Calibri"/>
          <w:b/>
          <w:bCs/>
          <w:color w:val="0F766E"/>
          <w:sz w:val="22"/>
          <w:szCs w:val="22"/>
        </w:rPr>
        <w:t xml:space="preserve">Acceptance</w:t>
      </w:r>
    </w:p>
    <w:p>
      <w:pPr>
        <w:pStyle w:val="ListParagraph"/>
        <w:numPr>
          <w:ilvl w:val="0"/>
          <w:numId w:val="2"/>
        </w:numPr>
        <w:spacing w:after="80" w:line="280"/>
      </w:pPr>
      <w:r>
        <w:rPr>
          <w:rFonts w:ascii="Calibri" w:cs="Calibri" w:eastAsia="Calibri" w:hAnsi="Calibri"/>
          <w:color w:val="111827"/>
          <w:sz w:val="22"/>
          <w:szCs w:val="22"/>
        </w:rPr>
        <w:t xml:space="preserve">Sustainability SME reviewer signs off the content (external consultant acceptable for v1).</w:t>
      </w:r>
    </w:p>
    <w:p>
      <w:pPr>
        <w:pStyle w:val="ListParagraph"/>
        <w:numPr>
          <w:ilvl w:val="0"/>
          <w:numId w:val="2"/>
        </w:numPr>
        <w:spacing w:after="80" w:line="280"/>
      </w:pPr>
      <w:r>
        <w:rPr>
          <w:rFonts w:ascii="Calibri" w:cs="Calibri" w:eastAsia="Calibri" w:hAnsi="Calibri"/>
          <w:color w:val="111827"/>
          <w:sz w:val="22"/>
          <w:szCs w:val="22"/>
        </w:rPr>
        <w:t xml:space="preserve">Unigen's existing uploaded data flows into all new dashboards without re-upload.</w:t>
      </w:r>
    </w:p>
    <w:p>
      <w:pPr>
        <w:pStyle w:val="ListParagraph"/>
        <w:numPr>
          <w:ilvl w:val="0"/>
          <w:numId w:val="2"/>
        </w:numPr>
        <w:spacing w:after="80" w:line="280"/>
      </w:pPr>
      <w:r>
        <w:rPr>
          <w:rFonts w:ascii="Calibri" w:cs="Calibri" w:eastAsia="Calibri" w:hAnsi="Calibri"/>
          <w:color w:val="111827"/>
          <w:sz w:val="22"/>
          <w:szCs w:val="22"/>
        </w:rPr>
        <w:t xml:space="preserve">Report generator produces a valid SASB TC-HW section using the template.</w:t>
      </w:r>
    </w:p>
    <w:p>
      <w:pPr>
        <w:spacing w:after="100"/>
      </w:pPr>
      <w:r>
        <w:t xml:space="preserve"/>
      </w:r>
    </w:p>
    <w:p>
      <w:pPr>
        <w:pStyle w:val="Heading2"/>
        <w:spacing w:after="140" w:before="320"/>
      </w:pPr>
      <w:r>
        <w:rPr>
          <w:rFonts w:ascii="Calibri" w:cs="Calibri" w:eastAsia="Calibri" w:hAnsi="Calibri"/>
          <w:b/>
          <w:bCs/>
          <w:color w:val="111827"/>
          <w:sz w:val="30"/>
          <w:szCs w:val="30"/>
        </w:rPr>
        <w:t xml:space="preserve">1.5 PCF Sharing &amp;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00"/>
        <w:gridCol w:w="1230"/>
        <w:gridCol w:w="1230"/>
      </w:tblGrid>
      <w:tr>
        <w:tc>
          <w:tcPr>
            <w:tcW w:type="dxa" w:w="1400"/>
            <w:tcBorders>
              <w:top w:val="single" w:color="0F766E" w:sz="4"/>
              <w:left w:val="single" w:color="0F766E" w:sz="4"/>
              <w:bottom w:val="single" w:color="0F766E" w:sz="4"/>
              <w:right w:val="single" w:color="0F766E" w:sz="4"/>
            </w:tcBorders>
            <w:shd w:fill="0F766E" w:val="clear"/>
            <w:tcMar>
              <w:top w:type="dxa" w:w="140"/>
              <w:left w:type="dxa" w:w="160"/>
              <w:bottom w:type="dxa" w:w="140"/>
              <w:right w:type="dxa" w:w="160"/>
            </w:tcMar>
          </w:tcPr>
          <w:p>
            <w:pPr>
              <w:jc w:val="center"/>
            </w:pPr>
            <w:r>
              <w:rPr>
                <w:rFonts w:ascii="Calibri" w:cs="Calibri" w:eastAsia="Calibri" w:hAnsi="Calibri"/>
                <w:b/>
                <w:bCs/>
                <w:color w:val="FFFFFF"/>
                <w:sz w:val="22"/>
                <w:szCs w:val="22"/>
              </w:rPr>
              <w:t xml:space="preserve">PCF-07</w:t>
            </w:r>
          </w:p>
        </w:tc>
        <w:tc>
          <w:tcPr>
            <w:tcW w:type="dxa" w:w="5500"/>
            <w:tcBorders>
              <w:top w:val="single" w:color="0F766E" w:sz="4"/>
              <w:left w:val="single" w:color="0F766E" w:sz="4"/>
              <w:bottom w:val="single" w:color="0F766E" w:sz="4"/>
              <w:right w:val="single" w:color="0F766E" w:sz="4"/>
            </w:tcBorders>
            <w:shd w:fill="CCFBF1" w:val="clear"/>
            <w:tcMar>
              <w:top w:type="dxa" w:w="140"/>
              <w:left w:type="dxa" w:w="160"/>
              <w:bottom w:type="dxa" w:w="140"/>
              <w:right w:type="dxa" w:w="160"/>
            </w:tcMar>
          </w:tcPr>
          <w:p>
            <w:r>
              <w:rPr>
                <w:rFonts w:ascii="Calibri" w:cs="Calibri" w:eastAsia="Calibri" w:hAnsi="Calibri"/>
                <w:b/>
                <w:bCs/>
                <w:color w:val="111827"/>
                <w:sz w:val="22"/>
                <w:szCs w:val="22"/>
              </w:rPr>
              <w:t xml:space="preserve">Per-SKU PCF Product Passport (PDF + JSON)</w:t>
            </w:r>
          </w:p>
        </w:tc>
        <w:tc>
          <w:tcPr>
            <w:tcW w:type="dxa" w:w="1230"/>
            <w:tcBorders>
              <w:top w:val="single" w:color="0F766E" w:sz="4"/>
              <w:left w:val="single" w:color="0F766E" w:sz="4"/>
              <w:bottom w:val="single" w:color="0F766E" w:sz="4"/>
              <w:right w:val="single" w:color="0F766E" w:sz="4"/>
            </w:tcBorders>
            <w:shd w:fill="CCFBF1" w:val="clear"/>
            <w:tcMar>
              <w:top w:type="dxa" w:w="140"/>
              <w:left w:type="dxa" w:w="120"/>
              <w:bottom w:type="dxa" w:w="140"/>
              <w:right w:type="dxa" w:w="120"/>
            </w:tcMar>
          </w:tcPr>
          <w:p>
            <w:pPr>
              <w:jc w:val="center"/>
            </w:pPr>
            <w:r>
              <w:rPr>
                <w:rFonts w:ascii="Calibri" w:cs="Calibri" w:eastAsia="Calibri" w:hAnsi="Calibri"/>
                <w:b/>
                <w:bCs/>
                <w:color w:val="111827"/>
                <w:sz w:val="20"/>
                <w:szCs w:val="20"/>
              </w:rPr>
              <w:t xml:space="preserve">5 pts</w:t>
            </w:r>
          </w:p>
        </w:tc>
        <w:tc>
          <w:tcPr>
            <w:tcW w:type="dxa" w:w="1230"/>
            <w:tcBorders>
              <w:top w:val="single" w:color="0F766E" w:sz="4"/>
              <w:left w:val="single" w:color="0F766E" w:sz="4"/>
              <w:bottom w:val="single" w:color="0F766E" w:sz="4"/>
              <w:right w:val="single" w:color="0F766E" w:sz="4"/>
            </w:tcBorders>
            <w:shd w:fill="CCFBF1" w:val="clear"/>
            <w:tcMar>
              <w:top w:type="dxa" w:w="140"/>
              <w:left w:type="dxa" w:w="120"/>
              <w:bottom w:type="dxa" w:w="140"/>
              <w:right w:type="dxa" w:w="120"/>
            </w:tcMar>
          </w:tcPr>
          <w:p>
            <w:pPr>
              <w:jc w:val="center"/>
            </w:pPr>
            <w:r>
              <w:rPr>
                <w:rFonts w:ascii="Calibri" w:cs="Calibri" w:eastAsia="Calibri" w:hAnsi="Calibri"/>
                <w:b/>
                <w:bCs/>
                <w:color w:val="111827"/>
                <w:sz w:val="20"/>
                <w:szCs w:val="20"/>
              </w:rPr>
              <w:t xml:space="preserve">P1</w:t>
            </w:r>
          </w:p>
        </w:tc>
      </w:tr>
    </w:tbl>
    <w:p>
      <w:pPr>
        <w:spacing w:after="100"/>
      </w:pPr>
      <w:r>
        <w:t xml:space="preserve"/>
      </w:r>
    </w:p>
    <w:p>
      <w:pPr>
        <w:spacing w:after="80" w:before="180"/>
      </w:pPr>
      <w:r>
        <w:rPr>
          <w:rFonts w:ascii="Calibri" w:cs="Calibri" w:eastAsia="Calibri" w:hAnsi="Calibri"/>
          <w:b/>
          <w:bCs/>
          <w:color w:val="0F766E"/>
          <w:sz w:val="22"/>
          <w:szCs w:val="22"/>
        </w:rPr>
        <w:t xml:space="preserve">Scope</w:t>
      </w:r>
    </w:p>
    <w:p>
      <w:pPr>
        <w:spacing w:after="120" w:line="300"/>
      </w:pPr>
      <w:r>
        <w:rPr>
          <w:rFonts w:ascii="Calibri" w:cs="Calibri" w:eastAsia="Calibri" w:hAnsi="Calibri"/>
          <w:color w:val="111827"/>
          <w:sz w:val="22"/>
          <w:szCs w:val="22"/>
        </w:rPr>
        <w:t xml:space="preserve">A one-click export that produces two artefacts for a given PCF calculation: (1) a human-readable 2-page PDF "Product Carbon Footprint Statement" branded with the company logo; (2) a machine-readable JSON in the WBCSD PACT Pathfinder v2 schema (the emerging industry standard, already adopted by BASF, Michelin, and the Catena-X automotive consortium).</w:t>
      </w:r>
    </w:p>
    <w:p>
      <w:pPr>
        <w:spacing w:after="80" w:before="180"/>
      </w:pPr>
      <w:r>
        <w:rPr>
          <w:rFonts w:ascii="Calibri" w:cs="Calibri" w:eastAsia="Calibri" w:hAnsi="Calibri"/>
          <w:b/>
          <w:bCs/>
          <w:color w:val="0F766E"/>
          <w:sz w:val="22"/>
          <w:szCs w:val="22"/>
        </w:rPr>
        <w:t xml:space="preserve">Backend</w:t>
      </w:r>
    </w:p>
    <w:p>
      <w:pPr>
        <w:pStyle w:val="ListParagraph"/>
        <w:numPr>
          <w:ilvl w:val="0"/>
          <w:numId w:val="2"/>
        </w:numPr>
        <w:spacing w:after="80" w:line="280"/>
      </w:pPr>
      <w:r>
        <w:rPr>
          <w:rFonts w:ascii="Calibri" w:cs="Calibri" w:eastAsia="Calibri" w:hAnsi="Calibri"/>
          <w:color w:val="111827"/>
          <w:sz w:val="22"/>
          <w:szCs w:val="22"/>
        </w:rPr>
        <w:t xml:space="preserve">POST /api/pcf/calculations/:id/export?format=pdf|json|pact.</w:t>
      </w:r>
    </w:p>
    <w:p>
      <w:pPr>
        <w:pStyle w:val="ListParagraph"/>
        <w:numPr>
          <w:ilvl w:val="0"/>
          <w:numId w:val="2"/>
        </w:numPr>
        <w:spacing w:after="80" w:line="280"/>
      </w:pPr>
      <w:r>
        <w:rPr>
          <w:rFonts w:ascii="Calibri" w:cs="Calibri" w:eastAsia="Calibri" w:hAnsi="Calibri"/>
          <w:color w:val="111827"/>
          <w:sz w:val="22"/>
          <w:szCs w:val="22"/>
        </w:rPr>
        <w:t xml:space="preserve">Reuse pdfkit from the existing Reports module; the sector pack templates drive wording.</w:t>
      </w:r>
    </w:p>
    <w:p>
      <w:pPr>
        <w:pStyle w:val="ListParagraph"/>
        <w:numPr>
          <w:ilvl w:val="0"/>
          <w:numId w:val="2"/>
        </w:numPr>
        <w:spacing w:after="80" w:line="280"/>
      </w:pPr>
      <w:r>
        <w:rPr>
          <w:rFonts w:ascii="Calibri" w:cs="Calibri" w:eastAsia="Calibri" w:hAnsi="Calibri"/>
          <w:color w:val="111827"/>
          <w:sz w:val="22"/>
          <w:szCs w:val="22"/>
        </w:rPr>
        <w:t xml:space="preserve">PACT JSON shape: pcf.declaredUnit, pcf.pcfExcludingBiogenic, pcf.pcfIncludingBiogenic, pcf.fossilGhgEmissions, assurance, productOrSectorSpecificRules — match the public schema at wbcsd.org/Pathfinder.</w:t>
      </w:r>
    </w:p>
    <w:p>
      <w:pPr>
        <w:spacing w:after="80" w:before="180"/>
      </w:pPr>
      <w:r>
        <w:rPr>
          <w:rFonts w:ascii="Calibri" w:cs="Calibri" w:eastAsia="Calibri" w:hAnsi="Calibri"/>
          <w:b/>
          <w:bCs/>
          <w:color w:val="0F766E"/>
          <w:sz w:val="22"/>
          <w:szCs w:val="22"/>
        </w:rPr>
        <w:t xml:space="preserve">Frontend</w:t>
      </w:r>
    </w:p>
    <w:p>
      <w:pPr>
        <w:pStyle w:val="ListParagraph"/>
        <w:numPr>
          <w:ilvl w:val="0"/>
          <w:numId w:val="2"/>
        </w:numPr>
        <w:spacing w:after="80" w:line="280"/>
      </w:pPr>
      <w:r>
        <w:rPr>
          <w:rFonts w:ascii="Calibri" w:cs="Calibri" w:eastAsia="Calibri" w:hAnsi="Calibri"/>
          <w:color w:val="111827"/>
          <w:sz w:val="22"/>
          <w:szCs w:val="22"/>
        </w:rPr>
        <w:t xml:space="preserve">"Share PCF" button on the ProductDetail page opens a small modal: format picker, scope (public link / email / download), optional expiry date.</w:t>
      </w:r>
    </w:p>
    <w:p>
      <w:pPr>
        <w:pStyle w:val="ListParagraph"/>
        <w:numPr>
          <w:ilvl w:val="0"/>
          <w:numId w:val="2"/>
        </w:numPr>
        <w:spacing w:after="80" w:line="280"/>
      </w:pPr>
      <w:r>
        <w:rPr>
          <w:rFonts w:ascii="Calibri" w:cs="Calibri" w:eastAsia="Calibri" w:hAnsi="Calibri"/>
          <w:color w:val="111827"/>
          <w:sz w:val="22"/>
          <w:szCs w:val="22"/>
        </w:rPr>
        <w:t xml:space="preserve">Public link route /pcf/public/:token renders a minimal, unauthenticated page (useful for Unigen to send to OEM buyers without requiring them to have accounts).</w:t>
      </w:r>
    </w:p>
    <w:p>
      <w:pPr>
        <w:spacing w:after="100"/>
      </w:pPr>
      <w:r>
        <w:t xml:space="preserve"/>
      </w:r>
    </w:p>
    <w:p>
      <w:pPr>
        <w:pStyle w:val="Heading2"/>
        <w:spacing w:after="140" w:before="320"/>
      </w:pPr>
      <w:r>
        <w:rPr>
          <w:rFonts w:ascii="Calibri" w:cs="Calibri" w:eastAsia="Calibri" w:hAnsi="Calibri"/>
          <w:b/>
          <w:bCs/>
          <w:color w:val="111827"/>
          <w:sz w:val="30"/>
          <w:szCs w:val="30"/>
        </w:rPr>
        <w:t xml:space="preserve">1.6 Benchmark Data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00"/>
        <w:gridCol w:w="1230"/>
        <w:gridCol w:w="1230"/>
      </w:tblGrid>
      <w:tr>
        <w:tc>
          <w:tcPr>
            <w:tcW w:type="dxa" w:w="1400"/>
            <w:tcBorders>
              <w:top w:val="single" w:color="0F766E" w:sz="4"/>
              <w:left w:val="single" w:color="0F766E" w:sz="4"/>
              <w:bottom w:val="single" w:color="0F766E" w:sz="4"/>
              <w:right w:val="single" w:color="0F766E" w:sz="4"/>
            </w:tcBorders>
            <w:shd w:fill="0F766E" w:val="clear"/>
            <w:tcMar>
              <w:top w:type="dxa" w:w="140"/>
              <w:left w:type="dxa" w:w="160"/>
              <w:bottom w:type="dxa" w:w="140"/>
              <w:right w:type="dxa" w:w="160"/>
            </w:tcMar>
          </w:tcPr>
          <w:p>
            <w:pPr>
              <w:jc w:val="center"/>
            </w:pPr>
            <w:r>
              <w:rPr>
                <w:rFonts w:ascii="Calibri" w:cs="Calibri" w:eastAsia="Calibri" w:hAnsi="Calibri"/>
                <w:b/>
                <w:bCs/>
                <w:color w:val="FFFFFF"/>
                <w:sz w:val="22"/>
                <w:szCs w:val="22"/>
              </w:rPr>
              <w:t xml:space="preserve">PCF-08</w:t>
            </w:r>
          </w:p>
        </w:tc>
        <w:tc>
          <w:tcPr>
            <w:tcW w:type="dxa" w:w="5500"/>
            <w:tcBorders>
              <w:top w:val="single" w:color="0F766E" w:sz="4"/>
              <w:left w:val="single" w:color="0F766E" w:sz="4"/>
              <w:bottom w:val="single" w:color="0F766E" w:sz="4"/>
              <w:right w:val="single" w:color="0F766E" w:sz="4"/>
            </w:tcBorders>
            <w:shd w:fill="CCFBF1" w:val="clear"/>
            <w:tcMar>
              <w:top w:type="dxa" w:w="140"/>
              <w:left w:type="dxa" w:w="160"/>
              <w:bottom w:type="dxa" w:w="140"/>
              <w:right w:type="dxa" w:w="160"/>
            </w:tcMar>
          </w:tcPr>
          <w:p>
            <w:r>
              <w:rPr>
                <w:rFonts w:ascii="Calibri" w:cs="Calibri" w:eastAsia="Calibri" w:hAnsi="Calibri"/>
                <w:b/>
                <w:bCs/>
                <w:color w:val="111827"/>
                <w:sz w:val="22"/>
                <w:szCs w:val="22"/>
              </w:rPr>
              <w:t xml:space="preserve">Anonymous benchmark cohort infrastructure</w:t>
            </w:r>
          </w:p>
        </w:tc>
        <w:tc>
          <w:tcPr>
            <w:tcW w:type="dxa" w:w="1230"/>
            <w:tcBorders>
              <w:top w:val="single" w:color="0F766E" w:sz="4"/>
              <w:left w:val="single" w:color="0F766E" w:sz="4"/>
              <w:bottom w:val="single" w:color="0F766E" w:sz="4"/>
              <w:right w:val="single" w:color="0F766E" w:sz="4"/>
            </w:tcBorders>
            <w:shd w:fill="CCFBF1" w:val="clear"/>
            <w:tcMar>
              <w:top w:type="dxa" w:w="140"/>
              <w:left w:type="dxa" w:w="120"/>
              <w:bottom w:type="dxa" w:w="140"/>
              <w:right w:type="dxa" w:w="120"/>
            </w:tcMar>
          </w:tcPr>
          <w:p>
            <w:pPr>
              <w:jc w:val="center"/>
            </w:pPr>
            <w:r>
              <w:rPr>
                <w:rFonts w:ascii="Calibri" w:cs="Calibri" w:eastAsia="Calibri" w:hAnsi="Calibri"/>
                <w:b/>
                <w:bCs/>
                <w:color w:val="111827"/>
                <w:sz w:val="20"/>
                <w:szCs w:val="20"/>
              </w:rPr>
              <w:t xml:space="preserve">5 pts</w:t>
            </w:r>
          </w:p>
        </w:tc>
        <w:tc>
          <w:tcPr>
            <w:tcW w:type="dxa" w:w="1230"/>
            <w:tcBorders>
              <w:top w:val="single" w:color="0F766E" w:sz="4"/>
              <w:left w:val="single" w:color="0F766E" w:sz="4"/>
              <w:bottom w:val="single" w:color="0F766E" w:sz="4"/>
              <w:right w:val="single" w:color="0F766E" w:sz="4"/>
            </w:tcBorders>
            <w:shd w:fill="CCFBF1" w:val="clear"/>
            <w:tcMar>
              <w:top w:type="dxa" w:w="140"/>
              <w:left w:type="dxa" w:w="120"/>
              <w:bottom w:type="dxa" w:w="140"/>
              <w:right w:type="dxa" w:w="120"/>
            </w:tcMar>
          </w:tcPr>
          <w:p>
            <w:pPr>
              <w:jc w:val="center"/>
            </w:pPr>
            <w:r>
              <w:rPr>
                <w:rFonts w:ascii="Calibri" w:cs="Calibri" w:eastAsia="Calibri" w:hAnsi="Calibri"/>
                <w:b/>
                <w:bCs/>
                <w:color w:val="111827"/>
                <w:sz w:val="20"/>
                <w:szCs w:val="20"/>
              </w:rPr>
              <w:t xml:space="preserve">P2</w:t>
            </w:r>
          </w:p>
        </w:tc>
      </w:tr>
    </w:tbl>
    <w:p>
      <w:pPr>
        <w:spacing w:after="100"/>
      </w:pPr>
      <w:r>
        <w:t xml:space="preserve"/>
      </w:r>
    </w:p>
    <w:p>
      <w:pPr>
        <w:spacing w:after="80" w:before="180"/>
      </w:pPr>
      <w:r>
        <w:rPr>
          <w:rFonts w:ascii="Calibri" w:cs="Calibri" w:eastAsia="Calibri" w:hAnsi="Calibri"/>
          <w:b/>
          <w:bCs/>
          <w:color w:val="0F766E"/>
          <w:sz w:val="22"/>
          <w:szCs w:val="22"/>
        </w:rPr>
        <w:t xml:space="preserve">Scope</w:t>
      </w:r>
    </w:p>
    <w:p>
      <w:pPr>
        <w:spacing w:after="120" w:line="300"/>
      </w:pPr>
      <w:r>
        <w:rPr>
          <w:rFonts w:ascii="Calibri" w:cs="Calibri" w:eastAsia="Calibri" w:hAnsi="Calibri"/>
          <w:color w:val="111827"/>
          <w:sz w:val="22"/>
          <w:szCs w:val="22"/>
        </w:rPr>
        <w:t xml:space="preserve">The groundwork for the future "you're in the 62nd percentile" feature. Ship the privacy infrastructure in Q2-Q3; activate the UI once ≥10 companies have contributed data to any cohort.</w:t>
      </w:r>
    </w:p>
    <w:p>
      <w:pPr>
        <w:spacing w:after="80" w:before="180"/>
      </w:pPr>
      <w:r>
        <w:rPr>
          <w:rFonts w:ascii="Calibri" w:cs="Calibri" w:eastAsia="Calibri" w:hAnsi="Calibri"/>
          <w:b/>
          <w:bCs/>
          <w:color w:val="0F766E"/>
          <w:sz w:val="22"/>
          <w:szCs w:val="22"/>
        </w:rPr>
        <w:t xml:space="preserve">Backend</w:t>
      </w:r>
    </w:p>
    <w:p>
      <w:pPr>
        <w:pStyle w:val="ListParagraph"/>
        <w:numPr>
          <w:ilvl w:val="0"/>
          <w:numId w:val="2"/>
        </w:numPr>
        <w:spacing w:after="80" w:line="280"/>
      </w:pPr>
      <w:r>
        <w:rPr>
          <w:rFonts w:ascii="Calibri" w:cs="Calibri" w:eastAsia="Calibri" w:hAnsi="Calibri"/>
          <w:color w:val="111827"/>
          <w:sz w:val="22"/>
          <w:szCs w:val="22"/>
        </w:rPr>
        <w:t xml:space="preserve">New table BenchmarkCohort(sectorKey, kpiCode, region, cohortSize, p25, p50, p75, lastUpdated). Recomputed nightly.</w:t>
      </w:r>
    </w:p>
    <w:p>
      <w:pPr>
        <w:pStyle w:val="ListParagraph"/>
        <w:numPr>
          <w:ilvl w:val="0"/>
          <w:numId w:val="2"/>
        </w:numPr>
        <w:spacing w:after="80" w:line="280"/>
      </w:pPr>
      <w:r>
        <w:rPr>
          <w:rFonts w:ascii="Calibri" w:cs="Calibri" w:eastAsia="Calibri" w:hAnsi="Calibri"/>
          <w:color w:val="111827"/>
          <w:sz w:val="22"/>
          <w:szCs w:val="22"/>
        </w:rPr>
        <w:t xml:space="preserve">Consent gate: add Company.benchmarkOptIn boolean, default false. Only companies that have opted in contribute and only they can see percentiles.</w:t>
      </w:r>
    </w:p>
    <w:p>
      <w:pPr>
        <w:pStyle w:val="ListParagraph"/>
        <w:numPr>
          <w:ilvl w:val="0"/>
          <w:numId w:val="2"/>
        </w:numPr>
        <w:spacing w:after="80" w:line="280"/>
      </w:pPr>
      <w:r>
        <w:rPr>
          <w:rFonts w:ascii="Calibri" w:cs="Calibri" w:eastAsia="Calibri" w:hAnsi="Calibri"/>
          <w:color w:val="111827"/>
          <w:sz w:val="22"/>
          <w:szCs w:val="22"/>
        </w:rPr>
        <w:t xml:space="preserve">k-anonymity: never return a cohort stat if cohortSize &lt; 10. Return null and let the UI show "Not enough peers yet".</w:t>
      </w:r>
    </w:p>
    <w:p>
      <w:pPr>
        <w:pStyle w:val="ListParagraph"/>
        <w:numPr>
          <w:ilvl w:val="0"/>
          <w:numId w:val="2"/>
        </w:numPr>
        <w:spacing w:after="80" w:line="280"/>
      </w:pPr>
      <w:r>
        <w:rPr>
          <w:rFonts w:ascii="Calibri" w:cs="Calibri" w:eastAsia="Calibri" w:hAnsi="Calibri"/>
          <w:color w:val="111827"/>
          <w:sz w:val="22"/>
          <w:szCs w:val="22"/>
        </w:rPr>
        <w:t xml:space="preserve">Differential privacy: add Laplace noise (ε = 1.0) to p50 for sensitive KPIs (anything with fewer than 50 contributors).</w:t>
      </w:r>
    </w:p>
    <w:p>
      <w:pPr>
        <w:spacing w:after="80" w:before="180"/>
      </w:pPr>
      <w:r>
        <w:rPr>
          <w:rFonts w:ascii="Calibri" w:cs="Calibri" w:eastAsia="Calibri" w:hAnsi="Calibri"/>
          <w:b/>
          <w:bCs/>
          <w:color w:val="0F766E"/>
          <w:sz w:val="22"/>
          <w:szCs w:val="22"/>
        </w:rPr>
        <w:t xml:space="preserve">Frontend</w:t>
      </w:r>
    </w:p>
    <w:p>
      <w:pPr>
        <w:pStyle w:val="ListParagraph"/>
        <w:numPr>
          <w:ilvl w:val="0"/>
          <w:numId w:val="2"/>
        </w:numPr>
        <w:spacing w:after="80" w:line="280"/>
      </w:pPr>
      <w:r>
        <w:rPr>
          <w:rFonts w:ascii="Calibri" w:cs="Calibri" w:eastAsia="Calibri" w:hAnsi="Calibri"/>
          <w:color w:val="111827"/>
          <w:sz w:val="22"/>
          <w:szCs w:val="22"/>
        </w:rPr>
        <w:t xml:space="preserve">Onboarding opt-in toggle with plain-English explanation: "Share anonymised data to unlock peer benchmarks. Your data is never linked to your company name and only aggregated stats (medians, quartiles) are shown."</w:t>
      </w:r>
    </w:p>
    <w:p>
      <w:pPr>
        <w:pStyle w:val="ListParagraph"/>
        <w:numPr>
          <w:ilvl w:val="0"/>
          <w:numId w:val="2"/>
        </w:numPr>
        <w:spacing w:after="80" w:line="280"/>
      </w:pPr>
      <w:r>
        <w:rPr>
          <w:rFonts w:ascii="Calibri" w:cs="Calibri" w:eastAsia="Calibri" w:hAnsi="Calibri"/>
          <w:color w:val="111827"/>
          <w:sz w:val="22"/>
          <w:szCs w:val="22"/>
        </w:rPr>
        <w:t xml:space="preserve">Dashboard tiles get a "vs. peers" footer when a benchmark exists; otherwise a dim "Unlock peer benchmarks" affordance that links to the opt-in.</w:t>
      </w:r>
    </w:p>
    <w:p>
      <w:r>
        <w:br w:type="page"/>
      </w:r>
    </w:p>
    <w:p>
      <w:pPr>
        <w:pStyle w:val="Heading1"/>
        <w:spacing w:after="180" w:before="360"/>
      </w:pPr>
      <w:r>
        <w:rPr>
          <w:rFonts w:ascii="Calibri" w:cs="Calibri" w:eastAsia="Calibri" w:hAnsi="Calibri"/>
          <w:b/>
          <w:bCs/>
          <w:color w:val="0F766E"/>
          <w:sz w:val="40"/>
          <w:szCs w:val="40"/>
        </w:rPr>
        <w:t xml:space="preserve">2. Q4 2026  ·  Automotive Sector Pack + Supplier Scope 3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4"/>
              <w:left w:val="single" w:color="0F766E" w:sz="24"/>
              <w:bottom w:val="single" w:color="0F766E" w:sz="4"/>
              <w:right w:val="single" w:color="0F766E" w:sz="4"/>
            </w:tcBorders>
            <w:shd w:fill="F0FDFA" w:val="clear"/>
            <w:tcMar>
              <w:top w:type="dxa" w:w="160"/>
              <w:left w:type="dxa" w:w="220"/>
              <w:bottom w:type="dxa" w:w="160"/>
              <w:right w:type="dxa" w:w="180"/>
            </w:tcMar>
          </w:tcPr>
          <w:p>
            <w:pPr>
              <w:spacing w:after="60"/>
            </w:pPr>
            <w:r>
              <w:rPr>
                <w:rFonts w:ascii="Calibri" w:cs="Calibri" w:eastAsia="Calibri" w:hAnsi="Calibri"/>
                <w:b/>
                <w:bCs/>
                <w:color w:val="0F766E"/>
                <w:sz w:val="22"/>
                <w:szCs w:val="22"/>
              </w:rPr>
              <w:t xml:space="preserve">Why these ship together</w:t>
            </w:r>
          </w:p>
          <w:p>
            <w:pPr>
              <w:spacing w:after="0" w:line="280"/>
            </w:pPr>
            <w:r>
              <w:rPr>
                <w:rFonts w:ascii="Calibri" w:cs="Calibri" w:eastAsia="Calibri" w:hAnsi="Calibri"/>
                <w:color w:val="111827"/>
                <w:sz w:val="22"/>
                <w:szCs w:val="22"/>
              </w:rPr>
              <w:t xml:space="preserve">Automotive is the most PCF-hungry sector on earth — OEMs literally require their suppliers to submit product footprints in a specific format (Catena-X). The Supplier Portal is not a separate product; it is the automotive pack's data-collection backbone. Ship them in one release or you ship a theoretical capability.</w:t>
            </w:r>
          </w:p>
        </w:tc>
      </w:tr>
    </w:tbl>
    <w:p>
      <w:pPr>
        <w:pStyle w:val="Heading2"/>
        <w:spacing w:after="140" w:before="320"/>
      </w:pPr>
      <w:r>
        <w:rPr>
          <w:rFonts w:ascii="Calibri" w:cs="Calibri" w:eastAsia="Calibri" w:hAnsi="Calibri"/>
          <w:b/>
          <w:bCs/>
          <w:color w:val="111827"/>
          <w:sz w:val="30"/>
          <w:szCs w:val="30"/>
        </w:rPr>
        <w:t xml:space="preserve">2.1 Automotive Sector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00"/>
        <w:gridCol w:w="1230"/>
        <w:gridCol w:w="1230"/>
      </w:tblGrid>
      <w:tr>
        <w:tc>
          <w:tcPr>
            <w:tcW w:type="dxa" w:w="1400"/>
            <w:tcBorders>
              <w:top w:val="single" w:color="0F766E" w:sz="4"/>
              <w:left w:val="single" w:color="0F766E" w:sz="4"/>
              <w:bottom w:val="single" w:color="0F766E" w:sz="4"/>
              <w:right w:val="single" w:color="0F766E" w:sz="4"/>
            </w:tcBorders>
            <w:shd w:fill="0F766E" w:val="clear"/>
            <w:tcMar>
              <w:top w:type="dxa" w:w="140"/>
              <w:left w:type="dxa" w:w="160"/>
              <w:bottom w:type="dxa" w:w="140"/>
              <w:right w:type="dxa" w:w="160"/>
            </w:tcMar>
          </w:tcPr>
          <w:p>
            <w:pPr>
              <w:jc w:val="center"/>
            </w:pPr>
            <w:r>
              <w:rPr>
                <w:rFonts w:ascii="Calibri" w:cs="Calibri" w:eastAsia="Calibri" w:hAnsi="Calibri"/>
                <w:b/>
                <w:bCs/>
                <w:color w:val="FFFFFF"/>
                <w:sz w:val="22"/>
                <w:szCs w:val="22"/>
              </w:rPr>
              <w:t xml:space="preserve">AUTO-01</w:t>
            </w:r>
          </w:p>
        </w:tc>
        <w:tc>
          <w:tcPr>
            <w:tcW w:type="dxa" w:w="5500"/>
            <w:tcBorders>
              <w:top w:val="single" w:color="0F766E" w:sz="4"/>
              <w:left w:val="single" w:color="0F766E" w:sz="4"/>
              <w:bottom w:val="single" w:color="0F766E" w:sz="4"/>
              <w:right w:val="single" w:color="0F766E" w:sz="4"/>
            </w:tcBorders>
            <w:shd w:fill="CCFBF1" w:val="clear"/>
            <w:tcMar>
              <w:top w:type="dxa" w:w="140"/>
              <w:left w:type="dxa" w:w="160"/>
              <w:bottom w:type="dxa" w:w="140"/>
              <w:right w:type="dxa" w:w="160"/>
            </w:tcMar>
          </w:tcPr>
          <w:p>
            <w:r>
              <w:rPr>
                <w:rFonts w:ascii="Calibri" w:cs="Calibri" w:eastAsia="Calibri" w:hAnsi="Calibri"/>
                <w:b/>
                <w:bCs/>
                <w:color w:val="111827"/>
                <w:sz w:val="22"/>
                <w:szCs w:val="22"/>
              </w:rPr>
              <w:t xml:space="preserve">Automotive sector pack content</w:t>
            </w:r>
          </w:p>
        </w:tc>
        <w:tc>
          <w:tcPr>
            <w:tcW w:type="dxa" w:w="1230"/>
            <w:tcBorders>
              <w:top w:val="single" w:color="0F766E" w:sz="4"/>
              <w:left w:val="single" w:color="0F766E" w:sz="4"/>
              <w:bottom w:val="single" w:color="0F766E" w:sz="4"/>
              <w:right w:val="single" w:color="0F766E" w:sz="4"/>
            </w:tcBorders>
            <w:shd w:fill="CCFBF1" w:val="clear"/>
            <w:tcMar>
              <w:top w:type="dxa" w:w="140"/>
              <w:left w:type="dxa" w:w="120"/>
              <w:bottom w:type="dxa" w:w="140"/>
              <w:right w:type="dxa" w:w="120"/>
            </w:tcMar>
          </w:tcPr>
          <w:p>
            <w:pPr>
              <w:jc w:val="center"/>
            </w:pPr>
            <w:r>
              <w:rPr>
                <w:rFonts w:ascii="Calibri" w:cs="Calibri" w:eastAsia="Calibri" w:hAnsi="Calibri"/>
                <w:b/>
                <w:bCs/>
                <w:color w:val="111827"/>
                <w:sz w:val="20"/>
                <w:szCs w:val="20"/>
              </w:rPr>
              <w:t xml:space="preserve">8 pts</w:t>
            </w:r>
          </w:p>
        </w:tc>
        <w:tc>
          <w:tcPr>
            <w:tcW w:type="dxa" w:w="1230"/>
            <w:tcBorders>
              <w:top w:val="single" w:color="0F766E" w:sz="4"/>
              <w:left w:val="single" w:color="0F766E" w:sz="4"/>
              <w:bottom w:val="single" w:color="0F766E" w:sz="4"/>
              <w:right w:val="single" w:color="0F766E" w:sz="4"/>
            </w:tcBorders>
            <w:shd w:fill="CCFBF1" w:val="clear"/>
            <w:tcMar>
              <w:top w:type="dxa" w:w="140"/>
              <w:left w:type="dxa" w:w="120"/>
              <w:bottom w:type="dxa" w:w="140"/>
              <w:right w:type="dxa" w:w="120"/>
            </w:tcMar>
          </w:tcPr>
          <w:p>
            <w:pPr>
              <w:jc w:val="center"/>
            </w:pPr>
            <w:r>
              <w:rPr>
                <w:rFonts w:ascii="Calibri" w:cs="Calibri" w:eastAsia="Calibri" w:hAnsi="Calibri"/>
                <w:b/>
                <w:bCs/>
                <w:color w:val="111827"/>
                <w:sz w:val="20"/>
                <w:szCs w:val="20"/>
              </w:rPr>
              <w:t xml:space="preserve">P0</w:t>
            </w:r>
          </w:p>
        </w:tc>
      </w:tr>
    </w:tbl>
    <w:p>
      <w:pPr>
        <w:spacing w:after="100"/>
      </w:pPr>
      <w:r>
        <w:t xml:space="preserve"/>
      </w:r>
    </w:p>
    <w:p>
      <w:pPr>
        <w:spacing w:after="80" w:before="180"/>
      </w:pPr>
      <w:r>
        <w:rPr>
          <w:rFonts w:ascii="Calibri" w:cs="Calibri" w:eastAsia="Calibri" w:hAnsi="Calibri"/>
          <w:b/>
          <w:bCs/>
          <w:color w:val="0F766E"/>
          <w:sz w:val="22"/>
          <w:szCs w:val="22"/>
        </w:rPr>
        <w:t xml:space="preserve">Scope</w:t>
      </w:r>
    </w:p>
    <w:p>
      <w:pPr>
        <w:spacing w:after="120" w:line="300"/>
      </w:pPr>
      <w:r>
        <w:rPr>
          <w:rFonts w:ascii="Calibri" w:cs="Calibri" w:eastAsia="Calibri" w:hAnsi="Calibri"/>
          <w:color w:val="111827"/>
          <w:sz w:val="22"/>
          <w:szCs w:val="22"/>
        </w:rPr>
        <w:t xml:space="preserve">Analogous to PCF-06 but for automotive. BMW's 2024 sustainability report (loaded in the project knowledge) is the gold-standard template — mine it for KPIs, disclosure shape, and narrative patterns.</w:t>
      </w:r>
    </w:p>
    <w:p>
      <w:pPr>
        <w:spacing w:after="80" w:before="180"/>
      </w:pPr>
      <w:r>
        <w:rPr>
          <w:rFonts w:ascii="Calibri" w:cs="Calibri" w:eastAsia="Calibri" w:hAnsi="Calibri"/>
          <w:b/>
          <w:bCs/>
          <w:color w:val="0F766E"/>
          <w:sz w:val="22"/>
          <w:szCs w:val="22"/>
        </w:rPr>
        <w:t xml:space="preserve">Content bundle (backend/src/sectors/automotive/)</w:t>
      </w:r>
    </w:p>
    <w:p>
      <w:pPr>
        <w:pStyle w:val="ListParagraph"/>
        <w:numPr>
          <w:ilvl w:val="0"/>
          <w:numId w:val="2"/>
        </w:numPr>
        <w:spacing w:after="80" w:line="280"/>
      </w:pPr>
      <w:r>
        <w:rPr>
          <w:rFonts w:ascii="Calibri" w:cs="Calibri" w:eastAsia="Calibri" w:hAnsi="Calibri"/>
          <w:color w:val="111827"/>
          <w:sz w:val="22"/>
          <w:szCs w:val="22"/>
        </w:rPr>
        <w:t xml:space="preserve">kpis.json: SASB TR-AU series — sales-weighted fleet g CO2/km, ZEV share, NCAP 5-star percentage by region, safety defect complaints, trade-union coverage, work stoppages/idle days. Plus ESRS E1 automotive-specific disclosures and EU fleet CO2 regulation metrics.</w:t>
      </w:r>
    </w:p>
    <w:p>
      <w:pPr>
        <w:pStyle w:val="ListParagraph"/>
        <w:numPr>
          <w:ilvl w:val="0"/>
          <w:numId w:val="2"/>
        </w:numPr>
        <w:spacing w:after="80" w:line="280"/>
      </w:pPr>
      <w:r>
        <w:rPr>
          <w:rFonts w:ascii="Calibri" w:cs="Calibri" w:eastAsia="Calibri" w:hAnsi="Calibri"/>
          <w:color w:val="111827"/>
          <w:sz w:val="22"/>
          <w:szCs w:val="22"/>
        </w:rPr>
        <w:t xml:space="preserve">materiality.json: typical automotive IROs — battery supply-chain human-rights risk, use-phase emissions dominance (BMW shows this is ~65% of their Scope 3 reduction pathway), transition risk from ICE phase-out regulations, opportunity from circular battery remanufacturing, End-of-Life Vehicle Directive compliance.</w:t>
      </w:r>
    </w:p>
    <w:p>
      <w:pPr>
        <w:pStyle w:val="ListParagraph"/>
        <w:numPr>
          <w:ilvl w:val="0"/>
          <w:numId w:val="2"/>
        </w:numPr>
        <w:spacing w:after="80" w:line="280"/>
      </w:pPr>
      <w:r>
        <w:rPr>
          <w:rFonts w:ascii="Calibri" w:cs="Calibri" w:eastAsia="Calibri" w:hAnsi="Calibri"/>
          <w:color w:val="111827"/>
          <w:sz w:val="22"/>
          <w:szCs w:val="22"/>
        </w:rPr>
        <w:t xml:space="preserve">factors.json: drivetrain-specific factors — ICE g/km by segment, BEV use-phase kWh/km × grid mix, battery cell production by chemistry (NMC, LFP, solid-state in preview), typical BOM-level factors for vehicle classes.</w:t>
      </w:r>
    </w:p>
    <w:p>
      <w:pPr>
        <w:pStyle w:val="ListParagraph"/>
        <w:numPr>
          <w:ilvl w:val="0"/>
          <w:numId w:val="2"/>
        </w:numPr>
        <w:spacing w:after="80" w:line="280"/>
      </w:pPr>
      <w:r>
        <w:rPr>
          <w:rFonts w:ascii="Calibri" w:cs="Calibri" w:eastAsia="Calibri" w:hAnsi="Calibri"/>
          <w:color w:val="111827"/>
          <w:sz w:val="22"/>
          <w:szCs w:val="22"/>
        </w:rPr>
        <w:t xml:space="preserve">templates/: narrative scaffolds for vehicle-fleet-weighted metrics, Catena-X data-space context, and the EU Battery Regulation passport.</w:t>
      </w:r>
    </w:p>
    <w:p>
      <w:pPr>
        <w:spacing w:after="80" w:before="180"/>
      </w:pPr>
      <w:r>
        <w:rPr>
          <w:rFonts w:ascii="Calibri" w:cs="Calibri" w:eastAsia="Calibri" w:hAnsi="Calibri"/>
          <w:b/>
          <w:bCs/>
          <w:color w:val="0F766E"/>
          <w:sz w:val="22"/>
          <w:szCs w:val="22"/>
        </w:rPr>
        <w:t xml:space="preserve">Dashboard</w:t>
      </w:r>
    </w:p>
    <w:p>
      <w:pPr>
        <w:pStyle w:val="ListParagraph"/>
        <w:numPr>
          <w:ilvl w:val="0"/>
          <w:numId w:val="2"/>
        </w:numPr>
        <w:spacing w:after="80" w:line="280"/>
      </w:pPr>
      <w:r>
        <w:rPr>
          <w:rFonts w:ascii="Calibri" w:cs="Calibri" w:eastAsia="Calibri" w:hAnsi="Calibri"/>
          <w:color w:val="111827"/>
          <w:sz w:val="22"/>
          <w:szCs w:val="22"/>
        </w:rPr>
        <w:t xml:space="preserve">/sector/automotive with: fleet fuel-economy trend chart (multi-year, by drivetrain), BEV share gauge, battery PCF per kWh benchmark vs industry, use-phase vs supply-chain emissions split.</w:t>
      </w:r>
    </w:p>
    <w:p>
      <w:pPr>
        <w:pStyle w:val="ListParagraph"/>
        <w:numPr>
          <w:ilvl w:val="0"/>
          <w:numId w:val="2"/>
        </w:numPr>
        <w:spacing w:after="80" w:line="280"/>
      </w:pPr>
      <w:r>
        <w:rPr>
          <w:rFonts w:ascii="Calibri" w:cs="Calibri" w:eastAsia="Calibri" w:hAnsi="Calibri"/>
          <w:color w:val="111827"/>
          <w:sz w:val="22"/>
          <w:szCs w:val="22"/>
        </w:rPr>
        <w:t xml:space="preserve">"Vehicle digital passport" tab for each Product where sector=automotive — produces an EU-Battery-Regulation-compliant passport.</w:t>
      </w:r>
    </w:p>
    <w:p>
      <w:pPr>
        <w:spacing w:after="100"/>
      </w:pPr>
      <w:r>
        <w:t xml:space="preserve"/>
      </w:r>
    </w:p>
    <w:p>
      <w:pPr>
        <w:pStyle w:val="Heading2"/>
        <w:spacing w:after="140" w:before="320"/>
      </w:pPr>
      <w:r>
        <w:rPr>
          <w:rFonts w:ascii="Calibri" w:cs="Calibri" w:eastAsia="Calibri" w:hAnsi="Calibri"/>
          <w:b/>
          <w:bCs/>
          <w:color w:val="111827"/>
          <w:sz w:val="30"/>
          <w:szCs w:val="30"/>
        </w:rPr>
        <w:t xml:space="preserve">2.2 Supplier Scope 3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00"/>
        <w:gridCol w:w="1230"/>
        <w:gridCol w:w="1230"/>
      </w:tblGrid>
      <w:tr>
        <w:tc>
          <w:tcPr>
            <w:tcW w:type="dxa" w:w="1400"/>
            <w:tcBorders>
              <w:top w:val="single" w:color="0F766E" w:sz="4"/>
              <w:left w:val="single" w:color="0F766E" w:sz="4"/>
              <w:bottom w:val="single" w:color="0F766E" w:sz="4"/>
              <w:right w:val="single" w:color="0F766E" w:sz="4"/>
            </w:tcBorders>
            <w:shd w:fill="0F766E" w:val="clear"/>
            <w:tcMar>
              <w:top w:type="dxa" w:w="140"/>
              <w:left w:type="dxa" w:w="160"/>
              <w:bottom w:type="dxa" w:w="140"/>
              <w:right w:type="dxa" w:w="160"/>
            </w:tcMar>
          </w:tcPr>
          <w:p>
            <w:pPr>
              <w:jc w:val="center"/>
            </w:pPr>
            <w:r>
              <w:rPr>
                <w:rFonts w:ascii="Calibri" w:cs="Calibri" w:eastAsia="Calibri" w:hAnsi="Calibri"/>
                <w:b/>
                <w:bCs/>
                <w:color w:val="FFFFFF"/>
                <w:sz w:val="22"/>
                <w:szCs w:val="22"/>
              </w:rPr>
              <w:t xml:space="preserve">SUP-01</w:t>
            </w:r>
          </w:p>
        </w:tc>
        <w:tc>
          <w:tcPr>
            <w:tcW w:type="dxa" w:w="5500"/>
            <w:tcBorders>
              <w:top w:val="single" w:color="0F766E" w:sz="4"/>
              <w:left w:val="single" w:color="0F766E" w:sz="4"/>
              <w:bottom w:val="single" w:color="0F766E" w:sz="4"/>
              <w:right w:val="single" w:color="0F766E" w:sz="4"/>
            </w:tcBorders>
            <w:shd w:fill="CCFBF1" w:val="clear"/>
            <w:tcMar>
              <w:top w:type="dxa" w:w="140"/>
              <w:left w:type="dxa" w:w="160"/>
              <w:bottom w:type="dxa" w:w="140"/>
              <w:right w:type="dxa" w:w="160"/>
            </w:tcMar>
          </w:tcPr>
          <w:p>
            <w:r>
              <w:rPr>
                <w:rFonts w:ascii="Calibri" w:cs="Calibri" w:eastAsia="Calibri" w:hAnsi="Calibri"/>
                <w:b/>
                <w:bCs/>
                <w:color w:val="111827"/>
                <w:sz w:val="22"/>
                <w:szCs w:val="22"/>
              </w:rPr>
              <w:t xml:space="preserve">Supplier entity model + token-based invitation</w:t>
            </w:r>
          </w:p>
        </w:tc>
        <w:tc>
          <w:tcPr>
            <w:tcW w:type="dxa" w:w="1230"/>
            <w:tcBorders>
              <w:top w:val="single" w:color="0F766E" w:sz="4"/>
              <w:left w:val="single" w:color="0F766E" w:sz="4"/>
              <w:bottom w:val="single" w:color="0F766E" w:sz="4"/>
              <w:right w:val="single" w:color="0F766E" w:sz="4"/>
            </w:tcBorders>
            <w:shd w:fill="CCFBF1" w:val="clear"/>
            <w:tcMar>
              <w:top w:type="dxa" w:w="140"/>
              <w:left w:type="dxa" w:w="120"/>
              <w:bottom w:type="dxa" w:w="140"/>
              <w:right w:type="dxa" w:w="120"/>
            </w:tcMar>
          </w:tcPr>
          <w:p>
            <w:pPr>
              <w:jc w:val="center"/>
            </w:pPr>
            <w:r>
              <w:rPr>
                <w:rFonts w:ascii="Calibri" w:cs="Calibri" w:eastAsia="Calibri" w:hAnsi="Calibri"/>
                <w:b/>
                <w:bCs/>
                <w:color w:val="111827"/>
                <w:sz w:val="20"/>
                <w:szCs w:val="20"/>
              </w:rPr>
              <w:t xml:space="preserve">8 pts</w:t>
            </w:r>
          </w:p>
        </w:tc>
        <w:tc>
          <w:tcPr>
            <w:tcW w:type="dxa" w:w="1230"/>
            <w:tcBorders>
              <w:top w:val="single" w:color="0F766E" w:sz="4"/>
              <w:left w:val="single" w:color="0F766E" w:sz="4"/>
              <w:bottom w:val="single" w:color="0F766E" w:sz="4"/>
              <w:right w:val="single" w:color="0F766E" w:sz="4"/>
            </w:tcBorders>
            <w:shd w:fill="CCFBF1" w:val="clear"/>
            <w:tcMar>
              <w:top w:type="dxa" w:w="140"/>
              <w:left w:type="dxa" w:w="120"/>
              <w:bottom w:type="dxa" w:w="140"/>
              <w:right w:type="dxa" w:w="120"/>
            </w:tcMar>
          </w:tcPr>
          <w:p>
            <w:pPr>
              <w:jc w:val="center"/>
            </w:pPr>
            <w:r>
              <w:rPr>
                <w:rFonts w:ascii="Calibri" w:cs="Calibri" w:eastAsia="Calibri" w:hAnsi="Calibri"/>
                <w:b/>
                <w:bCs/>
                <w:color w:val="111827"/>
                <w:sz w:val="20"/>
                <w:szCs w:val="20"/>
              </w:rPr>
              <w:t xml:space="preserve">P0</w:t>
            </w:r>
          </w:p>
        </w:tc>
      </w:tr>
    </w:tbl>
    <w:p>
      <w:pPr>
        <w:spacing w:after="100"/>
      </w:pPr>
      <w:r>
        <w:t xml:space="preserve"/>
      </w:r>
    </w:p>
    <w:p>
      <w:pPr>
        <w:spacing w:after="80" w:before="180"/>
      </w:pPr>
      <w:r>
        <w:rPr>
          <w:rFonts w:ascii="Calibri" w:cs="Calibri" w:eastAsia="Calibri" w:hAnsi="Calibri"/>
          <w:b/>
          <w:bCs/>
          <w:color w:val="0F766E"/>
          <w:sz w:val="22"/>
          <w:szCs w:val="22"/>
        </w:rPr>
        <w:t xml:space="preserve">Scope</w:t>
      </w:r>
    </w:p>
    <w:p>
      <w:pPr>
        <w:spacing w:after="120" w:line="300"/>
      </w:pPr>
      <w:r>
        <w:rPr>
          <w:rFonts w:ascii="Calibri" w:cs="Calibri" w:eastAsia="Calibri" w:hAnsi="Calibri"/>
          <w:color w:val="111827"/>
          <w:sz w:val="22"/>
          <w:szCs w:val="22"/>
        </w:rPr>
        <w:t xml:space="preserve">The supplier portal is a separate sub-app — conceptually a mini-Triple-I for the buyer's suppliers. No supplier needs a Triple I account. They receive an email with a scoped, time-limited link; they land on a branded mini-site; they submit data; they leave. All data flows into the buyer's Scope 3 inventory with primaryDataFlag=true.</w:t>
      </w:r>
    </w:p>
    <w:p>
      <w:pPr>
        <w:spacing w:after="80" w:before="180"/>
      </w:pPr>
      <w:r>
        <w:rPr>
          <w:rFonts w:ascii="Calibri" w:cs="Calibri" w:eastAsia="Calibri" w:hAnsi="Calibri"/>
          <w:b/>
          <w:bCs/>
          <w:color w:val="0F766E"/>
          <w:sz w:val="22"/>
          <w:szCs w:val="22"/>
        </w:rPr>
        <w:t xml:space="preserve">Prisma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0" w:line="260"/>
            </w:pPr>
            <w:r>
              <w:rPr>
                <w:rFonts w:ascii="Consolas" w:cs="Consolas" w:eastAsia="Consolas" w:hAnsi="Consolas"/>
                <w:color w:val="111827"/>
                <w:sz w:val="18"/>
                <w:szCs w:val="18"/>
              </w:rPr>
              <w:t xml:space="preserve">model Supplier {</w:t>
            </w:r>
          </w:p>
          <w:p>
            <w:pPr>
              <w:spacing w:after="0" w:line="260"/>
            </w:pPr>
            <w:r>
              <w:rPr>
                <w:rFonts w:ascii="Consolas" w:cs="Consolas" w:eastAsia="Consolas" w:hAnsi="Consolas"/>
                <w:color w:val="111827"/>
                <w:sz w:val="18"/>
                <w:szCs w:val="18"/>
              </w:rPr>
              <w:t xml:space="preserve">  id              String   @id @default(uuid())</w:t>
            </w:r>
          </w:p>
          <w:p>
            <w:pPr>
              <w:spacing w:after="0" w:line="260"/>
            </w:pPr>
            <w:r>
              <w:rPr>
                <w:rFonts w:ascii="Consolas" w:cs="Consolas" w:eastAsia="Consolas" w:hAnsi="Consolas"/>
                <w:color w:val="111827"/>
                <w:sz w:val="18"/>
                <w:szCs w:val="18"/>
              </w:rPr>
              <w:t xml:space="preserve">  buyerCompanyId  String</w:t>
            </w:r>
          </w:p>
          <w:p>
            <w:pPr>
              <w:spacing w:after="0" w:line="260"/>
            </w:pPr>
            <w:r>
              <w:rPr>
                <w:rFonts w:ascii="Consolas" w:cs="Consolas" w:eastAsia="Consolas" w:hAnsi="Consolas"/>
                <w:color w:val="111827"/>
                <w:sz w:val="18"/>
                <w:szCs w:val="18"/>
              </w:rPr>
              <w:t xml:space="preserve">  buyerCompany    Company  @relation(fields: [buyerCompanyId], references: [id], onDelete: Cascade)</w:t>
            </w:r>
          </w:p>
          <w:p>
            <w:pPr>
              <w:spacing w:after="0" w:line="260"/>
            </w:pPr>
            <w:r>
              <w:rPr>
                <w:rFonts w:ascii="Consolas" w:cs="Consolas" w:eastAsia="Consolas" w:hAnsi="Consolas"/>
                <w:color w:val="111827"/>
                <w:sz w:val="18"/>
                <w:szCs w:val="18"/>
              </w:rPr>
              <w:t xml:space="preserve">  name            String</w:t>
            </w:r>
          </w:p>
          <w:p>
            <w:pPr>
              <w:spacing w:after="0" w:line="260"/>
            </w:pPr>
            <w:r>
              <w:rPr>
                <w:rFonts w:ascii="Consolas" w:cs="Consolas" w:eastAsia="Consolas" w:hAnsi="Consolas"/>
                <w:color w:val="111827"/>
                <w:sz w:val="18"/>
                <w:szCs w:val="18"/>
              </w:rPr>
              <w:t xml:space="preserve">  contactEmail    String</w:t>
            </w:r>
          </w:p>
          <w:p>
            <w:pPr>
              <w:spacing w:after="0" w:line="260"/>
            </w:pPr>
            <w:r>
              <w:rPr>
                <w:rFonts w:ascii="Consolas" w:cs="Consolas" w:eastAsia="Consolas" w:hAnsi="Consolas"/>
                <w:color w:val="111827"/>
                <w:sz w:val="18"/>
                <w:szCs w:val="18"/>
              </w:rPr>
              <w:t xml:space="preserve">  country         String</w:t>
            </w:r>
          </w:p>
          <w:p>
            <w:pPr>
              <w:spacing w:after="0" w:line="260"/>
            </w:pPr>
            <w:r>
              <w:rPr>
                <w:rFonts w:ascii="Consolas" w:cs="Consolas" w:eastAsia="Consolas" w:hAnsi="Consolas"/>
                <w:color w:val="111827"/>
                <w:sz w:val="18"/>
                <w:szCs w:val="18"/>
              </w:rPr>
              <w:t xml:space="preserve">  annualSpendUsd  Float?</w:t>
            </w:r>
          </w:p>
          <w:p>
            <w:pPr>
              <w:spacing w:after="0" w:line="260"/>
            </w:pPr>
            <w:r>
              <w:rPr>
                <w:rFonts w:ascii="Consolas" w:cs="Consolas" w:eastAsia="Consolas" w:hAnsi="Consolas"/>
                <w:color w:val="111827"/>
                <w:sz w:val="18"/>
                <w:szCs w:val="18"/>
              </w:rPr>
              <w:t xml:space="preserve">  category        String?  // tier1_direct, tier1_indirect, logistics, ...</w:t>
            </w:r>
          </w:p>
          <w:p>
            <w:pPr>
              <w:spacing w:after="0" w:line="260"/>
            </w:pPr>
            <w:r>
              <w:rPr>
                <w:rFonts w:ascii="Consolas" w:cs="Consolas" w:eastAsia="Consolas" w:hAnsi="Consolas"/>
                <w:color w:val="111827"/>
                <w:sz w:val="18"/>
                <w:szCs w:val="18"/>
              </w:rPr>
              <w:t xml:space="preserve">  riskScore       Float?</w:t>
            </w:r>
          </w:p>
          <w:p>
            <w:pPr>
              <w:spacing w:after="0" w:line="260"/>
            </w:pPr>
            <w:r>
              <w:rPr>
                <w:rFonts w:ascii="Consolas" w:cs="Consolas" w:eastAsia="Consolas" w:hAnsi="Consolas"/>
                <w:color w:val="111827"/>
                <w:sz w:val="18"/>
                <w:szCs w:val="18"/>
              </w:rPr>
              <w:t xml:space="preserve">  createdAt       DateTime @default(now())</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requests        SupplierDataRequest[]</w:t>
            </w:r>
          </w:p>
          <w:p>
            <w:pPr>
              <w:spacing w:after="0" w:line="260"/>
            </w:pPr>
            <w:r>
              <w:rPr>
                <w:rFonts w:ascii="Consolas" w:cs="Consolas" w:eastAsia="Consolas" w:hAnsi="Consolas"/>
                <w:color w:val="111827"/>
                <w:sz w:val="18"/>
                <w:szCs w:val="18"/>
              </w:rPr>
              <w:t xml:space="preserve">  @@unique([buyerCompanyId, contactEmail])</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model SupplierDataRequest {</w:t>
            </w:r>
          </w:p>
          <w:p>
            <w:pPr>
              <w:spacing w:after="0" w:line="260"/>
            </w:pPr>
            <w:r>
              <w:rPr>
                <w:rFonts w:ascii="Consolas" w:cs="Consolas" w:eastAsia="Consolas" w:hAnsi="Consolas"/>
                <w:color w:val="111827"/>
                <w:sz w:val="18"/>
                <w:szCs w:val="18"/>
              </w:rPr>
              <w:t xml:space="preserve">  id              String   @id @default(uuid())</w:t>
            </w:r>
          </w:p>
          <w:p>
            <w:pPr>
              <w:spacing w:after="0" w:line="260"/>
            </w:pPr>
            <w:r>
              <w:rPr>
                <w:rFonts w:ascii="Consolas" w:cs="Consolas" w:eastAsia="Consolas" w:hAnsi="Consolas"/>
                <w:color w:val="111827"/>
                <w:sz w:val="18"/>
                <w:szCs w:val="18"/>
              </w:rPr>
              <w:t xml:space="preserve">  supplierId      String</w:t>
            </w:r>
          </w:p>
          <w:p>
            <w:pPr>
              <w:spacing w:after="0" w:line="260"/>
            </w:pPr>
            <w:r>
              <w:rPr>
                <w:rFonts w:ascii="Consolas" w:cs="Consolas" w:eastAsia="Consolas" w:hAnsi="Consolas"/>
                <w:color w:val="111827"/>
                <w:sz w:val="18"/>
                <w:szCs w:val="18"/>
              </w:rPr>
              <w:t xml:space="preserve">  supplier        Supplier @relation(fields: [supplierId], references: [id], onDelete: Cascade)</w:t>
            </w:r>
          </w:p>
          <w:p>
            <w:pPr>
              <w:spacing w:after="0" w:line="260"/>
            </w:pPr>
            <w:r>
              <w:rPr>
                <w:rFonts w:ascii="Consolas" w:cs="Consolas" w:eastAsia="Consolas" w:hAnsi="Consolas"/>
                <w:color w:val="111827"/>
                <w:sz w:val="18"/>
                <w:szCs w:val="18"/>
              </w:rPr>
              <w:t xml:space="preserve">  reportingYear   Int</w:t>
            </w:r>
          </w:p>
          <w:p>
            <w:pPr>
              <w:spacing w:after="0" w:line="260"/>
            </w:pPr>
            <w:r>
              <w:rPr>
                <w:rFonts w:ascii="Consolas" w:cs="Consolas" w:eastAsia="Consolas" w:hAnsi="Consolas"/>
                <w:color w:val="111827"/>
                <w:sz w:val="18"/>
                <w:szCs w:val="18"/>
              </w:rPr>
              <w:t xml:space="preserve">  scope3Category  String   // cat1_purchased_goods, cat4_transportation, ...</w:t>
            </w:r>
          </w:p>
          <w:p>
            <w:pPr>
              <w:spacing w:after="0" w:line="260"/>
            </w:pPr>
            <w:r>
              <w:rPr>
                <w:rFonts w:ascii="Consolas" w:cs="Consolas" w:eastAsia="Consolas" w:hAnsi="Consolas"/>
                <w:color w:val="111827"/>
                <w:sz w:val="18"/>
                <w:szCs w:val="18"/>
              </w:rPr>
              <w:t xml:space="preserve">  status          String   @default("sent") // sent | opened | submitted | approved | rejected</w:t>
            </w:r>
          </w:p>
          <w:p>
            <w:pPr>
              <w:spacing w:after="0" w:line="260"/>
            </w:pPr>
            <w:r>
              <w:rPr>
                <w:rFonts w:ascii="Consolas" w:cs="Consolas" w:eastAsia="Consolas" w:hAnsi="Consolas"/>
                <w:color w:val="111827"/>
                <w:sz w:val="18"/>
                <w:szCs w:val="18"/>
              </w:rPr>
              <w:t xml:space="preserve">  token           String   @unique</w:t>
            </w:r>
          </w:p>
          <w:p>
            <w:pPr>
              <w:spacing w:after="0" w:line="260"/>
            </w:pPr>
            <w:r>
              <w:rPr>
                <w:rFonts w:ascii="Consolas" w:cs="Consolas" w:eastAsia="Consolas" w:hAnsi="Consolas"/>
                <w:color w:val="111827"/>
                <w:sz w:val="18"/>
                <w:szCs w:val="18"/>
              </w:rPr>
              <w:t xml:space="preserve">  tokenExpiresAt  DateTime</w:t>
            </w:r>
          </w:p>
          <w:p>
            <w:pPr>
              <w:spacing w:after="0" w:line="260"/>
            </w:pPr>
            <w:r>
              <w:rPr>
                <w:rFonts w:ascii="Consolas" w:cs="Consolas" w:eastAsia="Consolas" w:hAnsi="Consolas"/>
                <w:color w:val="111827"/>
                <w:sz w:val="18"/>
                <w:szCs w:val="18"/>
              </w:rPr>
              <w:t xml:space="preserve">  sentAt          DateTime @default(now())</w:t>
            </w:r>
          </w:p>
          <w:p>
            <w:pPr>
              <w:spacing w:after="0" w:line="260"/>
            </w:pPr>
            <w:r>
              <w:rPr>
                <w:rFonts w:ascii="Consolas" w:cs="Consolas" w:eastAsia="Consolas" w:hAnsi="Consolas"/>
                <w:color w:val="111827"/>
                <w:sz w:val="18"/>
                <w:szCs w:val="18"/>
              </w:rPr>
              <w:t xml:space="preserve">  submittedAt     DateTime?</w:t>
            </w:r>
          </w:p>
          <w:p>
            <w:pPr>
              <w:spacing w:after="0" w:line="260"/>
            </w:pPr>
            <w:r>
              <w:rPr>
                <w:rFonts w:ascii="Consolas" w:cs="Consolas" w:eastAsia="Consolas" w:hAnsi="Consolas"/>
                <w:color w:val="111827"/>
                <w:sz w:val="18"/>
                <w:szCs w:val="18"/>
              </w:rPr>
              <w:t xml:space="preserve">  approvedAt      DateTime?</w:t>
            </w:r>
          </w:p>
          <w:p>
            <w:pPr>
              <w:spacing w:after="0" w:line="260"/>
            </w:pPr>
            <w:r>
              <w:rPr>
                <w:rFonts w:ascii="Consolas" w:cs="Consolas" w:eastAsia="Consolas" w:hAnsi="Consolas"/>
                <w:color w:val="111827"/>
                <w:sz w:val="18"/>
                <w:szCs w:val="18"/>
              </w:rPr>
              <w:t xml:space="preserve">  submission      Json?    // the form payload</w:t>
            </w:r>
          </w:p>
          <w:p>
            <w:pPr>
              <w:spacing w:after="0" w:line="260"/>
            </w:pPr>
            <w:r>
              <w:rPr>
                <w:rFonts w:ascii="Consolas" w:cs="Consolas" w:eastAsia="Consolas" w:hAnsi="Consolas"/>
                <w:color w:val="111827"/>
                <w:sz w:val="18"/>
                <w:szCs w:val="18"/>
              </w:rPr>
              <w:t xml:space="preserve">  dataQuality     String?  // primary | spend_based | secondary</w:t>
            </w:r>
          </w:p>
          <w:p>
            <w:pPr>
              <w:spacing w:after="0" w:line="260"/>
            </w:pPr>
            <w:r>
              <w:rPr>
                <w:rFonts w:ascii="Consolas" w:cs="Consolas" w:eastAsia="Consolas" w:hAnsi="Consolas"/>
                <w:color w:val="111827"/>
                <w:sz w:val="18"/>
                <w:szCs w:val="18"/>
              </w:rPr>
              <w:t xml:space="preserve">}</w:t>
            </w:r>
          </w:p>
        </w:tc>
      </w:tr>
    </w:tbl>
    <w:p>
      <w:pPr>
        <w:spacing w:after="80" w:before="180"/>
      </w:pPr>
      <w:r>
        <w:rPr>
          <w:rFonts w:ascii="Calibri" w:cs="Calibri" w:eastAsia="Calibri" w:hAnsi="Calibri"/>
          <w:b/>
          <w:bCs/>
          <w:color w:val="0F766E"/>
          <w:sz w:val="22"/>
          <w:szCs w:val="22"/>
        </w:rPr>
        <w:t xml:space="preserve">Backend</w:t>
      </w:r>
    </w:p>
    <w:p>
      <w:pPr>
        <w:pStyle w:val="ListParagraph"/>
        <w:numPr>
          <w:ilvl w:val="0"/>
          <w:numId w:val="2"/>
        </w:numPr>
        <w:spacing w:after="80" w:line="280"/>
      </w:pPr>
      <w:r>
        <w:rPr>
          <w:rFonts w:ascii="Calibri" w:cs="Calibri" w:eastAsia="Calibri" w:hAnsi="Calibri"/>
          <w:color w:val="111827"/>
          <w:sz w:val="22"/>
          <w:szCs w:val="22"/>
        </w:rPr>
        <w:t xml:space="preserve">New route backend/src/routes/suppliers.js (authenticated buyer side) — CRUD on Supplier, POST /suppliers/:id/request to create a SupplierDataRequest and dispatch an email.</w:t>
      </w:r>
    </w:p>
    <w:p>
      <w:pPr>
        <w:pStyle w:val="ListParagraph"/>
        <w:numPr>
          <w:ilvl w:val="0"/>
          <w:numId w:val="2"/>
        </w:numPr>
        <w:spacing w:after="80" w:line="280"/>
      </w:pPr>
      <w:r>
        <w:rPr>
          <w:rFonts w:ascii="Calibri" w:cs="Calibri" w:eastAsia="Calibri" w:hAnsi="Calibri"/>
          <w:color w:val="111827"/>
          <w:sz w:val="22"/>
          <w:szCs w:val="22"/>
        </w:rPr>
        <w:t xml:space="preserve">New public route backend/src/routes/supplierPortal.js (no auth, but every route validates the token) — GET /portal/:token returns the request shape, POST /portal/:token submits data.</w:t>
      </w:r>
    </w:p>
    <w:p>
      <w:pPr>
        <w:pStyle w:val="ListParagraph"/>
        <w:numPr>
          <w:ilvl w:val="0"/>
          <w:numId w:val="2"/>
        </w:numPr>
        <w:spacing w:after="80" w:line="280"/>
      </w:pPr>
      <w:r>
        <w:rPr>
          <w:rFonts w:ascii="Calibri" w:cs="Calibri" w:eastAsia="Calibri" w:hAnsi="Calibri"/>
          <w:color w:val="111827"/>
          <w:sz w:val="22"/>
          <w:szCs w:val="22"/>
        </w:rPr>
        <w:t xml:space="preserve">Token = 48-byte random, base64url encoded, JWT-wrapped with scope claim (sc: "supplier:submit"). Validates on every request.</w:t>
      </w:r>
    </w:p>
    <w:p>
      <w:pPr>
        <w:pStyle w:val="ListParagraph"/>
        <w:numPr>
          <w:ilvl w:val="0"/>
          <w:numId w:val="2"/>
        </w:numPr>
        <w:spacing w:after="80" w:line="280"/>
      </w:pPr>
      <w:r>
        <w:rPr>
          <w:rFonts w:ascii="Calibri" w:cs="Calibri" w:eastAsia="Calibri" w:hAnsi="Calibri"/>
          <w:color w:val="111827"/>
          <w:sz w:val="22"/>
          <w:szCs w:val="22"/>
        </w:rPr>
        <w:t xml:space="preserve">Email template: branded with buyer's logo, plain language, mobile-responsive, calls to action in buyer's language (use company.locale).</w:t>
      </w:r>
    </w:p>
    <w:p>
      <w:pPr>
        <w:pStyle w:val="ListParagraph"/>
        <w:numPr>
          <w:ilvl w:val="0"/>
          <w:numId w:val="2"/>
        </w:numPr>
        <w:spacing w:after="80" w:line="280"/>
      </w:pPr>
      <w:r>
        <w:rPr>
          <w:rFonts w:ascii="Calibri" w:cs="Calibri" w:eastAsia="Calibri" w:hAnsi="Calibri"/>
          <w:color w:val="111827"/>
          <w:sz w:val="22"/>
          <w:szCs w:val="22"/>
        </w:rPr>
        <w:t xml:space="preserve">On submission: run the AI classifier (same as PCF-02) to validate the supplier's numbers against expected ranges; auto-flag outliers for buyer review.</w:t>
      </w:r>
    </w:p>
    <w:p>
      <w:pPr>
        <w:spacing w:after="80" w:before="180"/>
      </w:pPr>
      <w:r>
        <w:rPr>
          <w:rFonts w:ascii="Calibri" w:cs="Calibri" w:eastAsia="Calibri" w:hAnsi="Calibri"/>
          <w:b/>
          <w:bCs/>
          <w:color w:val="0F766E"/>
          <w:sz w:val="22"/>
          <w:szCs w:val="22"/>
        </w:rPr>
        <w:t xml:space="preserve">Frontend (buyer side)</w:t>
      </w:r>
    </w:p>
    <w:p>
      <w:pPr>
        <w:pStyle w:val="ListParagraph"/>
        <w:numPr>
          <w:ilvl w:val="0"/>
          <w:numId w:val="2"/>
        </w:numPr>
        <w:spacing w:after="80" w:line="280"/>
      </w:pPr>
      <w:r>
        <w:rPr>
          <w:rFonts w:ascii="Calibri" w:cs="Calibri" w:eastAsia="Calibri" w:hAnsi="Calibri"/>
          <w:color w:val="111827"/>
          <w:sz w:val="22"/>
          <w:szCs w:val="22"/>
        </w:rPr>
        <w:t xml:space="preserve">New page /suppliers — table of suppliers, response-rate bar, CTA "Send data request" with a bulk action (select 50 suppliers, send to all).</w:t>
      </w:r>
    </w:p>
    <w:p>
      <w:pPr>
        <w:pStyle w:val="ListParagraph"/>
        <w:numPr>
          <w:ilvl w:val="0"/>
          <w:numId w:val="2"/>
        </w:numPr>
        <w:spacing w:after="80" w:line="280"/>
      </w:pPr>
      <w:r>
        <w:rPr>
          <w:rFonts w:ascii="Calibri" w:cs="Calibri" w:eastAsia="Calibri" w:hAnsi="Calibri"/>
          <w:color w:val="111827"/>
          <w:sz w:val="22"/>
          <w:szCs w:val="22"/>
        </w:rPr>
        <w:t xml:space="preserve">Geo heatmap of suppliers colored by response rate — D3 + Natural Earth world vector. Click a country, see the list.</w:t>
      </w:r>
    </w:p>
    <w:p>
      <w:pPr>
        <w:pStyle w:val="ListParagraph"/>
        <w:numPr>
          <w:ilvl w:val="0"/>
          <w:numId w:val="2"/>
        </w:numPr>
        <w:spacing w:after="80" w:line="280"/>
      </w:pPr>
      <w:r>
        <w:rPr>
          <w:rFonts w:ascii="Calibri" w:cs="Calibri" w:eastAsia="Calibri" w:hAnsi="Calibri"/>
          <w:color w:val="111827"/>
          <w:sz w:val="22"/>
          <w:szCs w:val="22"/>
        </w:rPr>
        <w:t xml:space="preserve">Request detail page — side-by-side: what was asked, what was submitted, which numbers look anomalous. One-click "Approve &amp; ingest into Scope 3".</w:t>
      </w:r>
    </w:p>
    <w:p>
      <w:pPr>
        <w:spacing w:after="80" w:before="180"/>
      </w:pPr>
      <w:r>
        <w:rPr>
          <w:rFonts w:ascii="Calibri" w:cs="Calibri" w:eastAsia="Calibri" w:hAnsi="Calibri"/>
          <w:b/>
          <w:bCs/>
          <w:color w:val="0F766E"/>
          <w:sz w:val="22"/>
          <w:szCs w:val="22"/>
        </w:rPr>
        <w:t xml:space="preserve">Frontend (supplier side — separate tiny app)</w:t>
      </w:r>
    </w:p>
    <w:p>
      <w:pPr>
        <w:pStyle w:val="ListParagraph"/>
        <w:numPr>
          <w:ilvl w:val="0"/>
          <w:numId w:val="2"/>
        </w:numPr>
        <w:spacing w:after="80" w:line="280"/>
      </w:pPr>
      <w:r>
        <w:rPr>
          <w:rFonts w:ascii="Calibri" w:cs="Calibri" w:eastAsia="Calibri" w:hAnsi="Calibri"/>
          <w:color w:val="111827"/>
          <w:sz w:val="22"/>
          <w:szCs w:val="22"/>
        </w:rPr>
        <w:t xml:space="preserve">Create frontend-supplier/ directory in the monorepo. Separate Vite build, served from a subdomain (portal.triplei.io/:token).</w:t>
      </w:r>
    </w:p>
    <w:p>
      <w:pPr>
        <w:pStyle w:val="ListParagraph"/>
        <w:numPr>
          <w:ilvl w:val="0"/>
          <w:numId w:val="2"/>
        </w:numPr>
        <w:spacing w:after="80" w:line="280"/>
      </w:pPr>
      <w:r>
        <w:rPr>
          <w:rFonts w:ascii="Calibri" w:cs="Calibri" w:eastAsia="Calibri" w:hAnsi="Calibri"/>
          <w:color w:val="111827"/>
          <w:sz w:val="22"/>
          <w:szCs w:val="22"/>
        </w:rPr>
        <w:t xml:space="preserve">Three screens: welcome (with buyer logo + ask), form (simple, progressive disclosure), confirmation.</w:t>
      </w:r>
    </w:p>
    <w:p>
      <w:pPr>
        <w:pStyle w:val="ListParagraph"/>
        <w:numPr>
          <w:ilvl w:val="0"/>
          <w:numId w:val="2"/>
        </w:numPr>
        <w:spacing w:after="80" w:line="280"/>
      </w:pPr>
      <w:r>
        <w:rPr>
          <w:rFonts w:ascii="Calibri" w:cs="Calibri" w:eastAsia="Calibri" w:hAnsi="Calibri"/>
          <w:color w:val="111827"/>
          <w:sz w:val="22"/>
          <w:szCs w:val="22"/>
        </w:rPr>
        <w:t xml:space="preserve">Form is mobile-first — most suppliers will open the link on a phone. Large tap targets, chunked into sections of ≤ 5 fields each.</w:t>
      </w:r>
    </w:p>
    <w:p>
      <w:pPr>
        <w:pStyle w:val="ListParagraph"/>
        <w:numPr>
          <w:ilvl w:val="0"/>
          <w:numId w:val="2"/>
        </w:numPr>
        <w:spacing w:after="80" w:line="280"/>
      </w:pPr>
      <w:r>
        <w:rPr>
          <w:rFonts w:ascii="Calibri" w:cs="Calibri" w:eastAsia="Calibri" w:hAnsi="Calibri"/>
          <w:color w:val="111827"/>
          <w:sz w:val="22"/>
          <w:szCs w:val="22"/>
        </w:rPr>
        <w:t xml:space="preserve">Three input modes: (1) type numbers directly, (2) upload an invoice/bill (reuse the existing doc-extract endpoint), (3) paste an API payload (for sophisticated suppliers).</w:t>
      </w:r>
    </w:p>
    <w:p>
      <w:pPr>
        <w:pStyle w:val="ListParagraph"/>
        <w:numPr>
          <w:ilvl w:val="0"/>
          <w:numId w:val="2"/>
        </w:numPr>
        <w:spacing w:after="80" w:line="280"/>
      </w:pPr>
      <w:r>
        <w:rPr>
          <w:rFonts w:ascii="Calibri" w:cs="Calibri" w:eastAsia="Calibri" w:hAnsi="Calibri"/>
          <w:color w:val="111827"/>
          <w:sz w:val="22"/>
          <w:szCs w:val="22"/>
        </w:rPr>
        <w:t xml:space="preserve">No account creation. Save-and-resume works via the same token, so a supplier can start on desktop, finish on mobile.</w:t>
      </w:r>
    </w:p>
    <w:p>
      <w:pPr>
        <w:spacing w:after="80" w:before="180"/>
      </w:pPr>
      <w:r>
        <w:rPr>
          <w:rFonts w:ascii="Calibri" w:cs="Calibri" w:eastAsia="Calibri" w:hAnsi="Calibri"/>
          <w:b/>
          <w:bCs/>
          <w:color w:val="0F766E"/>
          <w:sz w:val="22"/>
          <w:szCs w:val="22"/>
        </w:rPr>
        <w:t xml:space="preserve">Acceptance</w:t>
      </w:r>
    </w:p>
    <w:p>
      <w:pPr>
        <w:pStyle w:val="ListParagraph"/>
        <w:numPr>
          <w:ilvl w:val="0"/>
          <w:numId w:val="2"/>
        </w:numPr>
        <w:spacing w:after="80" w:line="280"/>
      </w:pPr>
      <w:r>
        <w:rPr>
          <w:rFonts w:ascii="Calibri" w:cs="Calibri" w:eastAsia="Calibri" w:hAnsi="Calibri"/>
          <w:color w:val="111827"/>
          <w:sz w:val="22"/>
          <w:szCs w:val="22"/>
        </w:rPr>
        <w:t xml:space="preserve">Send 100 test requests; receive at least 60 submissions in ≤ 48 hours in the Unigen pilot.</w:t>
      </w:r>
    </w:p>
    <w:p>
      <w:pPr>
        <w:pStyle w:val="ListParagraph"/>
        <w:numPr>
          <w:ilvl w:val="0"/>
          <w:numId w:val="2"/>
        </w:numPr>
        <w:spacing w:after="80" w:line="280"/>
      </w:pPr>
      <w:r>
        <w:rPr>
          <w:rFonts w:ascii="Calibri" w:cs="Calibri" w:eastAsia="Calibri" w:hAnsi="Calibri"/>
          <w:color w:val="111827"/>
          <w:sz w:val="22"/>
          <w:szCs w:val="22"/>
        </w:rPr>
        <w:t xml:space="preserve">Tokens expire correctly; an expired token yields a friendly error page ("Ask your buyer to resend").</w:t>
      </w:r>
    </w:p>
    <w:p>
      <w:pPr>
        <w:pStyle w:val="ListParagraph"/>
        <w:numPr>
          <w:ilvl w:val="0"/>
          <w:numId w:val="2"/>
        </w:numPr>
        <w:spacing w:after="80" w:line="280"/>
      </w:pPr>
      <w:r>
        <w:rPr>
          <w:rFonts w:ascii="Calibri" w:cs="Calibri" w:eastAsia="Calibri" w:hAnsi="Calibri"/>
          <w:color w:val="111827"/>
          <w:sz w:val="22"/>
          <w:szCs w:val="22"/>
        </w:rPr>
        <w:t xml:space="preserve">Submitted data surfaces in the buyer's E1 dashboard tagged as Scope 3 Category X with dataQuality=primary.</w:t>
      </w:r>
    </w:p>
    <w:p>
      <w:pPr>
        <w:spacing w:after="100"/>
      </w:pPr>
      <w:r>
        <w:t xml:space="preserve"/>
      </w:r>
    </w:p>
    <w:p>
      <w:pPr>
        <w:pStyle w:val="Heading2"/>
        <w:spacing w:after="140" w:before="320"/>
      </w:pPr>
      <w:r>
        <w:rPr>
          <w:rFonts w:ascii="Calibri" w:cs="Calibri" w:eastAsia="Calibri" w:hAnsi="Calibri"/>
          <w:b/>
          <w:bCs/>
          <w:color w:val="111827"/>
          <w:sz w:val="30"/>
          <w:szCs w:val="30"/>
        </w:rPr>
        <w:t xml:space="preserve">2.3 Integration: Supplier-fed PCF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00"/>
        <w:gridCol w:w="1230"/>
        <w:gridCol w:w="1230"/>
      </w:tblGrid>
      <w:tr>
        <w:tc>
          <w:tcPr>
            <w:tcW w:type="dxa" w:w="1400"/>
            <w:tcBorders>
              <w:top w:val="single" w:color="0F766E" w:sz="4"/>
              <w:left w:val="single" w:color="0F766E" w:sz="4"/>
              <w:bottom w:val="single" w:color="0F766E" w:sz="4"/>
              <w:right w:val="single" w:color="0F766E" w:sz="4"/>
            </w:tcBorders>
            <w:shd w:fill="0F766E" w:val="clear"/>
            <w:tcMar>
              <w:top w:type="dxa" w:w="140"/>
              <w:left w:type="dxa" w:w="160"/>
              <w:bottom w:type="dxa" w:w="140"/>
              <w:right w:type="dxa" w:w="160"/>
            </w:tcMar>
          </w:tcPr>
          <w:p>
            <w:pPr>
              <w:jc w:val="center"/>
            </w:pPr>
            <w:r>
              <w:rPr>
                <w:rFonts w:ascii="Calibri" w:cs="Calibri" w:eastAsia="Calibri" w:hAnsi="Calibri"/>
                <w:b/>
                <w:bCs/>
                <w:color w:val="FFFFFF"/>
                <w:sz w:val="22"/>
                <w:szCs w:val="22"/>
              </w:rPr>
              <w:t xml:space="preserve">SUP-02</w:t>
            </w:r>
          </w:p>
        </w:tc>
        <w:tc>
          <w:tcPr>
            <w:tcW w:type="dxa" w:w="5500"/>
            <w:tcBorders>
              <w:top w:val="single" w:color="0F766E" w:sz="4"/>
              <w:left w:val="single" w:color="0F766E" w:sz="4"/>
              <w:bottom w:val="single" w:color="0F766E" w:sz="4"/>
              <w:right w:val="single" w:color="0F766E" w:sz="4"/>
            </w:tcBorders>
            <w:shd w:fill="CCFBF1" w:val="clear"/>
            <w:tcMar>
              <w:top w:type="dxa" w:w="140"/>
              <w:left w:type="dxa" w:w="160"/>
              <w:bottom w:type="dxa" w:w="140"/>
              <w:right w:type="dxa" w:w="160"/>
            </w:tcMar>
          </w:tcPr>
          <w:p>
            <w:r>
              <w:rPr>
                <w:rFonts w:ascii="Calibri" w:cs="Calibri" w:eastAsia="Calibri" w:hAnsi="Calibri"/>
                <w:b/>
                <w:bCs/>
                <w:color w:val="111827"/>
                <w:sz w:val="22"/>
                <w:szCs w:val="22"/>
              </w:rPr>
              <w:t xml:space="preserve">Pipe supplier submissions into PCF calculations</w:t>
            </w:r>
          </w:p>
        </w:tc>
        <w:tc>
          <w:tcPr>
            <w:tcW w:type="dxa" w:w="1230"/>
            <w:tcBorders>
              <w:top w:val="single" w:color="0F766E" w:sz="4"/>
              <w:left w:val="single" w:color="0F766E" w:sz="4"/>
              <w:bottom w:val="single" w:color="0F766E" w:sz="4"/>
              <w:right w:val="single" w:color="0F766E" w:sz="4"/>
            </w:tcBorders>
            <w:shd w:fill="CCFBF1" w:val="clear"/>
            <w:tcMar>
              <w:top w:type="dxa" w:w="140"/>
              <w:left w:type="dxa" w:w="120"/>
              <w:bottom w:type="dxa" w:w="140"/>
              <w:right w:type="dxa" w:w="120"/>
            </w:tcMar>
          </w:tcPr>
          <w:p>
            <w:pPr>
              <w:jc w:val="center"/>
            </w:pPr>
            <w:r>
              <w:rPr>
                <w:rFonts w:ascii="Calibri" w:cs="Calibri" w:eastAsia="Calibri" w:hAnsi="Calibri"/>
                <w:b/>
                <w:bCs/>
                <w:color w:val="111827"/>
                <w:sz w:val="20"/>
                <w:szCs w:val="20"/>
              </w:rPr>
              <w:t xml:space="preserve">5 pts</w:t>
            </w:r>
          </w:p>
        </w:tc>
        <w:tc>
          <w:tcPr>
            <w:tcW w:type="dxa" w:w="1230"/>
            <w:tcBorders>
              <w:top w:val="single" w:color="0F766E" w:sz="4"/>
              <w:left w:val="single" w:color="0F766E" w:sz="4"/>
              <w:bottom w:val="single" w:color="0F766E" w:sz="4"/>
              <w:right w:val="single" w:color="0F766E" w:sz="4"/>
            </w:tcBorders>
            <w:shd w:fill="CCFBF1" w:val="clear"/>
            <w:tcMar>
              <w:top w:type="dxa" w:w="140"/>
              <w:left w:type="dxa" w:w="120"/>
              <w:bottom w:type="dxa" w:w="140"/>
              <w:right w:type="dxa" w:w="120"/>
            </w:tcMar>
          </w:tcPr>
          <w:p>
            <w:pPr>
              <w:jc w:val="center"/>
            </w:pPr>
            <w:r>
              <w:rPr>
                <w:rFonts w:ascii="Calibri" w:cs="Calibri" w:eastAsia="Calibri" w:hAnsi="Calibri"/>
                <w:b/>
                <w:bCs/>
                <w:color w:val="111827"/>
                <w:sz w:val="20"/>
                <w:szCs w:val="20"/>
              </w:rPr>
              <w:t xml:space="preserve">P1</w:t>
            </w:r>
          </w:p>
        </w:tc>
      </w:tr>
    </w:tbl>
    <w:p>
      <w:pPr>
        <w:spacing w:after="100"/>
      </w:pPr>
      <w:r>
        <w:t xml:space="preserve"/>
      </w:r>
    </w:p>
    <w:p>
      <w:pPr>
        <w:spacing w:after="80" w:before="180"/>
      </w:pPr>
      <w:r>
        <w:rPr>
          <w:rFonts w:ascii="Calibri" w:cs="Calibri" w:eastAsia="Calibri" w:hAnsi="Calibri"/>
          <w:b/>
          <w:bCs/>
          <w:color w:val="0F766E"/>
          <w:sz w:val="22"/>
          <w:szCs w:val="22"/>
        </w:rPr>
        <w:t xml:space="preserve">Scope</w:t>
      </w:r>
    </w:p>
    <w:p>
      <w:pPr>
        <w:spacing w:after="120" w:line="300"/>
      </w:pPr>
      <w:r>
        <w:rPr>
          <w:rFonts w:ascii="Calibri" w:cs="Calibri" w:eastAsia="Calibri" w:hAnsi="Calibri"/>
          <w:color w:val="111827"/>
          <w:sz w:val="22"/>
          <w:szCs w:val="22"/>
        </w:rPr>
        <w:t xml:space="preserve">When a supplier submits a component-level PCF through the portal, automatically match it to the buyer's Product BOMs and offer a one-click "Use supplier's primary PCF instead of industry average" action.</w:t>
      </w:r>
    </w:p>
    <w:p>
      <w:pPr>
        <w:spacing w:after="80" w:before="180"/>
      </w:pPr>
      <w:r>
        <w:rPr>
          <w:rFonts w:ascii="Calibri" w:cs="Calibri" w:eastAsia="Calibri" w:hAnsi="Calibri"/>
          <w:b/>
          <w:bCs/>
          <w:color w:val="0F766E"/>
          <w:sz w:val="22"/>
          <w:szCs w:val="22"/>
        </w:rPr>
        <w:t xml:space="preserve">Backend</w:t>
      </w:r>
    </w:p>
    <w:p>
      <w:pPr>
        <w:pStyle w:val="ListParagraph"/>
        <w:numPr>
          <w:ilvl w:val="0"/>
          <w:numId w:val="2"/>
        </w:numPr>
        <w:spacing w:after="80" w:line="280"/>
      </w:pPr>
      <w:r>
        <w:rPr>
          <w:rFonts w:ascii="Calibri" w:cs="Calibri" w:eastAsia="Calibri" w:hAnsi="Calibri"/>
          <w:color w:val="111827"/>
          <w:sz w:val="22"/>
          <w:szCs w:val="22"/>
        </w:rPr>
        <w:t xml:space="preserve">Matching heuristic: fuzzy-match supplier.name × component.supplierName, then material-class alignment, then part number if present.</w:t>
      </w:r>
    </w:p>
    <w:p>
      <w:pPr>
        <w:pStyle w:val="ListParagraph"/>
        <w:numPr>
          <w:ilvl w:val="0"/>
          <w:numId w:val="2"/>
        </w:numPr>
        <w:spacing w:after="80" w:line="280"/>
      </w:pPr>
      <w:r>
        <w:rPr>
          <w:rFonts w:ascii="Calibri" w:cs="Calibri" w:eastAsia="Calibri" w:hAnsi="Calibri"/>
          <w:color w:val="111827"/>
          <w:sz w:val="22"/>
          <w:szCs w:val="22"/>
        </w:rPr>
        <w:t xml:space="preserve">On match: create an EmissionFactor row with source=supplier_primary and the supplier's submitted value, link it to the component; flip component.primaryDataFlag = true.</w:t>
      </w:r>
    </w:p>
    <w:p>
      <w:pPr>
        <w:pStyle w:val="ListParagraph"/>
        <w:numPr>
          <w:ilvl w:val="0"/>
          <w:numId w:val="2"/>
        </w:numPr>
        <w:spacing w:after="80" w:line="280"/>
      </w:pPr>
      <w:r>
        <w:rPr>
          <w:rFonts w:ascii="Calibri" w:cs="Calibri" w:eastAsia="Calibri" w:hAnsi="Calibri"/>
          <w:color w:val="111827"/>
          <w:sz w:val="22"/>
          <w:szCs w:val="22"/>
        </w:rPr>
        <w:t xml:space="preserve">Recompute every affected PcfCalculation with status=draft (never silently overwrite a final calculation — queue a "new data available" notification instead).</w:t>
      </w:r>
    </w:p>
    <w:p>
      <w:pPr>
        <w:spacing w:after="80" w:before="180"/>
      </w:pPr>
      <w:r>
        <w:rPr>
          <w:rFonts w:ascii="Calibri" w:cs="Calibri" w:eastAsia="Calibri" w:hAnsi="Calibri"/>
          <w:b/>
          <w:bCs/>
          <w:color w:val="0F766E"/>
          <w:sz w:val="22"/>
          <w:szCs w:val="22"/>
        </w:rPr>
        <w:t xml:space="preserve">Frontend</w:t>
      </w:r>
    </w:p>
    <w:p>
      <w:pPr>
        <w:pStyle w:val="ListParagraph"/>
        <w:numPr>
          <w:ilvl w:val="0"/>
          <w:numId w:val="2"/>
        </w:numPr>
        <w:spacing w:after="80" w:line="280"/>
      </w:pPr>
      <w:r>
        <w:rPr>
          <w:rFonts w:ascii="Calibri" w:cs="Calibri" w:eastAsia="Calibri" w:hAnsi="Calibri"/>
          <w:color w:val="111827"/>
          <w:sz w:val="22"/>
          <w:szCs w:val="22"/>
        </w:rPr>
        <w:t xml:space="preserve">New notification banner on the ProductDetail page: "Supplier X submitted a primary-data PCF for component Y. Apply?" → accept / dismiss / view.</w:t>
      </w:r>
    </w:p>
    <w:p>
      <w:pPr>
        <w:pStyle w:val="ListParagraph"/>
        <w:numPr>
          <w:ilvl w:val="0"/>
          <w:numId w:val="2"/>
        </w:numPr>
        <w:spacing w:after="80" w:line="280"/>
      </w:pPr>
      <w:r>
        <w:rPr>
          <w:rFonts w:ascii="Calibri" w:cs="Calibri" w:eastAsia="Calibri" w:hAnsi="Calibri"/>
          <w:color w:val="111827"/>
          <w:sz w:val="22"/>
          <w:szCs w:val="22"/>
        </w:rPr>
        <w:t xml:space="preserve">The moment the user accepts, the primary-data-% KPI visibly climbs. Small confetti animation — this is genuinely earned.</w:t>
      </w:r>
    </w:p>
    <w:p>
      <w:r>
        <w:br w:type="page"/>
      </w:r>
    </w:p>
    <w:p>
      <w:pPr>
        <w:pStyle w:val="Heading1"/>
        <w:spacing w:after="180" w:before="360"/>
      </w:pPr>
      <w:r>
        <w:rPr>
          <w:rFonts w:ascii="Calibri" w:cs="Calibri" w:eastAsia="Calibri" w:hAnsi="Calibri"/>
          <w:b/>
          <w:bCs/>
          <w:color w:val="0F766E"/>
          <w:sz w:val="40"/>
          <w:szCs w:val="40"/>
        </w:rPr>
        <w:t xml:space="preserve">3. Q1 2027  ·  Real Estate + Financial Services Sector Packs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4"/>
              <w:left w:val="single" w:color="0F766E" w:sz="24"/>
              <w:bottom w:val="single" w:color="0F766E" w:sz="4"/>
              <w:right w:val="single" w:color="0F766E" w:sz="4"/>
            </w:tcBorders>
            <w:shd w:fill="F0FDFA" w:val="clear"/>
            <w:tcMar>
              <w:top w:type="dxa" w:w="160"/>
              <w:left w:type="dxa" w:w="220"/>
              <w:bottom w:type="dxa" w:w="160"/>
              <w:right w:type="dxa" w:w="180"/>
            </w:tcMar>
          </w:tcPr>
          <w:p>
            <w:pPr>
              <w:spacing w:after="60"/>
            </w:pPr>
            <w:r>
              <w:rPr>
                <w:rFonts w:ascii="Calibri" w:cs="Calibri" w:eastAsia="Calibri" w:hAnsi="Calibri"/>
                <w:b/>
                <w:bCs/>
                <w:color w:val="0F766E"/>
                <w:sz w:val="22"/>
                <w:szCs w:val="22"/>
              </w:rPr>
              <w:t xml:space="preserve">What unlocks at this point</w:t>
            </w:r>
          </w:p>
          <w:p>
            <w:pPr>
              <w:spacing w:after="0" w:line="280"/>
            </w:pPr>
            <w:r>
              <w:rPr>
                <w:rFonts w:ascii="Calibri" w:cs="Calibri" w:eastAsia="Calibri" w:hAnsi="Calibri"/>
                <w:color w:val="111827"/>
                <w:sz w:val="22"/>
                <w:szCs w:val="22"/>
              </w:rPr>
              <w:t xml:space="preserve">With two more sector packs live, Triple I becomes credible in the two largest enterprise ESG spend categories on earth: Real Estate (GRESB runs a $7 trillion benchmark; every institutional REIT participates) and Financial Services (PCAF has 550+ signatories; SFDR applies to every EU-marketed fund). This is the point at which enterprise sales conversations move to Enterprise-tier pricing.</w:t>
            </w:r>
          </w:p>
        </w:tc>
      </w:tr>
    </w:tbl>
    <w:p>
      <w:pPr>
        <w:pStyle w:val="Heading2"/>
        <w:spacing w:after="140" w:before="320"/>
      </w:pPr>
      <w:r>
        <w:rPr>
          <w:rFonts w:ascii="Calibri" w:cs="Calibri" w:eastAsia="Calibri" w:hAnsi="Calibri"/>
          <w:b/>
          <w:bCs/>
          <w:color w:val="111827"/>
          <w:sz w:val="30"/>
          <w:szCs w:val="30"/>
        </w:rPr>
        <w:t xml:space="preserve">3.1 Real Estate Sector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00"/>
        <w:gridCol w:w="1230"/>
        <w:gridCol w:w="1230"/>
      </w:tblGrid>
      <w:tr>
        <w:tc>
          <w:tcPr>
            <w:tcW w:type="dxa" w:w="1400"/>
            <w:tcBorders>
              <w:top w:val="single" w:color="0F766E" w:sz="4"/>
              <w:left w:val="single" w:color="0F766E" w:sz="4"/>
              <w:bottom w:val="single" w:color="0F766E" w:sz="4"/>
              <w:right w:val="single" w:color="0F766E" w:sz="4"/>
            </w:tcBorders>
            <w:shd w:fill="0F766E" w:val="clear"/>
            <w:tcMar>
              <w:top w:type="dxa" w:w="140"/>
              <w:left w:type="dxa" w:w="160"/>
              <w:bottom w:type="dxa" w:w="140"/>
              <w:right w:type="dxa" w:w="160"/>
            </w:tcMar>
          </w:tcPr>
          <w:p>
            <w:pPr>
              <w:jc w:val="center"/>
            </w:pPr>
            <w:r>
              <w:rPr>
                <w:rFonts w:ascii="Calibri" w:cs="Calibri" w:eastAsia="Calibri" w:hAnsi="Calibri"/>
                <w:b/>
                <w:bCs/>
                <w:color w:val="FFFFFF"/>
                <w:sz w:val="22"/>
                <w:szCs w:val="22"/>
              </w:rPr>
              <w:t xml:space="preserve">RE-01</w:t>
            </w:r>
          </w:p>
        </w:tc>
        <w:tc>
          <w:tcPr>
            <w:tcW w:type="dxa" w:w="5500"/>
            <w:tcBorders>
              <w:top w:val="single" w:color="0F766E" w:sz="4"/>
              <w:left w:val="single" w:color="0F766E" w:sz="4"/>
              <w:bottom w:val="single" w:color="0F766E" w:sz="4"/>
              <w:right w:val="single" w:color="0F766E" w:sz="4"/>
            </w:tcBorders>
            <w:shd w:fill="CCFBF1" w:val="clear"/>
            <w:tcMar>
              <w:top w:type="dxa" w:w="140"/>
              <w:left w:type="dxa" w:w="160"/>
              <w:bottom w:type="dxa" w:w="140"/>
              <w:right w:type="dxa" w:w="160"/>
            </w:tcMar>
          </w:tcPr>
          <w:p>
            <w:r>
              <w:rPr>
                <w:rFonts w:ascii="Calibri" w:cs="Calibri" w:eastAsia="Calibri" w:hAnsi="Calibri"/>
                <w:b/>
                <w:bCs/>
                <w:color w:val="111827"/>
                <w:sz w:val="22"/>
                <w:szCs w:val="22"/>
              </w:rPr>
              <w:t xml:space="preserve">Asset-level data model</w:t>
            </w:r>
          </w:p>
        </w:tc>
        <w:tc>
          <w:tcPr>
            <w:tcW w:type="dxa" w:w="1230"/>
            <w:tcBorders>
              <w:top w:val="single" w:color="0F766E" w:sz="4"/>
              <w:left w:val="single" w:color="0F766E" w:sz="4"/>
              <w:bottom w:val="single" w:color="0F766E" w:sz="4"/>
              <w:right w:val="single" w:color="0F766E" w:sz="4"/>
            </w:tcBorders>
            <w:shd w:fill="CCFBF1" w:val="clear"/>
            <w:tcMar>
              <w:top w:type="dxa" w:w="140"/>
              <w:left w:type="dxa" w:w="120"/>
              <w:bottom w:type="dxa" w:w="140"/>
              <w:right w:type="dxa" w:w="120"/>
            </w:tcMar>
          </w:tcPr>
          <w:p>
            <w:pPr>
              <w:jc w:val="center"/>
            </w:pPr>
            <w:r>
              <w:rPr>
                <w:rFonts w:ascii="Calibri" w:cs="Calibri" w:eastAsia="Calibri" w:hAnsi="Calibri"/>
                <w:b/>
                <w:bCs/>
                <w:color w:val="111827"/>
                <w:sz w:val="20"/>
                <w:szCs w:val="20"/>
              </w:rPr>
              <w:t xml:space="preserve">8 pts</w:t>
            </w:r>
          </w:p>
        </w:tc>
        <w:tc>
          <w:tcPr>
            <w:tcW w:type="dxa" w:w="1230"/>
            <w:tcBorders>
              <w:top w:val="single" w:color="0F766E" w:sz="4"/>
              <w:left w:val="single" w:color="0F766E" w:sz="4"/>
              <w:bottom w:val="single" w:color="0F766E" w:sz="4"/>
              <w:right w:val="single" w:color="0F766E" w:sz="4"/>
            </w:tcBorders>
            <w:shd w:fill="CCFBF1" w:val="clear"/>
            <w:tcMar>
              <w:top w:type="dxa" w:w="140"/>
              <w:left w:type="dxa" w:w="120"/>
              <w:bottom w:type="dxa" w:w="140"/>
              <w:right w:type="dxa" w:w="120"/>
            </w:tcMar>
          </w:tcPr>
          <w:p>
            <w:pPr>
              <w:jc w:val="center"/>
            </w:pPr>
            <w:r>
              <w:rPr>
                <w:rFonts w:ascii="Calibri" w:cs="Calibri" w:eastAsia="Calibri" w:hAnsi="Calibri"/>
                <w:b/>
                <w:bCs/>
                <w:color w:val="111827"/>
                <w:sz w:val="20"/>
                <w:szCs w:val="20"/>
              </w:rPr>
              <w:t xml:space="preserve">P0</w:t>
            </w:r>
          </w:p>
        </w:tc>
      </w:tr>
    </w:tbl>
    <w:p>
      <w:pPr>
        <w:spacing w:after="100"/>
      </w:pPr>
      <w:r>
        <w:t xml:space="preserve"/>
      </w:r>
    </w:p>
    <w:p>
      <w:pPr>
        <w:spacing w:after="80" w:before="180"/>
      </w:pPr>
      <w:r>
        <w:rPr>
          <w:rFonts w:ascii="Calibri" w:cs="Calibri" w:eastAsia="Calibri" w:hAnsi="Calibri"/>
          <w:b/>
          <w:bCs/>
          <w:color w:val="0F766E"/>
          <w:sz w:val="22"/>
          <w:szCs w:val="22"/>
        </w:rPr>
        <w:t xml:space="preserve">Scope</w:t>
      </w:r>
    </w:p>
    <w:p>
      <w:pPr>
        <w:spacing w:after="120" w:line="300"/>
      </w:pPr>
      <w:r>
        <w:rPr>
          <w:rFonts w:ascii="Calibri" w:cs="Calibri" w:eastAsia="Calibri" w:hAnsi="Calibri"/>
          <w:color w:val="111827"/>
          <w:sz w:val="22"/>
          <w:szCs w:val="22"/>
        </w:rPr>
        <w:t xml:space="preserve">Real estate needs asset-level granularity — each building is a reporting unit. The existing OrgUnit model almost fits, but assets carry properties OrgUnits don't (floor area, asset class, tenure, certifications, year built, acquisition date).</w:t>
      </w:r>
    </w:p>
    <w:p>
      <w:pPr>
        <w:spacing w:after="80" w:before="180"/>
      </w:pPr>
      <w:r>
        <w:rPr>
          <w:rFonts w:ascii="Calibri" w:cs="Calibri" w:eastAsia="Calibri" w:hAnsi="Calibri"/>
          <w:b/>
          <w:bCs/>
          <w:color w:val="0F766E"/>
          <w:sz w:val="22"/>
          <w:szCs w:val="22"/>
        </w:rPr>
        <w:t xml:space="preserve">Prisma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0" w:line="260"/>
            </w:pPr>
            <w:r>
              <w:rPr>
                <w:rFonts w:ascii="Consolas" w:cs="Consolas" w:eastAsia="Consolas" w:hAnsi="Consolas"/>
                <w:color w:val="111827"/>
                <w:sz w:val="18"/>
                <w:szCs w:val="18"/>
              </w:rPr>
              <w:t xml:space="preserve">model RealEstateAsset {</w:t>
            </w:r>
          </w:p>
          <w:p>
            <w:pPr>
              <w:spacing w:after="0" w:line="260"/>
            </w:pPr>
            <w:r>
              <w:rPr>
                <w:rFonts w:ascii="Consolas" w:cs="Consolas" w:eastAsia="Consolas" w:hAnsi="Consolas"/>
                <w:color w:val="111827"/>
                <w:sz w:val="18"/>
                <w:szCs w:val="18"/>
              </w:rPr>
              <w:t xml:space="preserve">  id               String   @id @default(uuid())</w:t>
            </w:r>
          </w:p>
          <w:p>
            <w:pPr>
              <w:spacing w:after="0" w:line="260"/>
            </w:pPr>
            <w:r>
              <w:rPr>
                <w:rFonts w:ascii="Consolas" w:cs="Consolas" w:eastAsia="Consolas" w:hAnsi="Consolas"/>
                <w:color w:val="111827"/>
                <w:sz w:val="18"/>
                <w:szCs w:val="18"/>
              </w:rPr>
              <w:t xml:space="preserve">  companyId        String</w:t>
            </w:r>
          </w:p>
          <w:p>
            <w:pPr>
              <w:spacing w:after="0" w:line="260"/>
            </w:pPr>
            <w:r>
              <w:rPr>
                <w:rFonts w:ascii="Consolas" w:cs="Consolas" w:eastAsia="Consolas" w:hAnsi="Consolas"/>
                <w:color w:val="111827"/>
                <w:sz w:val="18"/>
                <w:szCs w:val="18"/>
              </w:rPr>
              <w:t xml:space="preserve">  company          Company  @relation(fields: [companyId], references: [id], onDelete: Cascade)</w:t>
            </w:r>
          </w:p>
          <w:p>
            <w:pPr>
              <w:spacing w:after="0" w:line="260"/>
            </w:pPr>
            <w:r>
              <w:rPr>
                <w:rFonts w:ascii="Consolas" w:cs="Consolas" w:eastAsia="Consolas" w:hAnsi="Consolas"/>
                <w:color w:val="111827"/>
                <w:sz w:val="18"/>
                <w:szCs w:val="18"/>
              </w:rPr>
              <w:t xml:space="preserve">  orgUnitId        String?</w:t>
            </w:r>
          </w:p>
          <w:p>
            <w:pPr>
              <w:spacing w:after="0" w:line="260"/>
            </w:pPr>
            <w:r>
              <w:rPr>
                <w:rFonts w:ascii="Consolas" w:cs="Consolas" w:eastAsia="Consolas" w:hAnsi="Consolas"/>
                <w:color w:val="111827"/>
                <w:sz w:val="18"/>
                <w:szCs w:val="18"/>
              </w:rPr>
              <w:t xml:space="preserve">  orgUnit          OrgUnit? @relation(fields: [orgUnitId], references: [id])</w:t>
            </w:r>
          </w:p>
          <w:p>
            <w:pPr>
              <w:spacing w:after="0" w:line="260"/>
            </w:pPr>
            <w:r>
              <w:rPr>
                <w:rFonts w:ascii="Consolas" w:cs="Consolas" w:eastAsia="Consolas" w:hAnsi="Consolas"/>
                <w:color w:val="111827"/>
                <w:sz w:val="18"/>
                <w:szCs w:val="18"/>
              </w:rPr>
              <w:t xml:space="preserve">  name             String</w:t>
            </w:r>
          </w:p>
          <w:p>
            <w:pPr>
              <w:spacing w:after="0" w:line="260"/>
            </w:pPr>
            <w:r>
              <w:rPr>
                <w:rFonts w:ascii="Consolas" w:cs="Consolas" w:eastAsia="Consolas" w:hAnsi="Consolas"/>
                <w:color w:val="111827"/>
                <w:sz w:val="18"/>
                <w:szCs w:val="18"/>
              </w:rPr>
              <w:t xml:space="preserve">  assetClass       String   // office | retail | residential | industrial | logistics | hotel | mixed</w:t>
            </w:r>
          </w:p>
          <w:p>
            <w:pPr>
              <w:spacing w:after="0" w:line="260"/>
            </w:pPr>
            <w:r>
              <w:rPr>
                <w:rFonts w:ascii="Consolas" w:cs="Consolas" w:eastAsia="Consolas" w:hAnsi="Consolas"/>
                <w:color w:val="111827"/>
                <w:sz w:val="18"/>
                <w:szCs w:val="18"/>
              </w:rPr>
              <w:t xml:space="preserve">  tenure           String   // owned | leased</w:t>
            </w:r>
          </w:p>
          <w:p>
            <w:pPr>
              <w:spacing w:after="0" w:line="260"/>
            </w:pPr>
            <w:r>
              <w:rPr>
                <w:rFonts w:ascii="Consolas" w:cs="Consolas" w:eastAsia="Consolas" w:hAnsi="Consolas"/>
                <w:color w:val="111827"/>
                <w:sz w:val="18"/>
                <w:szCs w:val="18"/>
              </w:rPr>
              <w:t xml:space="preserve">  grossFloorAreaM2 Float</w:t>
            </w:r>
          </w:p>
          <w:p>
            <w:pPr>
              <w:spacing w:after="0" w:line="260"/>
            </w:pPr>
            <w:r>
              <w:rPr>
                <w:rFonts w:ascii="Consolas" w:cs="Consolas" w:eastAsia="Consolas" w:hAnsi="Consolas"/>
                <w:color w:val="111827"/>
                <w:sz w:val="18"/>
                <w:szCs w:val="18"/>
              </w:rPr>
              <w:t xml:space="preserve">  netLeasableM2    Float?</w:t>
            </w:r>
          </w:p>
          <w:p>
            <w:pPr>
              <w:spacing w:after="0" w:line="260"/>
            </w:pPr>
            <w:r>
              <w:rPr>
                <w:rFonts w:ascii="Consolas" w:cs="Consolas" w:eastAsia="Consolas" w:hAnsi="Consolas"/>
                <w:color w:val="111827"/>
                <w:sz w:val="18"/>
                <w:szCs w:val="18"/>
              </w:rPr>
              <w:t xml:space="preserve">  yearBuilt        Int?</w:t>
            </w:r>
          </w:p>
          <w:p>
            <w:pPr>
              <w:spacing w:after="0" w:line="260"/>
            </w:pPr>
            <w:r>
              <w:rPr>
                <w:rFonts w:ascii="Consolas" w:cs="Consolas" w:eastAsia="Consolas" w:hAnsi="Consolas"/>
                <w:color w:val="111827"/>
                <w:sz w:val="18"/>
                <w:szCs w:val="18"/>
              </w:rPr>
              <w:t xml:space="preserve">  yearAcquired     Int?</w:t>
            </w:r>
          </w:p>
          <w:p>
            <w:pPr>
              <w:spacing w:after="0" w:line="260"/>
            </w:pPr>
            <w:r>
              <w:rPr>
                <w:rFonts w:ascii="Consolas" w:cs="Consolas" w:eastAsia="Consolas" w:hAnsi="Consolas"/>
                <w:color w:val="111827"/>
                <w:sz w:val="18"/>
                <w:szCs w:val="18"/>
              </w:rPr>
              <w:t xml:space="preserve">  country          String</w:t>
            </w:r>
          </w:p>
          <w:p>
            <w:pPr>
              <w:spacing w:after="0" w:line="260"/>
            </w:pPr>
            <w:r>
              <w:rPr>
                <w:rFonts w:ascii="Consolas" w:cs="Consolas" w:eastAsia="Consolas" w:hAnsi="Consolas"/>
                <w:color w:val="111827"/>
                <w:sz w:val="18"/>
                <w:szCs w:val="18"/>
              </w:rPr>
              <w:t xml:space="preserve">  city             String</w:t>
            </w:r>
          </w:p>
          <w:p>
            <w:pPr>
              <w:spacing w:after="0" w:line="260"/>
            </w:pPr>
            <w:r>
              <w:rPr>
                <w:rFonts w:ascii="Consolas" w:cs="Consolas" w:eastAsia="Consolas" w:hAnsi="Consolas"/>
                <w:color w:val="111827"/>
                <w:sz w:val="18"/>
                <w:szCs w:val="18"/>
              </w:rPr>
              <w:t xml:space="preserve">  latitude         Float?</w:t>
            </w:r>
          </w:p>
          <w:p>
            <w:pPr>
              <w:spacing w:after="0" w:line="260"/>
            </w:pPr>
            <w:r>
              <w:rPr>
                <w:rFonts w:ascii="Consolas" w:cs="Consolas" w:eastAsia="Consolas" w:hAnsi="Consolas"/>
                <w:color w:val="111827"/>
                <w:sz w:val="18"/>
                <w:szCs w:val="18"/>
              </w:rPr>
              <w:t xml:space="preserve">  longitude        Float?</w:t>
            </w:r>
          </w:p>
          <w:p>
            <w:pPr>
              <w:spacing w:after="0" w:line="260"/>
            </w:pPr>
            <w:r>
              <w:rPr>
                <w:rFonts w:ascii="Consolas" w:cs="Consolas" w:eastAsia="Consolas" w:hAnsi="Consolas"/>
                <w:color w:val="111827"/>
                <w:sz w:val="18"/>
                <w:szCs w:val="18"/>
              </w:rPr>
              <w:t xml:space="preserve">  certifications   Json?    // [{ scheme: "LEED", level: "Gold", year: 2021 }]</w:t>
            </w:r>
          </w:p>
          <w:p>
            <w:pPr>
              <w:spacing w:after="0" w:line="260"/>
            </w:pPr>
            <w:r>
              <w:rPr>
                <w:rFonts w:ascii="Consolas" w:cs="Consolas" w:eastAsia="Consolas" w:hAnsi="Consolas"/>
                <w:color w:val="111827"/>
                <w:sz w:val="18"/>
                <w:szCs w:val="18"/>
              </w:rPr>
              <w:t xml:space="preserve">  tenantCount      Int?</w:t>
            </w:r>
          </w:p>
          <w:p>
            <w:pPr>
              <w:spacing w:after="0" w:line="260"/>
            </w:pPr>
            <w:r>
              <w:rPr>
                <w:rFonts w:ascii="Consolas" w:cs="Consolas" w:eastAsia="Consolas" w:hAnsi="Consolas"/>
                <w:color w:val="111827"/>
                <w:sz w:val="18"/>
                <w:szCs w:val="18"/>
              </w:rPr>
              <w:t xml:space="preserve">  occupancyPct     Float?</w:t>
            </w:r>
          </w:p>
          <w:p>
            <w:pPr>
              <w:spacing w:after="0" w:line="260"/>
            </w:pPr>
            <w:r>
              <w:rPr>
                <w:rFonts w:ascii="Consolas" w:cs="Consolas" w:eastAsia="Consolas" w:hAnsi="Consolas"/>
                <w:color w:val="111827"/>
                <w:sz w:val="18"/>
                <w:szCs w:val="18"/>
              </w:rPr>
              <w:t xml:space="preserve">  createdAt        DateTime @default(now())</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energyRecords    AssetEnergyRecord[]</w:t>
            </w:r>
          </w:p>
          <w:p>
            <w:pPr>
              <w:spacing w:after="0" w:line="260"/>
            </w:pPr>
            <w:r>
              <w:rPr>
                <w:rFonts w:ascii="Consolas" w:cs="Consolas" w:eastAsia="Consolas" w:hAnsi="Consolas"/>
                <w:color w:val="111827"/>
                <w:sz w:val="18"/>
                <w:szCs w:val="18"/>
              </w:rPr>
              <w:t xml:space="preserve">  emissionRecords  AssetEmissionRecord[]</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model AssetEnergyRecord {</w:t>
            </w:r>
          </w:p>
          <w:p>
            <w:pPr>
              <w:spacing w:after="0" w:line="260"/>
            </w:pPr>
            <w:r>
              <w:rPr>
                <w:rFonts w:ascii="Consolas" w:cs="Consolas" w:eastAsia="Consolas" w:hAnsi="Consolas"/>
                <w:color w:val="111827"/>
                <w:sz w:val="18"/>
                <w:szCs w:val="18"/>
              </w:rPr>
              <w:t xml:space="preserve">  id         String   @id @default(uuid())</w:t>
            </w:r>
          </w:p>
          <w:p>
            <w:pPr>
              <w:spacing w:after="0" w:line="260"/>
            </w:pPr>
            <w:r>
              <w:rPr>
                <w:rFonts w:ascii="Consolas" w:cs="Consolas" w:eastAsia="Consolas" w:hAnsi="Consolas"/>
                <w:color w:val="111827"/>
                <w:sz w:val="18"/>
                <w:szCs w:val="18"/>
              </w:rPr>
              <w:t xml:space="preserve">  assetId    String</w:t>
            </w:r>
          </w:p>
          <w:p>
            <w:pPr>
              <w:spacing w:after="0" w:line="260"/>
            </w:pPr>
            <w:r>
              <w:rPr>
                <w:rFonts w:ascii="Consolas" w:cs="Consolas" w:eastAsia="Consolas" w:hAnsi="Consolas"/>
                <w:color w:val="111827"/>
                <w:sz w:val="18"/>
                <w:szCs w:val="18"/>
              </w:rPr>
              <w:t xml:space="preserve">  asset      RealEstateAsset @relation(fields: [assetId], references: [id], onDelete: Cascade)</w:t>
            </w:r>
          </w:p>
          <w:p>
            <w:pPr>
              <w:spacing w:after="0" w:line="260"/>
            </w:pPr>
            <w:r>
              <w:rPr>
                <w:rFonts w:ascii="Consolas" w:cs="Consolas" w:eastAsia="Consolas" w:hAnsi="Consolas"/>
                <w:color w:val="111827"/>
                <w:sz w:val="18"/>
                <w:szCs w:val="18"/>
              </w:rPr>
              <w:t xml:space="preserve">  year       Int</w:t>
            </w:r>
          </w:p>
          <w:p>
            <w:pPr>
              <w:spacing w:after="0" w:line="260"/>
            </w:pPr>
            <w:r>
              <w:rPr>
                <w:rFonts w:ascii="Consolas" w:cs="Consolas" w:eastAsia="Consolas" w:hAnsi="Consolas"/>
                <w:color w:val="111827"/>
                <w:sz w:val="18"/>
                <w:szCs w:val="18"/>
              </w:rPr>
              <w:t xml:space="preserve">  month      Int?</w:t>
            </w:r>
          </w:p>
          <w:p>
            <w:pPr>
              <w:spacing w:after="0" w:line="260"/>
            </w:pPr>
            <w:r>
              <w:rPr>
                <w:rFonts w:ascii="Consolas" w:cs="Consolas" w:eastAsia="Consolas" w:hAnsi="Consolas"/>
                <w:color w:val="111827"/>
                <w:sz w:val="18"/>
                <w:szCs w:val="18"/>
              </w:rPr>
              <w:t xml:space="preserve">  fuel       String   // electricity | natural_gas | district_heat | district_cool | oil</w:t>
            </w:r>
          </w:p>
          <w:p>
            <w:pPr>
              <w:spacing w:after="0" w:line="260"/>
            </w:pPr>
            <w:r>
              <w:rPr>
                <w:rFonts w:ascii="Consolas" w:cs="Consolas" w:eastAsia="Consolas" w:hAnsi="Consolas"/>
                <w:color w:val="111827"/>
                <w:sz w:val="18"/>
                <w:szCs w:val="18"/>
              </w:rPr>
              <w:t xml:space="preserve">  quantity   Float</w:t>
            </w:r>
          </w:p>
          <w:p>
            <w:pPr>
              <w:spacing w:after="0" w:line="260"/>
            </w:pPr>
            <w:r>
              <w:rPr>
                <w:rFonts w:ascii="Consolas" w:cs="Consolas" w:eastAsia="Consolas" w:hAnsi="Consolas"/>
                <w:color w:val="111827"/>
                <w:sz w:val="18"/>
                <w:szCs w:val="18"/>
              </w:rPr>
              <w:t xml:space="preserve">  unit       String</w:t>
            </w:r>
          </w:p>
          <w:p>
            <w:pPr>
              <w:spacing w:after="0" w:line="260"/>
            </w:pPr>
            <w:r>
              <w:rPr>
                <w:rFonts w:ascii="Consolas" w:cs="Consolas" w:eastAsia="Consolas" w:hAnsi="Consolas"/>
                <w:color w:val="111827"/>
                <w:sz w:val="18"/>
                <w:szCs w:val="18"/>
              </w:rPr>
              <w:t xml:space="preserve">  cost       Float?</w:t>
            </w:r>
          </w:p>
          <w:p>
            <w:pPr>
              <w:spacing w:after="0" w:line="260"/>
            </w:pPr>
            <w:r>
              <w:rPr>
                <w:rFonts w:ascii="Consolas" w:cs="Consolas" w:eastAsia="Consolas" w:hAnsi="Consolas"/>
                <w:color w:val="111827"/>
                <w:sz w:val="18"/>
                <w:szCs w:val="18"/>
              </w:rPr>
              <w:t xml:space="preserve">  currency   String?</w:t>
            </w:r>
          </w:p>
          <w:p>
            <w:pPr>
              <w:spacing w:after="0" w:line="260"/>
            </w:pPr>
            <w:r>
              <w:rPr>
                <w:rFonts w:ascii="Consolas" w:cs="Consolas" w:eastAsia="Consolas" w:hAnsi="Consolas"/>
                <w:color w:val="111827"/>
                <w:sz w:val="18"/>
                <w:szCs w:val="18"/>
              </w:rPr>
              <w:t xml:space="preserve">  sourceDoc  String?</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model AssetCrremPathway {</w:t>
            </w:r>
          </w:p>
          <w:p>
            <w:pPr>
              <w:spacing w:after="0" w:line="260"/>
            </w:pPr>
            <w:r>
              <w:rPr>
                <w:rFonts w:ascii="Consolas" w:cs="Consolas" w:eastAsia="Consolas" w:hAnsi="Consolas"/>
                <w:color w:val="111827"/>
                <w:sz w:val="18"/>
                <w:szCs w:val="18"/>
              </w:rPr>
              <w:t xml:space="preserve">  id                 String   @id @default(uuid())</w:t>
            </w:r>
          </w:p>
          <w:p>
            <w:pPr>
              <w:spacing w:after="0" w:line="260"/>
            </w:pPr>
            <w:r>
              <w:rPr>
                <w:rFonts w:ascii="Consolas" w:cs="Consolas" w:eastAsia="Consolas" w:hAnsi="Consolas"/>
                <w:color w:val="111827"/>
                <w:sz w:val="18"/>
                <w:szCs w:val="18"/>
              </w:rPr>
              <w:t xml:space="preserve">  assetId            String</w:t>
            </w:r>
          </w:p>
          <w:p>
            <w:pPr>
              <w:spacing w:after="0" w:line="260"/>
            </w:pPr>
            <w:r>
              <w:rPr>
                <w:rFonts w:ascii="Consolas" w:cs="Consolas" w:eastAsia="Consolas" w:hAnsi="Consolas"/>
                <w:color w:val="111827"/>
                <w:sz w:val="18"/>
                <w:szCs w:val="18"/>
              </w:rPr>
              <w:t xml:space="preserve">  asset              RealEstateAsset @relation(fields: [assetId], references: [id], onDelete: Cascade)</w:t>
            </w:r>
          </w:p>
          <w:p>
            <w:pPr>
              <w:spacing w:after="0" w:line="260"/>
            </w:pPr>
            <w:r>
              <w:rPr>
                <w:rFonts w:ascii="Consolas" w:cs="Consolas" w:eastAsia="Consolas" w:hAnsi="Consolas"/>
                <w:color w:val="111827"/>
                <w:sz w:val="18"/>
                <w:szCs w:val="18"/>
              </w:rPr>
              <w:t xml:space="preserve">  pathway            String   // 1.5C | 2.0C</w:t>
            </w:r>
          </w:p>
          <w:p>
            <w:pPr>
              <w:spacing w:after="0" w:line="260"/>
            </w:pPr>
            <w:r>
              <w:rPr>
                <w:rFonts w:ascii="Consolas" w:cs="Consolas" w:eastAsia="Consolas" w:hAnsi="Consolas"/>
                <w:color w:val="111827"/>
                <w:sz w:val="18"/>
                <w:szCs w:val="18"/>
              </w:rPr>
              <w:t xml:space="preserve">  strandedFromYear   Int?</w:t>
            </w:r>
          </w:p>
          <w:p>
            <w:pPr>
              <w:spacing w:after="0" w:line="260"/>
            </w:pPr>
            <w:r>
              <w:rPr>
                <w:rFonts w:ascii="Consolas" w:cs="Consolas" w:eastAsia="Consolas" w:hAnsi="Consolas"/>
                <w:color w:val="111827"/>
                <w:sz w:val="18"/>
                <w:szCs w:val="18"/>
              </w:rPr>
              <w:t xml:space="preserve">  currentKgCo2ePerM2 Float</w:t>
            </w:r>
          </w:p>
          <w:p>
            <w:pPr>
              <w:spacing w:after="0" w:line="260"/>
            </w:pPr>
            <w:r>
              <w:rPr>
                <w:rFonts w:ascii="Consolas" w:cs="Consolas" w:eastAsia="Consolas" w:hAnsi="Consolas"/>
                <w:color w:val="111827"/>
                <w:sz w:val="18"/>
                <w:szCs w:val="18"/>
              </w:rPr>
              <w:t xml:space="preserve">  updatedAt          DateTime @updatedAt</w:t>
            </w:r>
          </w:p>
          <w:p>
            <w:pPr>
              <w:spacing w:after="0" w:line="260"/>
            </w:pPr>
            <w:r>
              <w:rPr>
                <w:rFonts w:ascii="Consolas" w:cs="Consolas" w:eastAsia="Consolas" w:hAnsi="Consolas"/>
                <w:color w:val="111827"/>
                <w:sz w:val="18"/>
                <w:szCs w:val="18"/>
              </w:rPr>
              <w:t xml:space="preserv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00"/>
        <w:gridCol w:w="1230"/>
        <w:gridCol w:w="1230"/>
      </w:tblGrid>
      <w:tr>
        <w:tc>
          <w:tcPr>
            <w:tcW w:type="dxa" w:w="1400"/>
            <w:tcBorders>
              <w:top w:val="single" w:color="0F766E" w:sz="4"/>
              <w:left w:val="single" w:color="0F766E" w:sz="4"/>
              <w:bottom w:val="single" w:color="0F766E" w:sz="4"/>
              <w:right w:val="single" w:color="0F766E" w:sz="4"/>
            </w:tcBorders>
            <w:shd w:fill="0F766E" w:val="clear"/>
            <w:tcMar>
              <w:top w:type="dxa" w:w="140"/>
              <w:left w:type="dxa" w:w="160"/>
              <w:bottom w:type="dxa" w:w="140"/>
              <w:right w:type="dxa" w:w="160"/>
            </w:tcMar>
          </w:tcPr>
          <w:p>
            <w:pPr>
              <w:jc w:val="center"/>
            </w:pPr>
            <w:r>
              <w:rPr>
                <w:rFonts w:ascii="Calibri" w:cs="Calibri" w:eastAsia="Calibri" w:hAnsi="Calibri"/>
                <w:b/>
                <w:bCs/>
                <w:color w:val="FFFFFF"/>
                <w:sz w:val="22"/>
                <w:szCs w:val="22"/>
              </w:rPr>
              <w:t xml:space="preserve">RE-02</w:t>
            </w:r>
          </w:p>
        </w:tc>
        <w:tc>
          <w:tcPr>
            <w:tcW w:type="dxa" w:w="5500"/>
            <w:tcBorders>
              <w:top w:val="single" w:color="0F766E" w:sz="4"/>
              <w:left w:val="single" w:color="0F766E" w:sz="4"/>
              <w:bottom w:val="single" w:color="0F766E" w:sz="4"/>
              <w:right w:val="single" w:color="0F766E" w:sz="4"/>
            </w:tcBorders>
            <w:shd w:fill="CCFBF1" w:val="clear"/>
            <w:tcMar>
              <w:top w:type="dxa" w:w="140"/>
              <w:left w:type="dxa" w:w="160"/>
              <w:bottom w:type="dxa" w:w="140"/>
              <w:right w:type="dxa" w:w="160"/>
            </w:tcMar>
          </w:tcPr>
          <w:p>
            <w:r>
              <w:rPr>
                <w:rFonts w:ascii="Calibri" w:cs="Calibri" w:eastAsia="Calibri" w:hAnsi="Calibri"/>
                <w:b/>
                <w:bCs/>
                <w:color w:val="111827"/>
                <w:sz w:val="22"/>
                <w:szCs w:val="22"/>
              </w:rPr>
              <w:t xml:space="preserve">Real estate sector pack content + CRREM engine</w:t>
            </w:r>
          </w:p>
        </w:tc>
        <w:tc>
          <w:tcPr>
            <w:tcW w:type="dxa" w:w="1230"/>
            <w:tcBorders>
              <w:top w:val="single" w:color="0F766E" w:sz="4"/>
              <w:left w:val="single" w:color="0F766E" w:sz="4"/>
              <w:bottom w:val="single" w:color="0F766E" w:sz="4"/>
              <w:right w:val="single" w:color="0F766E" w:sz="4"/>
            </w:tcBorders>
            <w:shd w:fill="CCFBF1" w:val="clear"/>
            <w:tcMar>
              <w:top w:type="dxa" w:w="140"/>
              <w:left w:type="dxa" w:w="120"/>
              <w:bottom w:type="dxa" w:w="140"/>
              <w:right w:type="dxa" w:w="120"/>
            </w:tcMar>
          </w:tcPr>
          <w:p>
            <w:pPr>
              <w:jc w:val="center"/>
            </w:pPr>
            <w:r>
              <w:rPr>
                <w:rFonts w:ascii="Calibri" w:cs="Calibri" w:eastAsia="Calibri" w:hAnsi="Calibri"/>
                <w:b/>
                <w:bCs/>
                <w:color w:val="111827"/>
                <w:sz w:val="20"/>
                <w:szCs w:val="20"/>
              </w:rPr>
              <w:t xml:space="preserve">13 pts</w:t>
            </w:r>
          </w:p>
        </w:tc>
        <w:tc>
          <w:tcPr>
            <w:tcW w:type="dxa" w:w="1230"/>
            <w:tcBorders>
              <w:top w:val="single" w:color="0F766E" w:sz="4"/>
              <w:left w:val="single" w:color="0F766E" w:sz="4"/>
              <w:bottom w:val="single" w:color="0F766E" w:sz="4"/>
              <w:right w:val="single" w:color="0F766E" w:sz="4"/>
            </w:tcBorders>
            <w:shd w:fill="CCFBF1" w:val="clear"/>
            <w:tcMar>
              <w:top w:type="dxa" w:w="140"/>
              <w:left w:type="dxa" w:w="120"/>
              <w:bottom w:type="dxa" w:w="140"/>
              <w:right w:type="dxa" w:w="120"/>
            </w:tcMar>
          </w:tcPr>
          <w:p>
            <w:pPr>
              <w:jc w:val="center"/>
            </w:pPr>
            <w:r>
              <w:rPr>
                <w:rFonts w:ascii="Calibri" w:cs="Calibri" w:eastAsia="Calibri" w:hAnsi="Calibri"/>
                <w:b/>
                <w:bCs/>
                <w:color w:val="111827"/>
                <w:sz w:val="20"/>
                <w:szCs w:val="20"/>
              </w:rPr>
              <w:t xml:space="preserve">P0</w:t>
            </w:r>
          </w:p>
        </w:tc>
      </w:tr>
    </w:tbl>
    <w:p>
      <w:pPr>
        <w:spacing w:after="100"/>
      </w:pPr>
      <w:r>
        <w:t xml:space="preserve"/>
      </w:r>
    </w:p>
    <w:p>
      <w:pPr>
        <w:spacing w:after="80" w:before="180"/>
      </w:pPr>
      <w:r>
        <w:rPr>
          <w:rFonts w:ascii="Calibri" w:cs="Calibri" w:eastAsia="Calibri" w:hAnsi="Calibri"/>
          <w:b/>
          <w:bCs/>
          <w:color w:val="0F766E"/>
          <w:sz w:val="22"/>
          <w:szCs w:val="22"/>
        </w:rPr>
        <w:t xml:space="preserve">Scope</w:t>
      </w:r>
    </w:p>
    <w:p>
      <w:pPr>
        <w:spacing w:after="120" w:line="300"/>
      </w:pPr>
      <w:r>
        <w:rPr>
          <w:rFonts w:ascii="Calibri" w:cs="Calibri" w:eastAsia="Calibri" w:hAnsi="Calibri"/>
          <w:color w:val="111827"/>
          <w:sz w:val="22"/>
          <w:szCs w:val="22"/>
        </w:rPr>
        <w:t xml:space="preserve">Content bundle + the stranded-asset pathway calculator. CRREM (Carbon Risk Real Estate Monitor) publishes open pathways by country × asset class; the engine compares each asset's trajectory against the 1.5°C pathway and identifies the year it strands.</w:t>
      </w:r>
    </w:p>
    <w:p>
      <w:pPr>
        <w:spacing w:after="80" w:before="180"/>
      </w:pPr>
      <w:r>
        <w:rPr>
          <w:rFonts w:ascii="Calibri" w:cs="Calibri" w:eastAsia="Calibri" w:hAnsi="Calibri"/>
          <w:b/>
          <w:bCs/>
          <w:color w:val="0F766E"/>
          <w:sz w:val="22"/>
          <w:szCs w:val="22"/>
        </w:rPr>
        <w:t xml:space="preserve">Content (backend/src/sectors/real_estate/)</w:t>
      </w:r>
    </w:p>
    <w:p>
      <w:pPr>
        <w:pStyle w:val="ListParagraph"/>
        <w:numPr>
          <w:ilvl w:val="0"/>
          <w:numId w:val="2"/>
        </w:numPr>
        <w:spacing w:after="80" w:line="280"/>
      </w:pPr>
      <w:r>
        <w:rPr>
          <w:rFonts w:ascii="Calibri" w:cs="Calibri" w:eastAsia="Calibri" w:hAnsi="Calibri"/>
          <w:color w:val="111827"/>
          <w:sz w:val="22"/>
          <w:szCs w:val="22"/>
        </w:rPr>
        <w:t xml:space="preserve">kpis.json: energy use intensity (kWh/m²), GHG intensity (kgCO2e/m²), water intensity, waste diversion rate, green-certified share of portfolio, CRREM stranding year, GRESB score proxy.</w:t>
      </w:r>
    </w:p>
    <w:p>
      <w:pPr>
        <w:pStyle w:val="ListParagraph"/>
        <w:numPr>
          <w:ilvl w:val="0"/>
          <w:numId w:val="2"/>
        </w:numPr>
        <w:spacing w:after="80" w:line="280"/>
      </w:pPr>
      <w:r>
        <w:rPr>
          <w:rFonts w:ascii="Calibri" w:cs="Calibri" w:eastAsia="Calibri" w:hAnsi="Calibri"/>
          <w:color w:val="111827"/>
          <w:sz w:val="22"/>
          <w:szCs w:val="22"/>
        </w:rPr>
        <w:t xml:space="preserve">materiality.json: physical climate risk per asset (flood, heat, water stress via Aqueduct), transition risk from local ordinances (NYC LL97, California SB 253), opportunity from deep retrofit.</w:t>
      </w:r>
    </w:p>
    <w:p>
      <w:pPr>
        <w:pStyle w:val="ListParagraph"/>
        <w:numPr>
          <w:ilvl w:val="0"/>
          <w:numId w:val="2"/>
        </w:numPr>
        <w:spacing w:after="80" w:line="280"/>
      </w:pPr>
      <w:r>
        <w:rPr>
          <w:rFonts w:ascii="Calibri" w:cs="Calibri" w:eastAsia="Calibri" w:hAnsi="Calibri"/>
          <w:color w:val="111827"/>
          <w:sz w:val="22"/>
          <w:szCs w:val="22"/>
        </w:rPr>
        <w:t xml:space="preserve">factors.json: country × fuel grid factors that update annually from IEA; a small lookup of retrofit options with their typical kWh/m² savings.</w:t>
      </w:r>
    </w:p>
    <w:p>
      <w:pPr>
        <w:pStyle w:val="ListParagraph"/>
        <w:numPr>
          <w:ilvl w:val="0"/>
          <w:numId w:val="2"/>
        </w:numPr>
        <w:spacing w:after="80" w:line="280"/>
      </w:pPr>
      <w:r>
        <w:rPr>
          <w:rFonts w:ascii="Calibri" w:cs="Calibri" w:eastAsia="Calibri" w:hAnsi="Calibri"/>
          <w:color w:val="111827"/>
          <w:sz w:val="22"/>
          <w:szCs w:val="22"/>
        </w:rPr>
        <w:t xml:space="preserve">crrem-pathways.json: seeded from the open CRREM dataset — kgCO2e/m² trajectory 2020-2050 for each (country, asset class, scenario).</w:t>
      </w:r>
    </w:p>
    <w:p>
      <w:pPr>
        <w:spacing w:after="80" w:before="180"/>
      </w:pPr>
      <w:r>
        <w:rPr>
          <w:rFonts w:ascii="Calibri" w:cs="Calibri" w:eastAsia="Calibri" w:hAnsi="Calibri"/>
          <w:b/>
          <w:bCs/>
          <w:color w:val="0F766E"/>
          <w:sz w:val="22"/>
          <w:szCs w:val="22"/>
        </w:rPr>
        <w:t xml:space="preserve">Backend engine</w:t>
      </w:r>
    </w:p>
    <w:p>
      <w:pPr>
        <w:pStyle w:val="ListParagraph"/>
        <w:numPr>
          <w:ilvl w:val="0"/>
          <w:numId w:val="2"/>
        </w:numPr>
        <w:spacing w:after="80" w:line="280"/>
      </w:pPr>
      <w:r>
        <w:rPr>
          <w:rFonts w:ascii="Calibri" w:cs="Calibri" w:eastAsia="Calibri" w:hAnsi="Calibri"/>
          <w:color w:val="111827"/>
          <w:sz w:val="22"/>
          <w:szCs w:val="22"/>
        </w:rPr>
        <w:t xml:space="preserve">backend/src/services/crremEngine.js — for each asset, project current intensity forward (user-defined retrofit assumption or flat), find the first year it exceeds the pathway, store in AssetCrremPathway.</w:t>
      </w:r>
    </w:p>
    <w:p>
      <w:pPr>
        <w:pStyle w:val="ListParagraph"/>
        <w:numPr>
          <w:ilvl w:val="0"/>
          <w:numId w:val="2"/>
        </w:numPr>
        <w:spacing w:after="80" w:line="280"/>
      </w:pPr>
      <w:r>
        <w:rPr>
          <w:rFonts w:ascii="Calibri" w:cs="Calibri" w:eastAsia="Calibri" w:hAnsi="Calibri"/>
          <w:color w:val="111827"/>
          <w:sz w:val="22"/>
          <w:szCs w:val="22"/>
        </w:rPr>
        <w:t xml:space="preserve">Physical risk overlay — for each asset lat/long, call the WRI Aqueduct API or a cached local copy for water stress tier; derive flood/heat risk from IPCC AR6 regional projections (pre-baked lookup).</w:t>
      </w:r>
    </w:p>
    <w:p>
      <w:pPr>
        <w:spacing w:after="80" w:before="180"/>
      </w:pPr>
      <w:r>
        <w:rPr>
          <w:rFonts w:ascii="Calibri" w:cs="Calibri" w:eastAsia="Calibri" w:hAnsi="Calibri"/>
          <w:b/>
          <w:bCs/>
          <w:color w:val="0F766E"/>
          <w:sz w:val="22"/>
          <w:szCs w:val="22"/>
        </w:rPr>
        <w:t xml:space="preserve">Frontend</w:t>
      </w:r>
    </w:p>
    <w:p>
      <w:pPr>
        <w:pStyle w:val="ListParagraph"/>
        <w:numPr>
          <w:ilvl w:val="0"/>
          <w:numId w:val="2"/>
        </w:numPr>
        <w:spacing w:after="80" w:line="280"/>
      </w:pPr>
      <w:r>
        <w:rPr>
          <w:rFonts w:ascii="Calibri" w:cs="Calibri" w:eastAsia="Calibri" w:hAnsi="Calibri"/>
          <w:color w:val="111827"/>
          <w:sz w:val="22"/>
          <w:szCs w:val="22"/>
        </w:rPr>
        <w:t xml:space="preserve">/sector/real_estate — map-first dashboard using Mapbox GL (or MapLibre for open-source). Each asset is a pin colored by CRREM stranding proximity (green: safe past 2040, amber: 2030–2040, red: strands before 2030).</w:t>
      </w:r>
    </w:p>
    <w:p>
      <w:pPr>
        <w:pStyle w:val="ListParagraph"/>
        <w:numPr>
          <w:ilvl w:val="0"/>
          <w:numId w:val="2"/>
        </w:numPr>
        <w:spacing w:after="80" w:line="280"/>
      </w:pPr>
      <w:r>
        <w:rPr>
          <w:rFonts w:ascii="Calibri" w:cs="Calibri" w:eastAsia="Calibri" w:hAnsi="Calibri"/>
          <w:color w:val="111827"/>
          <w:sz w:val="22"/>
          <w:szCs w:val="22"/>
        </w:rPr>
        <w:t xml:space="preserve">Asset detail drawer on pin click: energy intensity chart with the CRREM pathway overlaid, retrofit scenario toggle ("if we cut EUI by 25% in 2027, do we stay compliant past 2040?").</w:t>
      </w:r>
    </w:p>
    <w:p>
      <w:pPr>
        <w:pStyle w:val="ListParagraph"/>
        <w:numPr>
          <w:ilvl w:val="0"/>
          <w:numId w:val="2"/>
        </w:numPr>
        <w:spacing w:after="80" w:line="280"/>
      </w:pPr>
      <w:r>
        <w:rPr>
          <w:rFonts w:ascii="Calibri" w:cs="Calibri" w:eastAsia="Calibri" w:hAnsi="Calibri"/>
          <w:color w:val="111827"/>
          <w:sz w:val="22"/>
          <w:szCs w:val="22"/>
        </w:rPr>
        <w:t xml:space="preserve">Portfolio stranded-asset timeline — horizontal timeline with a dot per asset; lets the asset manager see the wave of strandings at a glance.</w:t>
      </w:r>
    </w:p>
    <w:p>
      <w:pPr>
        <w:pStyle w:val="ListParagraph"/>
        <w:numPr>
          <w:ilvl w:val="0"/>
          <w:numId w:val="2"/>
        </w:numPr>
        <w:spacing w:after="80" w:line="280"/>
      </w:pPr>
      <w:r>
        <w:rPr>
          <w:rFonts w:ascii="Calibri" w:cs="Calibri" w:eastAsia="Calibri" w:hAnsi="Calibri"/>
          <w:color w:val="111827"/>
          <w:sz w:val="22"/>
          <w:szCs w:val="22"/>
        </w:rPr>
        <w:t xml:space="preserve">GRESB export button — produces a CSV in the GRESB Asset Portal's expected format.</w:t>
      </w:r>
    </w:p>
    <w:p>
      <w:pPr>
        <w:spacing w:after="100"/>
      </w:pPr>
      <w:r>
        <w:t xml:space="preserve"/>
      </w:r>
    </w:p>
    <w:p>
      <w:pPr>
        <w:pStyle w:val="Heading2"/>
        <w:spacing w:after="140" w:before="320"/>
      </w:pPr>
      <w:r>
        <w:rPr>
          <w:rFonts w:ascii="Calibri" w:cs="Calibri" w:eastAsia="Calibri" w:hAnsi="Calibri"/>
          <w:b/>
          <w:bCs/>
          <w:color w:val="111827"/>
          <w:sz w:val="30"/>
          <w:szCs w:val="30"/>
        </w:rPr>
        <w:t xml:space="preserve">3.2 Financial Services Sector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00"/>
        <w:gridCol w:w="1230"/>
        <w:gridCol w:w="1230"/>
      </w:tblGrid>
      <w:tr>
        <w:tc>
          <w:tcPr>
            <w:tcW w:type="dxa" w:w="1400"/>
            <w:tcBorders>
              <w:top w:val="single" w:color="0F766E" w:sz="4"/>
              <w:left w:val="single" w:color="0F766E" w:sz="4"/>
              <w:bottom w:val="single" w:color="0F766E" w:sz="4"/>
              <w:right w:val="single" w:color="0F766E" w:sz="4"/>
            </w:tcBorders>
            <w:shd w:fill="0F766E" w:val="clear"/>
            <w:tcMar>
              <w:top w:type="dxa" w:w="140"/>
              <w:left w:type="dxa" w:w="160"/>
              <w:bottom w:type="dxa" w:w="140"/>
              <w:right w:type="dxa" w:w="160"/>
            </w:tcMar>
          </w:tcPr>
          <w:p>
            <w:pPr>
              <w:jc w:val="center"/>
            </w:pPr>
            <w:r>
              <w:rPr>
                <w:rFonts w:ascii="Calibri" w:cs="Calibri" w:eastAsia="Calibri" w:hAnsi="Calibri"/>
                <w:b/>
                <w:bCs/>
                <w:color w:val="FFFFFF"/>
                <w:sz w:val="22"/>
                <w:szCs w:val="22"/>
              </w:rPr>
              <w:t xml:space="preserve">FS-01</w:t>
            </w:r>
          </w:p>
        </w:tc>
        <w:tc>
          <w:tcPr>
            <w:tcW w:type="dxa" w:w="5500"/>
            <w:tcBorders>
              <w:top w:val="single" w:color="0F766E" w:sz="4"/>
              <w:left w:val="single" w:color="0F766E" w:sz="4"/>
              <w:bottom w:val="single" w:color="0F766E" w:sz="4"/>
              <w:right w:val="single" w:color="0F766E" w:sz="4"/>
            </w:tcBorders>
            <w:shd w:fill="CCFBF1" w:val="clear"/>
            <w:tcMar>
              <w:top w:type="dxa" w:w="140"/>
              <w:left w:type="dxa" w:w="160"/>
              <w:bottom w:type="dxa" w:w="140"/>
              <w:right w:type="dxa" w:w="160"/>
            </w:tcMar>
          </w:tcPr>
          <w:p>
            <w:r>
              <w:rPr>
                <w:rFonts w:ascii="Calibri" w:cs="Calibri" w:eastAsia="Calibri" w:hAnsi="Calibri"/>
                <w:b/>
                <w:bCs/>
                <w:color w:val="111827"/>
                <w:sz w:val="22"/>
                <w:szCs w:val="22"/>
              </w:rPr>
              <w:t xml:space="preserve">Financial-instrument data model</w:t>
            </w:r>
          </w:p>
        </w:tc>
        <w:tc>
          <w:tcPr>
            <w:tcW w:type="dxa" w:w="1230"/>
            <w:tcBorders>
              <w:top w:val="single" w:color="0F766E" w:sz="4"/>
              <w:left w:val="single" w:color="0F766E" w:sz="4"/>
              <w:bottom w:val="single" w:color="0F766E" w:sz="4"/>
              <w:right w:val="single" w:color="0F766E" w:sz="4"/>
            </w:tcBorders>
            <w:shd w:fill="CCFBF1" w:val="clear"/>
            <w:tcMar>
              <w:top w:type="dxa" w:w="140"/>
              <w:left w:type="dxa" w:w="120"/>
              <w:bottom w:type="dxa" w:w="140"/>
              <w:right w:type="dxa" w:w="120"/>
            </w:tcMar>
          </w:tcPr>
          <w:p>
            <w:pPr>
              <w:jc w:val="center"/>
            </w:pPr>
            <w:r>
              <w:rPr>
                <w:rFonts w:ascii="Calibri" w:cs="Calibri" w:eastAsia="Calibri" w:hAnsi="Calibri"/>
                <w:b/>
                <w:bCs/>
                <w:color w:val="111827"/>
                <w:sz w:val="20"/>
                <w:szCs w:val="20"/>
              </w:rPr>
              <w:t xml:space="preserve">8 pts</w:t>
            </w:r>
          </w:p>
        </w:tc>
        <w:tc>
          <w:tcPr>
            <w:tcW w:type="dxa" w:w="1230"/>
            <w:tcBorders>
              <w:top w:val="single" w:color="0F766E" w:sz="4"/>
              <w:left w:val="single" w:color="0F766E" w:sz="4"/>
              <w:bottom w:val="single" w:color="0F766E" w:sz="4"/>
              <w:right w:val="single" w:color="0F766E" w:sz="4"/>
            </w:tcBorders>
            <w:shd w:fill="CCFBF1" w:val="clear"/>
            <w:tcMar>
              <w:top w:type="dxa" w:w="140"/>
              <w:left w:type="dxa" w:w="120"/>
              <w:bottom w:type="dxa" w:w="140"/>
              <w:right w:type="dxa" w:w="120"/>
            </w:tcMar>
          </w:tcPr>
          <w:p>
            <w:pPr>
              <w:jc w:val="center"/>
            </w:pPr>
            <w:r>
              <w:rPr>
                <w:rFonts w:ascii="Calibri" w:cs="Calibri" w:eastAsia="Calibri" w:hAnsi="Calibri"/>
                <w:b/>
                <w:bCs/>
                <w:color w:val="111827"/>
                <w:sz w:val="20"/>
                <w:szCs w:val="20"/>
              </w:rPr>
              <w:t xml:space="preserve">P0</w:t>
            </w:r>
          </w:p>
        </w:tc>
      </w:tr>
    </w:tbl>
    <w:p>
      <w:pPr>
        <w:spacing w:after="100"/>
      </w:pPr>
      <w:r>
        <w:t xml:space="preserve"/>
      </w:r>
    </w:p>
    <w:p>
      <w:pPr>
        <w:spacing w:after="80" w:before="180"/>
      </w:pPr>
      <w:r>
        <w:rPr>
          <w:rFonts w:ascii="Calibri" w:cs="Calibri" w:eastAsia="Calibri" w:hAnsi="Calibri"/>
          <w:b/>
          <w:bCs/>
          <w:color w:val="0F766E"/>
          <w:sz w:val="22"/>
          <w:szCs w:val="22"/>
        </w:rPr>
        <w:t xml:space="preserve">Scope</w:t>
      </w:r>
    </w:p>
    <w:p>
      <w:pPr>
        <w:spacing w:after="120" w:line="300"/>
      </w:pPr>
      <w:r>
        <w:rPr>
          <w:rFonts w:ascii="Calibri" w:cs="Calibri" w:eastAsia="Calibri" w:hAnsi="Calibri"/>
          <w:color w:val="111827"/>
          <w:sz w:val="22"/>
          <w:szCs w:val="22"/>
        </w:rPr>
        <w:t xml:space="preserve">Financial firms don't have "products" — they have exposures. The PCAF methodology covers 7 asset classes (listed equity &amp; bonds, business loans, project finance, commercial real estate, mortgages, motor vehicle loans, sovereign debt). Each has its own attribution formula.</w:t>
      </w:r>
    </w:p>
    <w:p>
      <w:pPr>
        <w:spacing w:after="80" w:before="180"/>
      </w:pPr>
      <w:r>
        <w:rPr>
          <w:rFonts w:ascii="Calibri" w:cs="Calibri" w:eastAsia="Calibri" w:hAnsi="Calibri"/>
          <w:b/>
          <w:bCs/>
          <w:color w:val="0F766E"/>
          <w:sz w:val="22"/>
          <w:szCs w:val="22"/>
        </w:rPr>
        <w:t xml:space="preserve">Prisma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0" w:line="260"/>
            </w:pPr>
            <w:r>
              <w:rPr>
                <w:rFonts w:ascii="Consolas" w:cs="Consolas" w:eastAsia="Consolas" w:hAnsi="Consolas"/>
                <w:color w:val="111827"/>
                <w:sz w:val="18"/>
                <w:szCs w:val="18"/>
              </w:rPr>
              <w:t xml:space="preserve">model FinancialExposure {</w:t>
            </w:r>
          </w:p>
          <w:p>
            <w:pPr>
              <w:spacing w:after="0" w:line="260"/>
            </w:pPr>
            <w:r>
              <w:rPr>
                <w:rFonts w:ascii="Consolas" w:cs="Consolas" w:eastAsia="Consolas" w:hAnsi="Consolas"/>
                <w:color w:val="111827"/>
                <w:sz w:val="18"/>
                <w:szCs w:val="18"/>
              </w:rPr>
              <w:t xml:space="preserve">  id                String   @id @default(uuid())</w:t>
            </w:r>
          </w:p>
          <w:p>
            <w:pPr>
              <w:spacing w:after="0" w:line="260"/>
            </w:pPr>
            <w:r>
              <w:rPr>
                <w:rFonts w:ascii="Consolas" w:cs="Consolas" w:eastAsia="Consolas" w:hAnsi="Consolas"/>
                <w:color w:val="111827"/>
                <w:sz w:val="18"/>
                <w:szCs w:val="18"/>
              </w:rPr>
              <w:t xml:space="preserve">  companyId         String</w:t>
            </w:r>
          </w:p>
          <w:p>
            <w:pPr>
              <w:spacing w:after="0" w:line="260"/>
            </w:pPr>
            <w:r>
              <w:rPr>
                <w:rFonts w:ascii="Consolas" w:cs="Consolas" w:eastAsia="Consolas" w:hAnsi="Consolas"/>
                <w:color w:val="111827"/>
                <w:sz w:val="18"/>
                <w:szCs w:val="18"/>
              </w:rPr>
              <w:t xml:space="preserve">  company           Company  @relation(fields: [companyId], references: [id], onDelete: Cascade)</w:t>
            </w:r>
          </w:p>
          <w:p>
            <w:pPr>
              <w:spacing w:after="0" w:line="260"/>
            </w:pPr>
            <w:r>
              <w:rPr>
                <w:rFonts w:ascii="Consolas" w:cs="Consolas" w:eastAsia="Consolas" w:hAnsi="Consolas"/>
                <w:color w:val="111827"/>
                <w:sz w:val="18"/>
                <w:szCs w:val="18"/>
              </w:rPr>
              <w:t xml:space="preserve">  assetClass        String   // listed_equity | corp_bonds | business_loans | project_finance |</w:t>
            </w:r>
          </w:p>
          <w:p>
            <w:pPr>
              <w:spacing w:after="0" w:line="260"/>
            </w:pPr>
            <w:r>
              <w:rPr>
                <w:rFonts w:ascii="Consolas" w:cs="Consolas" w:eastAsia="Consolas" w:hAnsi="Consolas"/>
                <w:color w:val="111827"/>
                <w:sz w:val="18"/>
                <w:szCs w:val="18"/>
              </w:rPr>
              <w:t xml:space="preserve">                             // commercial_re | mortgages | motor_vehicle_loans | sovereign</w:t>
            </w:r>
          </w:p>
          <w:p>
            <w:pPr>
              <w:spacing w:after="0" w:line="260"/>
            </w:pPr>
            <w:r>
              <w:rPr>
                <w:rFonts w:ascii="Consolas" w:cs="Consolas" w:eastAsia="Consolas" w:hAnsi="Consolas"/>
                <w:color w:val="111827"/>
                <w:sz w:val="18"/>
                <w:szCs w:val="18"/>
              </w:rPr>
              <w:t xml:space="preserve">  counterpartyName  String</w:t>
            </w:r>
          </w:p>
          <w:p>
            <w:pPr>
              <w:spacing w:after="0" w:line="260"/>
            </w:pPr>
            <w:r>
              <w:rPr>
                <w:rFonts w:ascii="Consolas" w:cs="Consolas" w:eastAsia="Consolas" w:hAnsi="Consolas"/>
                <w:color w:val="111827"/>
                <w:sz w:val="18"/>
                <w:szCs w:val="18"/>
              </w:rPr>
              <w:t xml:space="preserve">  counterpartyIsin  String?</w:t>
            </w:r>
          </w:p>
          <w:p>
            <w:pPr>
              <w:spacing w:after="0" w:line="260"/>
            </w:pPr>
            <w:r>
              <w:rPr>
                <w:rFonts w:ascii="Consolas" w:cs="Consolas" w:eastAsia="Consolas" w:hAnsi="Consolas"/>
                <w:color w:val="111827"/>
                <w:sz w:val="18"/>
                <w:szCs w:val="18"/>
              </w:rPr>
              <w:t xml:space="preserve">  counterpartyLei   String?</w:t>
            </w:r>
          </w:p>
          <w:p>
            <w:pPr>
              <w:spacing w:after="0" w:line="260"/>
            </w:pPr>
            <w:r>
              <w:rPr>
                <w:rFonts w:ascii="Consolas" w:cs="Consolas" w:eastAsia="Consolas" w:hAnsi="Consolas"/>
                <w:color w:val="111827"/>
                <w:sz w:val="18"/>
                <w:szCs w:val="18"/>
              </w:rPr>
              <w:t xml:space="preserve">  sector            String?  // NACE code</w:t>
            </w:r>
          </w:p>
          <w:p>
            <w:pPr>
              <w:spacing w:after="0" w:line="260"/>
            </w:pPr>
            <w:r>
              <w:rPr>
                <w:rFonts w:ascii="Consolas" w:cs="Consolas" w:eastAsia="Consolas" w:hAnsi="Consolas"/>
                <w:color w:val="111827"/>
                <w:sz w:val="18"/>
                <w:szCs w:val="18"/>
              </w:rPr>
              <w:t xml:space="preserve">  country           String?</w:t>
            </w:r>
          </w:p>
          <w:p>
            <w:pPr>
              <w:spacing w:after="0" w:line="260"/>
            </w:pPr>
            <w:r>
              <w:rPr>
                <w:rFonts w:ascii="Consolas" w:cs="Consolas" w:eastAsia="Consolas" w:hAnsi="Consolas"/>
                <w:color w:val="111827"/>
                <w:sz w:val="18"/>
                <w:szCs w:val="18"/>
              </w:rPr>
              <w:t xml:space="preserve">  outstandingAmount Float</w:t>
            </w:r>
          </w:p>
          <w:p>
            <w:pPr>
              <w:spacing w:after="0" w:line="260"/>
            </w:pPr>
            <w:r>
              <w:rPr>
                <w:rFonts w:ascii="Consolas" w:cs="Consolas" w:eastAsia="Consolas" w:hAnsi="Consolas"/>
                <w:color w:val="111827"/>
                <w:sz w:val="18"/>
                <w:szCs w:val="18"/>
              </w:rPr>
              <w:t xml:space="preserve">  currency          String</w:t>
            </w:r>
          </w:p>
          <w:p>
            <w:pPr>
              <w:spacing w:after="0" w:line="260"/>
            </w:pPr>
            <w:r>
              <w:rPr>
                <w:rFonts w:ascii="Consolas" w:cs="Consolas" w:eastAsia="Consolas" w:hAnsi="Consolas"/>
                <w:color w:val="111827"/>
                <w:sz w:val="18"/>
                <w:szCs w:val="18"/>
              </w:rPr>
              <w:t xml:space="preserve">  equityValue       Float?   // for attribution factor</w:t>
            </w:r>
          </w:p>
          <w:p>
            <w:pPr>
              <w:spacing w:after="0" w:line="260"/>
            </w:pPr>
            <w:r>
              <w:rPr>
                <w:rFonts w:ascii="Consolas" w:cs="Consolas" w:eastAsia="Consolas" w:hAnsi="Consolas"/>
                <w:color w:val="111827"/>
                <w:sz w:val="18"/>
                <w:szCs w:val="18"/>
              </w:rPr>
              <w:t xml:space="preserve">  totalBalanceSheet Float?   // for corp loans</w:t>
            </w:r>
          </w:p>
          <w:p>
            <w:pPr>
              <w:spacing w:after="0" w:line="260"/>
            </w:pPr>
            <w:r>
              <w:rPr>
                <w:rFonts w:ascii="Consolas" w:cs="Consolas" w:eastAsia="Consolas" w:hAnsi="Consolas"/>
                <w:color w:val="111827"/>
                <w:sz w:val="18"/>
                <w:szCs w:val="18"/>
              </w:rPr>
              <w:t xml:space="preserve">  epc               String?  // EPC rating for mortgages/CRE</w:t>
            </w:r>
          </w:p>
          <w:p>
            <w:pPr>
              <w:spacing w:after="0" w:line="260"/>
            </w:pPr>
            <w:r>
              <w:rPr>
                <w:rFonts w:ascii="Consolas" w:cs="Consolas" w:eastAsia="Consolas" w:hAnsi="Consolas"/>
                <w:color w:val="111827"/>
                <w:sz w:val="18"/>
                <w:szCs w:val="18"/>
              </w:rPr>
              <w:t xml:space="preserve">  evic              Float?   // enterprise value including cash</w:t>
            </w:r>
          </w:p>
          <w:p>
            <w:pPr>
              <w:spacing w:after="0" w:line="260"/>
            </w:pPr>
            <w:r>
              <w:rPr>
                <w:rFonts w:ascii="Consolas" w:cs="Consolas" w:eastAsia="Consolas" w:hAnsi="Consolas"/>
                <w:color w:val="111827"/>
                <w:sz w:val="18"/>
                <w:szCs w:val="18"/>
              </w:rPr>
              <w:t xml:space="preserve">  reportingYear     Int</w:t>
            </w:r>
          </w:p>
          <w:p>
            <w:pPr>
              <w:spacing w:after="0" w:line="260"/>
            </w:pPr>
            <w:r>
              <w:rPr>
                <w:rFonts w:ascii="Consolas" w:cs="Consolas" w:eastAsia="Consolas" w:hAnsi="Consolas"/>
                <w:color w:val="111827"/>
                <w:sz w:val="18"/>
                <w:szCs w:val="18"/>
              </w:rPr>
              <w:t xml:space="preserve">  dataQualityScore  Int      // PCAF 1 (best) to 5 (worst)</w:t>
            </w:r>
          </w:p>
          <w:p>
            <w:pPr>
              <w:spacing w:after="0" w:line="260"/>
            </w:pPr>
            <w:r>
              <w:rPr>
                <w:rFonts w:ascii="Consolas" w:cs="Consolas" w:eastAsia="Consolas" w:hAnsi="Consolas"/>
                <w:color w:val="111827"/>
                <w:sz w:val="18"/>
                <w:szCs w:val="18"/>
              </w:rPr>
              <w:t xml:space="preserve">  createdAt         DateTime @default(now())</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  financedEmissions FinancedEmissionsCalc[]</w:t>
            </w:r>
          </w:p>
          <w:p>
            <w:pPr>
              <w:spacing w:after="0" w:line="260"/>
            </w:pPr>
            <w:r>
              <w:rPr>
                <w:rFonts w:ascii="Consolas" w:cs="Consolas" w:eastAsia="Consolas" w:hAnsi="Consolas"/>
                <w:color w:val="111827"/>
                <w:sz w:val="18"/>
                <w:szCs w:val="18"/>
              </w:rPr>
              <w:t xml:space="preserve">}</w:t>
            </w:r>
          </w:p>
          <w:p>
            <w:pPr>
              <w:spacing w:after="0" w:line="260"/>
            </w:pPr>
            <w:r>
              <w:rPr>
                <w:rFonts w:ascii="Consolas" w:cs="Consolas" w:eastAsia="Consolas" w:hAnsi="Consolas"/>
                <w:color w:val="111827"/>
                <w:sz w:val="18"/>
                <w:szCs w:val="18"/>
              </w:rPr>
              <w:t xml:space="preserve"> </w:t>
            </w:r>
          </w:p>
          <w:p>
            <w:pPr>
              <w:spacing w:after="0" w:line="260"/>
            </w:pPr>
            <w:r>
              <w:rPr>
                <w:rFonts w:ascii="Consolas" w:cs="Consolas" w:eastAsia="Consolas" w:hAnsi="Consolas"/>
                <w:color w:val="111827"/>
                <w:sz w:val="18"/>
                <w:szCs w:val="18"/>
              </w:rPr>
              <w:t xml:space="preserve">model FinancedEmissionsCalc {</w:t>
            </w:r>
          </w:p>
          <w:p>
            <w:pPr>
              <w:spacing w:after="0" w:line="260"/>
            </w:pPr>
            <w:r>
              <w:rPr>
                <w:rFonts w:ascii="Consolas" w:cs="Consolas" w:eastAsia="Consolas" w:hAnsi="Consolas"/>
                <w:color w:val="111827"/>
                <w:sz w:val="18"/>
                <w:szCs w:val="18"/>
              </w:rPr>
              <w:t xml:space="preserve">  id                    String   @id @default(uuid())</w:t>
            </w:r>
          </w:p>
          <w:p>
            <w:pPr>
              <w:spacing w:after="0" w:line="260"/>
            </w:pPr>
            <w:r>
              <w:rPr>
                <w:rFonts w:ascii="Consolas" w:cs="Consolas" w:eastAsia="Consolas" w:hAnsi="Consolas"/>
                <w:color w:val="111827"/>
                <w:sz w:val="18"/>
                <w:szCs w:val="18"/>
              </w:rPr>
              <w:t xml:space="preserve">  exposureId            String</w:t>
            </w:r>
          </w:p>
          <w:p>
            <w:pPr>
              <w:spacing w:after="0" w:line="260"/>
            </w:pPr>
            <w:r>
              <w:rPr>
                <w:rFonts w:ascii="Consolas" w:cs="Consolas" w:eastAsia="Consolas" w:hAnsi="Consolas"/>
                <w:color w:val="111827"/>
                <w:sz w:val="18"/>
                <w:szCs w:val="18"/>
              </w:rPr>
              <w:t xml:space="preserve">  exposure              FinancialExposure @relation(fields: [exposureId], references: [id], onDelete: Cascade)</w:t>
            </w:r>
          </w:p>
          <w:p>
            <w:pPr>
              <w:spacing w:after="0" w:line="260"/>
            </w:pPr>
            <w:r>
              <w:rPr>
                <w:rFonts w:ascii="Consolas" w:cs="Consolas" w:eastAsia="Consolas" w:hAnsi="Consolas"/>
                <w:color w:val="111827"/>
                <w:sz w:val="18"/>
                <w:szCs w:val="18"/>
              </w:rPr>
              <w:t xml:space="preserve">  reportingYear         Int</w:t>
            </w:r>
          </w:p>
          <w:p>
            <w:pPr>
              <w:spacing w:after="0" w:line="260"/>
            </w:pPr>
            <w:r>
              <w:rPr>
                <w:rFonts w:ascii="Consolas" w:cs="Consolas" w:eastAsia="Consolas" w:hAnsi="Consolas"/>
                <w:color w:val="111827"/>
                <w:sz w:val="18"/>
                <w:szCs w:val="18"/>
              </w:rPr>
              <w:t xml:space="preserve">  attributionFactor     Float   // outstanding / EVIC or similar per PCAF</w:t>
            </w:r>
          </w:p>
          <w:p>
            <w:pPr>
              <w:spacing w:after="0" w:line="260"/>
            </w:pPr>
            <w:r>
              <w:rPr>
                <w:rFonts w:ascii="Consolas" w:cs="Consolas" w:eastAsia="Consolas" w:hAnsi="Consolas"/>
                <w:color w:val="111827"/>
                <w:sz w:val="18"/>
                <w:szCs w:val="18"/>
              </w:rPr>
              <w:t xml:space="preserve">  counterpartyScope1    Float?  // tCO2e total</w:t>
            </w:r>
          </w:p>
          <w:p>
            <w:pPr>
              <w:spacing w:after="0" w:line="260"/>
            </w:pPr>
            <w:r>
              <w:rPr>
                <w:rFonts w:ascii="Consolas" w:cs="Consolas" w:eastAsia="Consolas" w:hAnsi="Consolas"/>
                <w:color w:val="111827"/>
                <w:sz w:val="18"/>
                <w:szCs w:val="18"/>
              </w:rPr>
              <w:t xml:space="preserve">  counterpartyScope2    Float?</w:t>
            </w:r>
          </w:p>
          <w:p>
            <w:pPr>
              <w:spacing w:after="0" w:line="260"/>
            </w:pPr>
            <w:r>
              <w:rPr>
                <w:rFonts w:ascii="Consolas" w:cs="Consolas" w:eastAsia="Consolas" w:hAnsi="Consolas"/>
                <w:color w:val="111827"/>
                <w:sz w:val="18"/>
                <w:szCs w:val="18"/>
              </w:rPr>
              <w:t xml:space="preserve">  counterpartyScope3    Float?</w:t>
            </w:r>
          </w:p>
          <w:p>
            <w:pPr>
              <w:spacing w:after="0" w:line="260"/>
            </w:pPr>
            <w:r>
              <w:rPr>
                <w:rFonts w:ascii="Consolas" w:cs="Consolas" w:eastAsia="Consolas" w:hAnsi="Consolas"/>
                <w:color w:val="111827"/>
                <w:sz w:val="18"/>
                <w:szCs w:val="18"/>
              </w:rPr>
              <w:t xml:space="preserve">  financedScope1        Float</w:t>
            </w:r>
          </w:p>
          <w:p>
            <w:pPr>
              <w:spacing w:after="0" w:line="260"/>
            </w:pPr>
            <w:r>
              <w:rPr>
                <w:rFonts w:ascii="Consolas" w:cs="Consolas" w:eastAsia="Consolas" w:hAnsi="Consolas"/>
                <w:color w:val="111827"/>
                <w:sz w:val="18"/>
                <w:szCs w:val="18"/>
              </w:rPr>
              <w:t xml:space="preserve">  financedScope2        Float</w:t>
            </w:r>
          </w:p>
          <w:p>
            <w:pPr>
              <w:spacing w:after="0" w:line="260"/>
            </w:pPr>
            <w:r>
              <w:rPr>
                <w:rFonts w:ascii="Consolas" w:cs="Consolas" w:eastAsia="Consolas" w:hAnsi="Consolas"/>
                <w:color w:val="111827"/>
                <w:sz w:val="18"/>
                <w:szCs w:val="18"/>
              </w:rPr>
              <w:t xml:space="preserve">  financedScope3        Float?</w:t>
            </w:r>
          </w:p>
          <w:p>
            <w:pPr>
              <w:spacing w:after="0" w:line="260"/>
            </w:pPr>
            <w:r>
              <w:rPr>
                <w:rFonts w:ascii="Consolas" w:cs="Consolas" w:eastAsia="Consolas" w:hAnsi="Consolas"/>
                <w:color w:val="111827"/>
                <w:sz w:val="18"/>
                <w:szCs w:val="18"/>
              </w:rPr>
              <w:t xml:space="preserve">  waci                  Float?  // weighted avg carbon intensity</w:t>
            </w:r>
          </w:p>
          <w:p>
            <w:pPr>
              <w:spacing w:after="0" w:line="260"/>
            </w:pPr>
            <w:r>
              <w:rPr>
                <w:rFonts w:ascii="Consolas" w:cs="Consolas" w:eastAsia="Consolas" w:hAnsi="Consolas"/>
                <w:color w:val="111827"/>
                <w:sz w:val="18"/>
                <w:szCs w:val="18"/>
              </w:rPr>
              <w:t xml:space="preserve">  calcAt                DateTime @default(now())</w:t>
            </w:r>
          </w:p>
          <w:p>
            <w:pPr>
              <w:spacing w:after="0" w:line="260"/>
            </w:pPr>
            <w:r>
              <w:rPr>
                <w:rFonts w:ascii="Consolas" w:cs="Consolas" w:eastAsia="Consolas" w:hAnsi="Consolas"/>
                <w:color w:val="111827"/>
                <w:sz w:val="18"/>
                <w:szCs w:val="18"/>
              </w:rPr>
              <w:t xml:space="preserve">  factorSnapshot        Json</w:t>
            </w:r>
          </w:p>
          <w:p>
            <w:pPr>
              <w:spacing w:after="0" w:line="260"/>
            </w:pPr>
            <w:r>
              <w:rPr>
                <w:rFonts w:ascii="Consolas" w:cs="Consolas" w:eastAsia="Consolas" w:hAnsi="Consolas"/>
                <w:color w:val="111827"/>
                <w:sz w:val="18"/>
                <w:szCs w:val="18"/>
              </w:rPr>
              <w:t xml:space="preserv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00"/>
        <w:gridCol w:w="1230"/>
        <w:gridCol w:w="1230"/>
      </w:tblGrid>
      <w:tr>
        <w:tc>
          <w:tcPr>
            <w:tcW w:type="dxa" w:w="1400"/>
            <w:tcBorders>
              <w:top w:val="single" w:color="0F766E" w:sz="4"/>
              <w:left w:val="single" w:color="0F766E" w:sz="4"/>
              <w:bottom w:val="single" w:color="0F766E" w:sz="4"/>
              <w:right w:val="single" w:color="0F766E" w:sz="4"/>
            </w:tcBorders>
            <w:shd w:fill="0F766E" w:val="clear"/>
            <w:tcMar>
              <w:top w:type="dxa" w:w="140"/>
              <w:left w:type="dxa" w:w="160"/>
              <w:bottom w:type="dxa" w:w="140"/>
              <w:right w:type="dxa" w:w="160"/>
            </w:tcMar>
          </w:tcPr>
          <w:p>
            <w:pPr>
              <w:jc w:val="center"/>
            </w:pPr>
            <w:r>
              <w:rPr>
                <w:rFonts w:ascii="Calibri" w:cs="Calibri" w:eastAsia="Calibri" w:hAnsi="Calibri"/>
                <w:b/>
                <w:bCs/>
                <w:color w:val="FFFFFF"/>
                <w:sz w:val="22"/>
                <w:szCs w:val="22"/>
              </w:rPr>
              <w:t xml:space="preserve">FS-02</w:t>
            </w:r>
          </w:p>
        </w:tc>
        <w:tc>
          <w:tcPr>
            <w:tcW w:type="dxa" w:w="5500"/>
            <w:tcBorders>
              <w:top w:val="single" w:color="0F766E" w:sz="4"/>
              <w:left w:val="single" w:color="0F766E" w:sz="4"/>
              <w:bottom w:val="single" w:color="0F766E" w:sz="4"/>
              <w:right w:val="single" w:color="0F766E" w:sz="4"/>
            </w:tcBorders>
            <w:shd w:fill="CCFBF1" w:val="clear"/>
            <w:tcMar>
              <w:top w:type="dxa" w:w="140"/>
              <w:left w:type="dxa" w:w="160"/>
              <w:bottom w:type="dxa" w:w="140"/>
              <w:right w:type="dxa" w:w="160"/>
            </w:tcMar>
          </w:tcPr>
          <w:p>
            <w:r>
              <w:rPr>
                <w:rFonts w:ascii="Calibri" w:cs="Calibri" w:eastAsia="Calibri" w:hAnsi="Calibri"/>
                <w:b/>
                <w:bCs/>
                <w:color w:val="111827"/>
                <w:sz w:val="22"/>
                <w:szCs w:val="22"/>
              </w:rPr>
              <w:t xml:space="preserve">PCAF financed-emissions engine + SFDR PAI dashboard</w:t>
            </w:r>
          </w:p>
        </w:tc>
        <w:tc>
          <w:tcPr>
            <w:tcW w:type="dxa" w:w="1230"/>
            <w:tcBorders>
              <w:top w:val="single" w:color="0F766E" w:sz="4"/>
              <w:left w:val="single" w:color="0F766E" w:sz="4"/>
              <w:bottom w:val="single" w:color="0F766E" w:sz="4"/>
              <w:right w:val="single" w:color="0F766E" w:sz="4"/>
            </w:tcBorders>
            <w:shd w:fill="CCFBF1" w:val="clear"/>
            <w:tcMar>
              <w:top w:type="dxa" w:w="140"/>
              <w:left w:type="dxa" w:w="120"/>
              <w:bottom w:type="dxa" w:w="140"/>
              <w:right w:type="dxa" w:w="120"/>
            </w:tcMar>
          </w:tcPr>
          <w:p>
            <w:pPr>
              <w:jc w:val="center"/>
            </w:pPr>
            <w:r>
              <w:rPr>
                <w:rFonts w:ascii="Calibri" w:cs="Calibri" w:eastAsia="Calibri" w:hAnsi="Calibri"/>
                <w:b/>
                <w:bCs/>
                <w:color w:val="111827"/>
                <w:sz w:val="20"/>
                <w:szCs w:val="20"/>
              </w:rPr>
              <w:t xml:space="preserve">13 pts</w:t>
            </w:r>
          </w:p>
        </w:tc>
        <w:tc>
          <w:tcPr>
            <w:tcW w:type="dxa" w:w="1230"/>
            <w:tcBorders>
              <w:top w:val="single" w:color="0F766E" w:sz="4"/>
              <w:left w:val="single" w:color="0F766E" w:sz="4"/>
              <w:bottom w:val="single" w:color="0F766E" w:sz="4"/>
              <w:right w:val="single" w:color="0F766E" w:sz="4"/>
            </w:tcBorders>
            <w:shd w:fill="CCFBF1" w:val="clear"/>
            <w:tcMar>
              <w:top w:type="dxa" w:w="140"/>
              <w:left w:type="dxa" w:w="120"/>
              <w:bottom w:type="dxa" w:w="140"/>
              <w:right w:type="dxa" w:w="120"/>
            </w:tcMar>
          </w:tcPr>
          <w:p>
            <w:pPr>
              <w:jc w:val="center"/>
            </w:pPr>
            <w:r>
              <w:rPr>
                <w:rFonts w:ascii="Calibri" w:cs="Calibri" w:eastAsia="Calibri" w:hAnsi="Calibri"/>
                <w:b/>
                <w:bCs/>
                <w:color w:val="111827"/>
                <w:sz w:val="20"/>
                <w:szCs w:val="20"/>
              </w:rPr>
              <w:t xml:space="preserve">P0</w:t>
            </w:r>
          </w:p>
        </w:tc>
      </w:tr>
    </w:tbl>
    <w:p>
      <w:pPr>
        <w:spacing w:after="100"/>
      </w:pPr>
      <w:r>
        <w:t xml:space="preserve"/>
      </w:r>
    </w:p>
    <w:p>
      <w:pPr>
        <w:spacing w:after="80" w:before="180"/>
      </w:pPr>
      <w:r>
        <w:rPr>
          <w:rFonts w:ascii="Calibri" w:cs="Calibri" w:eastAsia="Calibri" w:hAnsi="Calibri"/>
          <w:b/>
          <w:bCs/>
          <w:color w:val="0F766E"/>
          <w:sz w:val="22"/>
          <w:szCs w:val="22"/>
        </w:rPr>
        <w:t xml:space="preserve">Scope</w:t>
      </w:r>
    </w:p>
    <w:p>
      <w:pPr>
        <w:spacing w:after="120" w:line="300"/>
      </w:pPr>
      <w:r>
        <w:rPr>
          <w:rFonts w:ascii="Calibri" w:cs="Calibri" w:eastAsia="Calibri" w:hAnsi="Calibri"/>
          <w:color w:val="111827"/>
          <w:sz w:val="22"/>
          <w:szCs w:val="22"/>
        </w:rPr>
        <w:t xml:space="preserve">For each FinancialExposure, look up counterparty emissions (from a commercial data provider like MSCI / S&amp;P / ISS, or from our own customers' submissions if they're also our customers), compute financed emissions per PCAF formulas, and roll up portfolio-level metrics.</w:t>
      </w:r>
    </w:p>
    <w:p>
      <w:pPr>
        <w:spacing w:after="80" w:before="180"/>
      </w:pPr>
      <w:r>
        <w:rPr>
          <w:rFonts w:ascii="Calibri" w:cs="Calibri" w:eastAsia="Calibri" w:hAnsi="Calibri"/>
          <w:b/>
          <w:bCs/>
          <w:color w:val="0F766E"/>
          <w:sz w:val="22"/>
          <w:szCs w:val="22"/>
        </w:rPr>
        <w:t xml:space="preserve">Backend</w:t>
      </w:r>
    </w:p>
    <w:p>
      <w:pPr>
        <w:pStyle w:val="ListParagraph"/>
        <w:numPr>
          <w:ilvl w:val="0"/>
          <w:numId w:val="2"/>
        </w:numPr>
        <w:spacing w:after="80" w:line="280"/>
      </w:pPr>
      <w:r>
        <w:rPr>
          <w:rFonts w:ascii="Calibri" w:cs="Calibri" w:eastAsia="Calibri" w:hAnsi="Calibri"/>
          <w:color w:val="111827"/>
          <w:sz w:val="22"/>
          <w:szCs w:val="22"/>
        </w:rPr>
        <w:t xml:space="preserve">backend/src/services/pcafEngine.js with a function per asset class (PCAF Annex B codifies the formulas). Listed equity: financed_emissions = (investment / EVIC) × investee_emissions. Mortgages: financed_emissions = (outstanding / property_value) × property_emissions. Etc.</w:t>
      </w:r>
    </w:p>
    <w:p>
      <w:pPr>
        <w:pStyle w:val="ListParagraph"/>
        <w:numPr>
          <w:ilvl w:val="0"/>
          <w:numId w:val="2"/>
        </w:numPr>
        <w:spacing w:after="80" w:line="280"/>
      </w:pPr>
      <w:r>
        <w:rPr>
          <w:rFonts w:ascii="Calibri" w:cs="Calibri" w:eastAsia="Calibri" w:hAnsi="Calibri"/>
          <w:color w:val="111827"/>
          <w:sz w:val="22"/>
          <w:szCs w:val="22"/>
        </w:rPr>
        <w:t xml:space="preserve">Data-quality hierarchy: always try to fetch PCAF Level 1 (reported, verified) first; fall back through Level 2 (reported, unverified), Level 3 (sector-average from revenue), Level 4 (sector-average from assets), Level 5 (proxy). Store the level per exposure.</w:t>
      </w:r>
    </w:p>
    <w:p>
      <w:pPr>
        <w:pStyle w:val="ListParagraph"/>
        <w:numPr>
          <w:ilvl w:val="0"/>
          <w:numId w:val="2"/>
        </w:numPr>
        <w:spacing w:after="80" w:line="280"/>
      </w:pPr>
      <w:r>
        <w:rPr>
          <w:rFonts w:ascii="Calibri" w:cs="Calibri" w:eastAsia="Calibri" w:hAnsi="Calibri"/>
          <w:color w:val="111827"/>
          <w:sz w:val="22"/>
          <w:szCs w:val="22"/>
        </w:rPr>
        <w:t xml:space="preserve">Counterparty emission lookup service — abstract behind an adapter pattern. Initial adapters: "customer submission" (zero cost), "manual entry" (user types counterparty's reported emissions), "CDP public dataset" (free). Paid-provider adapters (MSCI, S&amp;P) as future work.</w:t>
      </w:r>
    </w:p>
    <w:p>
      <w:pPr>
        <w:pStyle w:val="ListParagraph"/>
        <w:numPr>
          <w:ilvl w:val="0"/>
          <w:numId w:val="2"/>
        </w:numPr>
        <w:spacing w:after="80" w:line="280"/>
      </w:pPr>
      <w:r>
        <w:rPr>
          <w:rFonts w:ascii="Calibri" w:cs="Calibri" w:eastAsia="Calibri" w:hAnsi="Calibri"/>
          <w:color w:val="111827"/>
          <w:sz w:val="22"/>
          <w:szCs w:val="22"/>
        </w:rPr>
        <w:t xml:space="preserve">SFDR PAI indicator computations — the 14 mandatory + selection of 46 voluntary indicators. Most are derived from the same counterparty data, just presented differently.</w:t>
      </w:r>
    </w:p>
    <w:p>
      <w:pPr>
        <w:spacing w:after="80" w:before="180"/>
      </w:pPr>
      <w:r>
        <w:rPr>
          <w:rFonts w:ascii="Calibri" w:cs="Calibri" w:eastAsia="Calibri" w:hAnsi="Calibri"/>
          <w:b/>
          <w:bCs/>
          <w:color w:val="0F766E"/>
          <w:sz w:val="22"/>
          <w:szCs w:val="22"/>
        </w:rPr>
        <w:t xml:space="preserve">Frontend</w:t>
      </w:r>
    </w:p>
    <w:p>
      <w:pPr>
        <w:pStyle w:val="ListParagraph"/>
        <w:numPr>
          <w:ilvl w:val="0"/>
          <w:numId w:val="2"/>
        </w:numPr>
        <w:spacing w:after="80" w:line="280"/>
      </w:pPr>
      <w:r>
        <w:rPr>
          <w:rFonts w:ascii="Calibri" w:cs="Calibri" w:eastAsia="Calibri" w:hAnsi="Calibri"/>
          <w:color w:val="111827"/>
          <w:sz w:val="22"/>
          <w:szCs w:val="22"/>
        </w:rPr>
        <w:t xml:space="preserve">/sector/financial_services — portfolio-level top panel: total financed emissions (tCO2e), WACI, % AUM covered, average PCAF score.</w:t>
      </w:r>
    </w:p>
    <w:p>
      <w:pPr>
        <w:pStyle w:val="ListParagraph"/>
        <w:numPr>
          <w:ilvl w:val="0"/>
          <w:numId w:val="2"/>
        </w:numPr>
        <w:spacing w:after="80" w:line="280"/>
      </w:pPr>
      <w:r>
        <w:rPr>
          <w:rFonts w:ascii="Calibri" w:cs="Calibri" w:eastAsia="Calibri" w:hAnsi="Calibri"/>
          <w:color w:val="111827"/>
          <w:sz w:val="22"/>
          <w:szCs w:val="22"/>
        </w:rPr>
        <w:t xml:space="preserve">Drill-down by asset class — stacked bar, click to filter the exposure table below.</w:t>
      </w:r>
    </w:p>
    <w:p>
      <w:pPr>
        <w:pStyle w:val="ListParagraph"/>
        <w:numPr>
          <w:ilvl w:val="0"/>
          <w:numId w:val="2"/>
        </w:numPr>
        <w:spacing w:after="80" w:line="280"/>
      </w:pPr>
      <w:r>
        <w:rPr>
          <w:rFonts w:ascii="Calibri" w:cs="Calibri" w:eastAsia="Calibri" w:hAnsi="Calibri"/>
          <w:color w:val="111827"/>
          <w:sz w:val="22"/>
          <w:szCs w:val="22"/>
        </w:rPr>
        <w:t xml:space="preserve">Heatmap of exposures by sector (NACE) × country, colored by financed emissions intensity — instantly shows the bank which parts of the book are the carbon liability.</w:t>
      </w:r>
    </w:p>
    <w:p>
      <w:pPr>
        <w:pStyle w:val="ListParagraph"/>
        <w:numPr>
          <w:ilvl w:val="0"/>
          <w:numId w:val="2"/>
        </w:numPr>
        <w:spacing w:after="80" w:line="280"/>
      </w:pPr>
      <w:r>
        <w:rPr>
          <w:rFonts w:ascii="Calibri" w:cs="Calibri" w:eastAsia="Calibri" w:hAnsi="Calibri"/>
          <w:color w:val="111827"/>
          <w:sz w:val="22"/>
          <w:szCs w:val="22"/>
        </w:rPr>
        <w:t xml:space="preserve">SFDR PAI statement generator — one-click export of the PAI table in the ESMA RTS template format.</w:t>
      </w:r>
    </w:p>
    <w:p>
      <w:pPr>
        <w:pStyle w:val="ListParagraph"/>
        <w:numPr>
          <w:ilvl w:val="0"/>
          <w:numId w:val="2"/>
        </w:numPr>
        <w:spacing w:after="80" w:line="280"/>
      </w:pPr>
      <w:r>
        <w:rPr>
          <w:rFonts w:ascii="Calibri" w:cs="Calibri" w:eastAsia="Calibri" w:hAnsi="Calibri"/>
          <w:color w:val="111827"/>
          <w:sz w:val="22"/>
          <w:szCs w:val="22"/>
        </w:rPr>
        <w:t xml:space="preserve">Portfolio alignment tile using the PACTA or ITR methodology — out of scope for MVP but design the tile placeholder now so enterprises see the roadmap.</w:t>
      </w:r>
    </w:p>
    <w:p>
      <w:r>
        <w:br w:type="page"/>
      </w:r>
    </w:p>
    <w:p>
      <w:pPr>
        <w:pStyle w:val="Heading1"/>
        <w:spacing w:after="180" w:before="360"/>
      </w:pPr>
      <w:r>
        <w:rPr>
          <w:rFonts w:ascii="Calibri" w:cs="Calibri" w:eastAsia="Calibri" w:hAnsi="Calibri"/>
          <w:b/>
          <w:bCs/>
          <w:color w:val="0F766E"/>
          <w:sz w:val="40"/>
          <w:szCs w:val="40"/>
        </w:rPr>
        <w:t xml:space="preserve">4. Cross-Cutting Concerns</w:t>
      </w:r>
    </w:p>
    <w:p>
      <w:pPr>
        <w:pStyle w:val="Heading2"/>
        <w:spacing w:after="140" w:before="320"/>
      </w:pPr>
      <w:r>
        <w:rPr>
          <w:rFonts w:ascii="Calibri" w:cs="Calibri" w:eastAsia="Calibri" w:hAnsi="Calibri"/>
          <w:b/>
          <w:bCs/>
          <w:color w:val="111827"/>
          <w:sz w:val="30"/>
          <w:szCs w:val="30"/>
        </w:rPr>
        <w:t xml:space="preserve">4.1 Performance budget</w:t>
      </w:r>
    </w:p>
    <w:p>
      <w:pPr>
        <w:spacing w:after="120" w:line="300"/>
      </w:pPr>
      <w:r>
        <w:rPr>
          <w:rFonts w:ascii="Calibri" w:cs="Calibri" w:eastAsia="Calibri" w:hAnsi="Calibri"/>
          <w:color w:val="111827"/>
          <w:sz w:val="22"/>
          <w:szCs w:val="22"/>
        </w:rPr>
        <w:t xml:space="preserve">The platform must stay fast as data volume grows. Non-negotiable budgets: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E5E7EB" w:sz="4"/>
              <w:left w:val="single" w:color="E5E7EB" w:sz="4"/>
              <w:bottom w:val="single" w:color="E5E7EB" w:sz="4"/>
              <w:right w:val="single" w:color="E5E7EB" w:sz="4"/>
            </w:tcBorders>
            <w:shd w:fill="0F766E" w:val="clear"/>
            <w:tcMar>
              <w:top w:type="dxa" w:w="100"/>
              <w:left w:type="dxa" w:w="140"/>
              <w:bottom w:type="dxa" w:w="100"/>
              <w:right w:type="dxa" w:w="120"/>
            </w:tcMar>
          </w:tcPr>
          <w:p>
            <w:r>
              <w:rPr>
                <w:rFonts w:ascii="Calibri" w:cs="Calibri" w:eastAsia="Calibri" w:hAnsi="Calibri"/>
                <w:b/>
                <w:bCs/>
                <w:color w:val="FFFFFF"/>
                <w:sz w:val="20"/>
                <w:szCs w:val="20"/>
              </w:rPr>
              <w:t xml:space="preserve">Surface</w:t>
            </w:r>
          </w:p>
        </w:tc>
        <w:tc>
          <w:tcPr>
            <w:tcW w:type="dxa" w:w="2200"/>
            <w:tcBorders>
              <w:top w:val="single" w:color="E5E7EB" w:sz="4"/>
              <w:left w:val="single" w:color="E5E7EB" w:sz="4"/>
              <w:bottom w:val="single" w:color="E5E7EB" w:sz="4"/>
              <w:right w:val="single" w:color="E5E7EB" w:sz="4"/>
            </w:tcBorders>
            <w:shd w:fill="0F766E" w:val="clear"/>
            <w:tcMar>
              <w:top w:type="dxa" w:w="100"/>
              <w:left w:type="dxa" w:w="140"/>
              <w:bottom w:type="dxa" w:w="100"/>
              <w:right w:type="dxa" w:w="120"/>
            </w:tcMar>
          </w:tcPr>
          <w:p>
            <w:r>
              <w:rPr>
                <w:rFonts w:ascii="Calibri" w:cs="Calibri" w:eastAsia="Calibri" w:hAnsi="Calibri"/>
                <w:b/>
                <w:bCs/>
                <w:color w:val="FFFFFF"/>
                <w:sz w:val="20"/>
                <w:szCs w:val="20"/>
              </w:rPr>
              <w:t xml:space="preserve">Budget</w:t>
            </w:r>
          </w:p>
        </w:tc>
        <w:tc>
          <w:tcPr>
            <w:tcW w:type="dxa" w:w="4960"/>
            <w:tcBorders>
              <w:top w:val="single" w:color="E5E7EB" w:sz="4"/>
              <w:left w:val="single" w:color="E5E7EB" w:sz="4"/>
              <w:bottom w:val="single" w:color="E5E7EB" w:sz="4"/>
              <w:right w:val="single" w:color="E5E7EB" w:sz="4"/>
            </w:tcBorders>
            <w:shd w:fill="0F766E" w:val="clear"/>
            <w:tcMar>
              <w:top w:type="dxa" w:w="100"/>
              <w:left w:type="dxa" w:w="140"/>
              <w:bottom w:type="dxa" w:w="100"/>
              <w:right w:type="dxa" w:w="120"/>
            </w:tcMar>
          </w:tcPr>
          <w:p>
            <w:r>
              <w:rPr>
                <w:rFonts w:ascii="Calibri" w:cs="Calibri" w:eastAsia="Calibri" w:hAnsi="Calibri"/>
                <w:b/>
                <w:bCs/>
                <w:color w:val="FFFFFF"/>
                <w:sz w:val="20"/>
                <w:szCs w:val="20"/>
              </w:rPr>
              <w:t xml:space="preserve">Technique</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Dashboard render</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&lt; 800 ms P95</w:t>
            </w:r>
          </w:p>
        </w:tc>
        <w:tc>
          <w:tcPr>
            <w:tcW w:type="dxa" w:w="49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Server-side aggregation; every dashboard endpoint returns pre-computed snapshots from nightly materialised views, not raw rows.</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PCF calculation</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&lt; 2 s for 100 BOM items</w:t>
            </w:r>
          </w:p>
        </w:tc>
        <w:tc>
          <w:tcPr>
            <w:tcW w:type="dxa" w:w="49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In-process compute; no DB round-trip per BOM item; batch factor lookups.</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Supplier portal first paint</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&lt; 1.2 s on 3G</w:t>
            </w:r>
          </w:p>
        </w:tc>
        <w:tc>
          <w:tcPr>
            <w:tcW w:type="dxa" w:w="49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Separate Vite bundle, aggressive code splitting, critical CSS inlined, no tracking scripts.</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Report generation</w:t>
            </w:r>
          </w:p>
        </w:tc>
        <w:tc>
          <w:tcPr>
            <w:tcW w:type="dxa" w:w="2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&lt; 30 s for full ESRS report</w:t>
            </w:r>
          </w:p>
        </w:tc>
        <w:tc>
          <w:tcPr>
            <w:tcW w:type="dxa" w:w="49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Stream PDF, don't buffer; parallelise chart generation with worker_threads.</w:t>
            </w:r>
          </w:p>
        </w:tc>
      </w:tr>
    </w:tbl>
    <w:p>
      <w:pPr>
        <w:pStyle w:val="Heading2"/>
        <w:spacing w:after="140" w:before="320"/>
      </w:pPr>
      <w:r>
        <w:rPr>
          <w:rFonts w:ascii="Calibri" w:cs="Calibri" w:eastAsia="Calibri" w:hAnsi="Calibri"/>
          <w:b/>
          <w:bCs/>
          <w:color w:val="111827"/>
          <w:sz w:val="30"/>
          <w:szCs w:val="30"/>
        </w:rPr>
        <w:t xml:space="preserve">4.2 Accessibility</w:t>
      </w:r>
    </w:p>
    <w:p>
      <w:pPr>
        <w:pStyle w:val="ListParagraph"/>
        <w:numPr>
          <w:ilvl w:val="0"/>
          <w:numId w:val="2"/>
        </w:numPr>
        <w:spacing w:after="80" w:line="280"/>
      </w:pPr>
      <w:r>
        <w:rPr>
          <w:rFonts w:ascii="Calibri" w:cs="Calibri" w:eastAsia="Calibri" w:hAnsi="Calibri"/>
          <w:color w:val="111827"/>
          <w:sz w:val="22"/>
          <w:szCs w:val="22"/>
        </w:rPr>
        <w:t xml:space="preserve">WCAG 2.2 AA across all new surfaces. Every chart in Recharts gets a data-table fallback behind an "Accessible view" toggle.</w:t>
      </w:r>
    </w:p>
    <w:p>
      <w:pPr>
        <w:pStyle w:val="ListParagraph"/>
        <w:numPr>
          <w:ilvl w:val="0"/>
          <w:numId w:val="2"/>
        </w:numPr>
        <w:spacing w:after="80" w:line="280"/>
      </w:pPr>
      <w:r>
        <w:rPr>
          <w:rFonts w:ascii="Calibri" w:cs="Calibri" w:eastAsia="Calibri" w:hAnsi="Calibri"/>
          <w:color w:val="111827"/>
          <w:sz w:val="22"/>
          <w:szCs w:val="22"/>
        </w:rPr>
        <w:t xml:space="preserve">The supplier portal especially — suppliers in remote regions may use screen readers, older browsers, or assistive tech. Test on real devices, not just Lighthouse.</w:t>
      </w:r>
    </w:p>
    <w:p>
      <w:pPr>
        <w:pStyle w:val="ListParagraph"/>
        <w:numPr>
          <w:ilvl w:val="0"/>
          <w:numId w:val="2"/>
        </w:numPr>
        <w:spacing w:after="80" w:line="280"/>
      </w:pPr>
      <w:r>
        <w:rPr>
          <w:rFonts w:ascii="Calibri" w:cs="Calibri" w:eastAsia="Calibri" w:hAnsi="Calibri"/>
          <w:color w:val="111827"/>
          <w:sz w:val="22"/>
          <w:szCs w:val="22"/>
        </w:rPr>
        <w:t xml:space="preserve">Color is never the only cue — PCF hotspot severity uses color and an icon and a label.</w:t>
      </w:r>
    </w:p>
    <w:p>
      <w:pPr>
        <w:pStyle w:val="Heading2"/>
        <w:spacing w:after="140" w:before="320"/>
      </w:pPr>
      <w:r>
        <w:rPr>
          <w:rFonts w:ascii="Calibri" w:cs="Calibri" w:eastAsia="Calibri" w:hAnsi="Calibri"/>
          <w:b/>
          <w:bCs/>
          <w:color w:val="111827"/>
          <w:sz w:val="30"/>
          <w:szCs w:val="30"/>
        </w:rPr>
        <w:t xml:space="preserve">4.3 Security</w:t>
      </w:r>
    </w:p>
    <w:p>
      <w:pPr>
        <w:pStyle w:val="ListParagraph"/>
        <w:numPr>
          <w:ilvl w:val="0"/>
          <w:numId w:val="2"/>
        </w:numPr>
        <w:spacing w:after="80" w:line="280"/>
      </w:pPr>
      <w:r>
        <w:rPr>
          <w:rFonts w:ascii="Calibri" w:cs="Calibri" w:eastAsia="Calibri" w:hAnsi="Calibri"/>
          <w:color w:val="111827"/>
          <w:sz w:val="22"/>
          <w:szCs w:val="22"/>
        </w:rPr>
        <w:t xml:space="preserve">Supplier portal tokens: signed JWT, HTTP-only cookie for session-resume, rate-limited (10 req/min per token), automatic expiry after 30 days or one successful submission.</w:t>
      </w:r>
    </w:p>
    <w:p>
      <w:pPr>
        <w:pStyle w:val="ListParagraph"/>
        <w:numPr>
          <w:ilvl w:val="0"/>
          <w:numId w:val="2"/>
        </w:numPr>
        <w:spacing w:after="80" w:line="280"/>
      </w:pPr>
      <w:r>
        <w:rPr>
          <w:rFonts w:ascii="Calibri" w:cs="Calibri" w:eastAsia="Calibri" w:hAnsi="Calibri"/>
          <w:color w:val="111827"/>
          <w:sz w:val="22"/>
          <w:szCs w:val="22"/>
        </w:rPr>
        <w:t xml:space="preserve">Customer opt-in for benchmark cohort is granular (per KPI family). Withdrawal is one click and retroactive — a nightly job recomputes cohorts to exclude withdrawn companies.</w:t>
      </w:r>
    </w:p>
    <w:p>
      <w:pPr>
        <w:pStyle w:val="ListParagraph"/>
        <w:numPr>
          <w:ilvl w:val="0"/>
          <w:numId w:val="2"/>
        </w:numPr>
        <w:spacing w:after="80" w:line="280"/>
      </w:pPr>
      <w:r>
        <w:rPr>
          <w:rFonts w:ascii="Calibri" w:cs="Calibri" w:eastAsia="Calibri" w:hAnsi="Calibri"/>
          <w:color w:val="111827"/>
          <w:sz w:val="22"/>
          <w:szCs w:val="22"/>
        </w:rPr>
        <w:t xml:space="preserve">Sector-specific emission factors are licensed data — the seeder must check a SECTOR_PACK_LICENSE.md in each pack folder before loading; unlicensed packs don't seed.</w:t>
      </w:r>
    </w:p>
    <w:p>
      <w:pPr>
        <w:pStyle w:val="ListParagraph"/>
        <w:numPr>
          <w:ilvl w:val="0"/>
          <w:numId w:val="2"/>
        </w:numPr>
        <w:spacing w:after="80" w:line="280"/>
      </w:pPr>
      <w:r>
        <w:rPr>
          <w:rFonts w:ascii="Calibri" w:cs="Calibri" w:eastAsia="Calibri" w:hAnsi="Calibri"/>
          <w:color w:val="111827"/>
          <w:sz w:val="22"/>
          <w:szCs w:val="22"/>
        </w:rPr>
        <w:t xml:space="preserve">New API surfaces carry the existing authenticate middleware; supplier portal routes carry a validateSupplierToken middleware instead.</w:t>
      </w:r>
    </w:p>
    <w:p>
      <w:pPr>
        <w:pStyle w:val="Heading2"/>
        <w:spacing w:after="140" w:before="320"/>
      </w:pPr>
      <w:r>
        <w:rPr>
          <w:rFonts w:ascii="Calibri" w:cs="Calibri" w:eastAsia="Calibri" w:hAnsi="Calibri"/>
          <w:b/>
          <w:bCs/>
          <w:color w:val="111827"/>
          <w:sz w:val="30"/>
          <w:szCs w:val="30"/>
        </w:rPr>
        <w:t xml:space="preserve">4.4 Observability</w:t>
      </w:r>
    </w:p>
    <w:p>
      <w:pPr>
        <w:pStyle w:val="ListParagraph"/>
        <w:numPr>
          <w:ilvl w:val="0"/>
          <w:numId w:val="2"/>
        </w:numPr>
        <w:spacing w:after="80" w:line="280"/>
      </w:pPr>
      <w:r>
        <w:rPr>
          <w:rFonts w:ascii="Calibri" w:cs="Calibri" w:eastAsia="Calibri" w:hAnsi="Calibri"/>
          <w:color w:val="111827"/>
          <w:sz w:val="22"/>
          <w:szCs w:val="22"/>
        </w:rPr>
        <w:t xml:space="preserve">Every PCF calculation logged with engineVersion, duration, row count, factor-cache hit rate, output total.</w:t>
      </w:r>
    </w:p>
    <w:p>
      <w:pPr>
        <w:pStyle w:val="ListParagraph"/>
        <w:numPr>
          <w:ilvl w:val="0"/>
          <w:numId w:val="2"/>
        </w:numPr>
        <w:spacing w:after="80" w:line="280"/>
      </w:pPr>
      <w:r>
        <w:rPr>
          <w:rFonts w:ascii="Calibri" w:cs="Calibri" w:eastAsia="Calibri" w:hAnsi="Calibri"/>
          <w:color w:val="111827"/>
          <w:sz w:val="22"/>
          <w:szCs w:val="22"/>
        </w:rPr>
        <w:t xml:space="preserve">New dashboards in the existing Activity Log for: PCF runs by company, supplier portal response rates, sector-pack usage.</w:t>
      </w:r>
    </w:p>
    <w:p>
      <w:pPr>
        <w:pStyle w:val="ListParagraph"/>
        <w:numPr>
          <w:ilvl w:val="0"/>
          <w:numId w:val="2"/>
        </w:numPr>
        <w:spacing w:after="80" w:line="280"/>
      </w:pPr>
      <w:r>
        <w:rPr>
          <w:rFonts w:ascii="Calibri" w:cs="Calibri" w:eastAsia="Calibri" w:hAnsi="Calibri"/>
          <w:color w:val="111827"/>
          <w:sz w:val="22"/>
          <w:szCs w:val="22"/>
        </w:rPr>
        <w:t xml:space="preserve">Error tracking: the existing Sentry (or equivalent) integration extended with release tagging per sector-pack version.</w:t>
      </w:r>
    </w:p>
    <w:p>
      <w:pPr>
        <w:pStyle w:val="Heading2"/>
        <w:spacing w:after="140" w:before="320"/>
      </w:pPr>
      <w:r>
        <w:rPr>
          <w:rFonts w:ascii="Calibri" w:cs="Calibri" w:eastAsia="Calibri" w:hAnsi="Calibri"/>
          <w:b/>
          <w:bCs/>
          <w:color w:val="111827"/>
          <w:sz w:val="30"/>
          <w:szCs w:val="30"/>
        </w:rPr>
        <w:t xml:space="preserve">4.5 Testing</w:t>
      </w:r>
    </w:p>
    <w:p>
      <w:pPr>
        <w:pStyle w:val="ListParagraph"/>
        <w:numPr>
          <w:ilvl w:val="0"/>
          <w:numId w:val="2"/>
        </w:numPr>
        <w:spacing w:after="80" w:line="280"/>
      </w:pPr>
      <w:r>
        <w:rPr>
          <w:rFonts w:ascii="Calibri" w:cs="Calibri" w:eastAsia="Calibri" w:hAnsi="Calibri"/>
          <w:color w:val="111827"/>
          <w:sz w:val="22"/>
          <w:szCs w:val="22"/>
        </w:rPr>
        <w:t xml:space="preserve">Golden-record fixture per sector: for Electronics, a canonical Unigen SSD with a known correct PCF. Any engine change that shifts that number by &gt;1% must be explicitly approved.</w:t>
      </w:r>
    </w:p>
    <w:p>
      <w:pPr>
        <w:pStyle w:val="ListParagraph"/>
        <w:numPr>
          <w:ilvl w:val="0"/>
          <w:numId w:val="2"/>
        </w:numPr>
        <w:spacing w:after="80" w:line="280"/>
      </w:pPr>
      <w:r>
        <w:rPr>
          <w:rFonts w:ascii="Calibri" w:cs="Calibri" w:eastAsia="Calibri" w:hAnsi="Calibri"/>
          <w:color w:val="111827"/>
          <w:sz w:val="22"/>
          <w:szCs w:val="22"/>
        </w:rPr>
        <w:t xml:space="preserve">End-to-end test: Supplier receives email → opens portal → submits data → buyer sees it in E1 dashboard → flows into PCF → primary-data % updates. This is the "happy path" customer demo, and it deserves a permanent E2E Playwright test.</w:t>
      </w:r>
    </w:p>
    <w:p>
      <w:pPr>
        <w:pStyle w:val="ListParagraph"/>
        <w:numPr>
          <w:ilvl w:val="0"/>
          <w:numId w:val="2"/>
        </w:numPr>
        <w:spacing w:after="80" w:line="280"/>
      </w:pPr>
      <w:r>
        <w:rPr>
          <w:rFonts w:ascii="Calibri" w:cs="Calibri" w:eastAsia="Calibri" w:hAnsi="Calibri"/>
          <w:color w:val="111827"/>
          <w:sz w:val="22"/>
          <w:szCs w:val="22"/>
        </w:rPr>
        <w:t xml:space="preserve">Load test for supplier portal: 500 concurrent tokens submitting simultaneously. This mimics a buyer doing a mass outreach, which is the common usage pattern.</w:t>
      </w:r>
    </w:p>
    <w:p>
      <w:r>
        <w:br w:type="page"/>
      </w:r>
    </w:p>
    <w:p>
      <w:pPr>
        <w:pStyle w:val="Heading1"/>
        <w:spacing w:after="180" w:before="360"/>
      </w:pPr>
      <w:r>
        <w:rPr>
          <w:rFonts w:ascii="Calibri" w:cs="Calibri" w:eastAsia="Calibri" w:hAnsi="Calibri"/>
          <w:b/>
          <w:bCs/>
          <w:color w:val="0F766E"/>
          <w:sz w:val="40"/>
          <w:szCs w:val="40"/>
        </w:rPr>
        <w:t xml:space="preserve">5. Milestones &amp; Release Gates</w:t>
      </w:r>
    </w:p>
    <w:p>
      <w:pPr>
        <w:pStyle w:val="Heading2"/>
        <w:spacing w:after="140" w:before="320"/>
      </w:pPr>
      <w:r>
        <w:rPr>
          <w:rFonts w:ascii="Calibri" w:cs="Calibri" w:eastAsia="Calibri" w:hAnsi="Calibri"/>
          <w:b/>
          <w:bCs/>
          <w:color w:val="111827"/>
          <w:sz w:val="30"/>
          <w:szCs w:val="30"/>
        </w:rPr>
        <w:t xml:space="preserve">5.1 Sprint sequencing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E5E7EB" w:sz="4"/>
              <w:left w:val="single" w:color="E5E7EB" w:sz="4"/>
              <w:bottom w:val="single" w:color="E5E7EB" w:sz="4"/>
              <w:right w:val="single" w:color="E5E7EB" w:sz="4"/>
            </w:tcBorders>
            <w:shd w:fill="0F766E" w:val="clear"/>
            <w:tcMar>
              <w:top w:type="dxa" w:w="100"/>
              <w:left w:type="dxa" w:w="140"/>
              <w:bottom w:type="dxa" w:w="100"/>
              <w:right w:type="dxa" w:w="120"/>
            </w:tcMar>
          </w:tcPr>
          <w:p>
            <w:r>
              <w:rPr>
                <w:rFonts w:ascii="Calibri" w:cs="Calibri" w:eastAsia="Calibri" w:hAnsi="Calibri"/>
                <w:b/>
                <w:bCs/>
                <w:color w:val="FFFFFF"/>
                <w:sz w:val="20"/>
                <w:szCs w:val="20"/>
              </w:rPr>
              <w:t xml:space="preserve">Sprint</w:t>
            </w:r>
          </w:p>
        </w:tc>
        <w:tc>
          <w:tcPr>
            <w:tcW w:type="dxa" w:w="2400"/>
            <w:tcBorders>
              <w:top w:val="single" w:color="E5E7EB" w:sz="4"/>
              <w:left w:val="single" w:color="E5E7EB" w:sz="4"/>
              <w:bottom w:val="single" w:color="E5E7EB" w:sz="4"/>
              <w:right w:val="single" w:color="E5E7EB" w:sz="4"/>
            </w:tcBorders>
            <w:shd w:fill="0F766E" w:val="clear"/>
            <w:tcMar>
              <w:top w:type="dxa" w:w="100"/>
              <w:left w:type="dxa" w:w="140"/>
              <w:bottom w:type="dxa" w:w="100"/>
              <w:right w:type="dxa" w:w="120"/>
            </w:tcMar>
          </w:tcPr>
          <w:p>
            <w:r>
              <w:rPr>
                <w:rFonts w:ascii="Calibri" w:cs="Calibri" w:eastAsia="Calibri" w:hAnsi="Calibri"/>
                <w:b/>
                <w:bCs/>
                <w:color w:val="FFFFFF"/>
                <w:sz w:val="20"/>
                <w:szCs w:val="20"/>
              </w:rPr>
              <w:t xml:space="preserve">Tickets</w:t>
            </w:r>
          </w:p>
        </w:tc>
        <w:tc>
          <w:tcPr>
            <w:tcW w:type="dxa" w:w="5160"/>
            <w:tcBorders>
              <w:top w:val="single" w:color="E5E7EB" w:sz="4"/>
              <w:left w:val="single" w:color="E5E7EB" w:sz="4"/>
              <w:bottom w:val="single" w:color="E5E7EB" w:sz="4"/>
              <w:right w:val="single" w:color="E5E7EB" w:sz="4"/>
            </w:tcBorders>
            <w:shd w:fill="0F766E" w:val="clear"/>
            <w:tcMar>
              <w:top w:type="dxa" w:w="100"/>
              <w:left w:type="dxa" w:w="140"/>
              <w:bottom w:type="dxa" w:w="100"/>
              <w:right w:type="dxa" w:w="120"/>
            </w:tcMar>
          </w:tcPr>
          <w:p>
            <w:r>
              <w:rPr>
                <w:rFonts w:ascii="Calibri" w:cs="Calibri" w:eastAsia="Calibri" w:hAnsi="Calibri"/>
                <w:b/>
                <w:bCs/>
                <w:color w:val="FFFFFF"/>
                <w:sz w:val="20"/>
                <w:szCs w:val="20"/>
              </w:rPr>
              <w:t xml:space="preserve">Release gate</w:t>
            </w:r>
          </w:p>
        </w:tc>
      </w:tr>
      <w:tr>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Sprint 1 (Q2-W1–2)</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PCF-01, PCF-05</w:t>
            </w:r>
          </w:p>
        </w:tc>
        <w:tc>
          <w:tcPr>
            <w:tcW w:type="dxa" w:w="5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Schema lands on staging; sector loader running.</w:t>
            </w:r>
          </w:p>
        </w:tc>
      </w:tr>
      <w:tr>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Sprint 2 (Q2-W3–4)</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PCF-02, PCF-06</w:t>
            </w:r>
          </w:p>
        </w:tc>
        <w:tc>
          <w:tcPr>
            <w:tcW w:type="dxa" w:w="5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Upload a BOM end-to-end; Electronics pack seeded.</w:t>
            </w:r>
          </w:p>
        </w:tc>
      </w:tr>
      <w:tr>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Sprint 3 (Q2-W5–6)</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PCF-03, PCF-07</w:t>
            </w:r>
          </w:p>
        </w:tc>
        <w:tc>
          <w:tcPr>
            <w:tcW w:type="dxa" w:w="5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First Unigen PCF calculation renders in the UI.</w:t>
            </w:r>
          </w:p>
        </w:tc>
      </w:tr>
      <w:tr>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Sprint 4 (Q3-W1–2)</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PCF-04, PCF-08</w:t>
            </w:r>
          </w:p>
        </w:tc>
        <w:tc>
          <w:tcPr>
            <w:tcW w:type="dxa" w:w="5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What-if simulator live; benchmark infrastructure in place.</w:t>
            </w:r>
          </w:p>
        </w:tc>
      </w:tr>
      <w:tr>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Q3 release</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w:t>
            </w:r>
          </w:p>
        </w:tc>
        <w:tc>
          <w:tcPr>
            <w:tcW w:type="dxa" w:w="5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Unigen case study recorded; PR launch of Electronics pack.</w:t>
            </w:r>
          </w:p>
        </w:tc>
      </w:tr>
      <w:tr>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Sprint 5 (Q4-W1–2)</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AUTO-01</w:t>
            </w:r>
          </w:p>
        </w:tc>
        <w:tc>
          <w:tcPr>
            <w:tcW w:type="dxa" w:w="5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Automotive pack seeded; BMW-style dashboard live on test.</w:t>
            </w:r>
          </w:p>
        </w:tc>
      </w:tr>
      <w:tr>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Sprint 6 (Q4-W3–4)</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SUP-01</w:t>
            </w:r>
          </w:p>
        </w:tc>
        <w:tc>
          <w:tcPr>
            <w:tcW w:type="dxa" w:w="5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Supplier portal GA; first live buyer dispatches 10 requests.</w:t>
            </w:r>
          </w:p>
        </w:tc>
      </w:tr>
      <w:tr>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Sprint 7 (Q4-W5–6)</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SUP-02</w:t>
            </w:r>
          </w:p>
        </w:tc>
        <w:tc>
          <w:tcPr>
            <w:tcW w:type="dxa" w:w="5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Supplier-fed PCF integration live.</w:t>
            </w:r>
          </w:p>
        </w:tc>
      </w:tr>
      <w:tr>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Q4 release</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w:t>
            </w:r>
          </w:p>
        </w:tc>
        <w:tc>
          <w:tcPr>
            <w:tcW w:type="dxa" w:w="5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Automotive + Supplier portal public launch.</w:t>
            </w:r>
          </w:p>
        </w:tc>
      </w:tr>
      <w:tr>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Sprint 8 (Q1-W1–2)</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RE-01</w:t>
            </w:r>
          </w:p>
        </w:tc>
        <w:tc>
          <w:tcPr>
            <w:tcW w:type="dxa" w:w="5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Real estate schema; first asset uploaded.</w:t>
            </w:r>
          </w:p>
        </w:tc>
      </w:tr>
      <w:tr>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Sprint 9 (Q1-W3–4)</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RE-02</w:t>
            </w:r>
          </w:p>
        </w:tc>
        <w:tc>
          <w:tcPr>
            <w:tcW w:type="dxa" w:w="5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CRREM engine running; stranded-asset map live.</w:t>
            </w:r>
          </w:p>
        </w:tc>
      </w:tr>
      <w:tr>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Sprint 10 (Q1-W5–6)</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FS-01</w:t>
            </w:r>
          </w:p>
        </w:tc>
        <w:tc>
          <w:tcPr>
            <w:tcW w:type="dxa" w:w="5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Financial exposure model; first PCAF test calc.</w:t>
            </w:r>
          </w:p>
        </w:tc>
      </w:tr>
      <w:tr>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Sprint 11 (Q1-W7–8)</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FS-02</w:t>
            </w:r>
          </w:p>
        </w:tc>
        <w:tc>
          <w:tcPr>
            <w:tcW w:type="dxa" w:w="5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PCAF engine + SFDR PAI exporter live.</w:t>
            </w:r>
          </w:p>
        </w:tc>
      </w:tr>
      <w:tr>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Q1 2027 release</w:t>
            </w:r>
          </w:p>
        </w:tc>
        <w:tc>
          <w:tcPr>
            <w:tcW w:type="dxa" w:w="2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w:t>
            </w:r>
          </w:p>
        </w:tc>
        <w:tc>
          <w:tcPr>
            <w:tcW w:type="dxa" w:w="5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20"/>
            </w:tcMar>
          </w:tcPr>
          <w:p>
            <w:r>
              <w:rPr>
                <w:rFonts w:ascii="Calibri" w:cs="Calibri" w:eastAsia="Calibri" w:hAnsi="Calibri"/>
                <w:b w:val="false"/>
                <w:bCs w:val="false"/>
                <w:color w:val="111827"/>
                <w:sz w:val="20"/>
                <w:szCs w:val="20"/>
              </w:rPr>
              <w:t xml:space="preserve">Full platform launch — six sectors, enterprise-tier pricing unlocked.</w:t>
            </w:r>
          </w:p>
        </w:tc>
      </w:tr>
    </w:tbl>
    <w:p>
      <w:pPr>
        <w:pStyle w:val="Heading2"/>
        <w:spacing w:after="140" w:before="320"/>
      </w:pPr>
      <w:r>
        <w:rPr>
          <w:rFonts w:ascii="Calibri" w:cs="Calibri" w:eastAsia="Calibri" w:hAnsi="Calibri"/>
          <w:b/>
          <w:bCs/>
          <w:color w:val="111827"/>
          <w:sz w:val="30"/>
          <w:szCs w:val="30"/>
        </w:rPr>
        <w:t xml:space="preserve">5.2 What NOT to build in this roadmap</w:t>
      </w:r>
    </w:p>
    <w:p>
      <w:pPr>
        <w:spacing w:after="120" w:line="300"/>
      </w:pPr>
      <w:r>
        <w:rPr>
          <w:rFonts w:ascii="Calibri" w:cs="Calibri" w:eastAsia="Calibri" w:hAnsi="Calibri"/>
          <w:color w:val="111827"/>
          <w:sz w:val="22"/>
          <w:szCs w:val="22"/>
        </w:rPr>
        <w:t xml:space="preserve">Ruthlessly deprioritised — ship them only when real customer pull demands them:</w:t>
      </w:r>
    </w:p>
    <w:p>
      <w:pPr>
        <w:pStyle w:val="ListParagraph"/>
        <w:numPr>
          <w:ilvl w:val="0"/>
          <w:numId w:val="2"/>
        </w:numPr>
        <w:spacing w:after="80" w:line="280"/>
      </w:pPr>
      <w:r>
        <w:rPr>
          <w:rFonts w:ascii="Calibri" w:cs="Calibri" w:eastAsia="Calibri" w:hAnsi="Calibri"/>
          <w:color w:val="111827"/>
          <w:sz w:val="22"/>
          <w:szCs w:val="22"/>
        </w:rPr>
        <w:t xml:space="preserve">Full ISO 14067 verification workflow (defer to 2027 H2 — MVP supports external verifier role via existing audit lineage).</w:t>
      </w:r>
    </w:p>
    <w:p>
      <w:pPr>
        <w:pStyle w:val="ListParagraph"/>
        <w:numPr>
          <w:ilvl w:val="0"/>
          <w:numId w:val="2"/>
        </w:numPr>
        <w:spacing w:after="80" w:line="280"/>
      </w:pPr>
      <w:r>
        <w:rPr>
          <w:rFonts w:ascii="Calibri" w:cs="Calibri" w:eastAsia="Calibri" w:hAnsi="Calibri"/>
          <w:color w:val="111827"/>
          <w:sz w:val="22"/>
          <w:szCs w:val="22"/>
        </w:rPr>
        <w:t xml:space="preserve">Catena-X live data-space integration (requires commercial membership; build an export format that matches, integrate when 3+ customers request).</w:t>
      </w:r>
    </w:p>
    <w:p>
      <w:pPr>
        <w:pStyle w:val="ListParagraph"/>
        <w:numPr>
          <w:ilvl w:val="0"/>
          <w:numId w:val="2"/>
        </w:numPr>
        <w:spacing w:after="80" w:line="280"/>
      </w:pPr>
      <w:r>
        <w:rPr>
          <w:rFonts w:ascii="Calibri" w:cs="Calibri" w:eastAsia="Calibri" w:hAnsi="Calibri"/>
          <w:color w:val="111827"/>
          <w:sz w:val="22"/>
          <w:szCs w:val="22"/>
        </w:rPr>
        <w:t xml:space="preserve">Real-time benchmark updates — nightly batch is enough for v1.</w:t>
      </w:r>
    </w:p>
    <w:p>
      <w:pPr>
        <w:pStyle w:val="ListParagraph"/>
        <w:numPr>
          <w:ilvl w:val="0"/>
          <w:numId w:val="2"/>
        </w:numPr>
        <w:spacing w:after="80" w:line="280"/>
      </w:pPr>
      <w:r>
        <w:rPr>
          <w:rFonts w:ascii="Calibri" w:cs="Calibri" w:eastAsia="Calibri" w:hAnsi="Calibri"/>
          <w:color w:val="111827"/>
          <w:sz w:val="22"/>
          <w:szCs w:val="22"/>
        </w:rPr>
        <w:t xml:space="preserve">Mobile native apps — the supplier portal is mobile-responsive web; native adds scope without adding revenue in this window.</w:t>
      </w:r>
    </w:p>
    <w:p>
      <w:pPr>
        <w:pStyle w:val="ListParagraph"/>
        <w:numPr>
          <w:ilvl w:val="0"/>
          <w:numId w:val="2"/>
        </w:numPr>
        <w:spacing w:after="80" w:line="280"/>
      </w:pPr>
      <w:r>
        <w:rPr>
          <w:rFonts w:ascii="Calibri" w:cs="Calibri" w:eastAsia="Calibri" w:hAnsi="Calibri"/>
          <w:color w:val="111827"/>
          <w:sz w:val="22"/>
          <w:szCs w:val="22"/>
        </w:rPr>
        <w:t xml:space="preserve">Counterparty emissions data-provider integrations (MSCI, S&amp;P, ISS) — the FS adapter pattern makes this additive; enterprise customers bring their own subscriptions.</w:t>
      </w:r>
    </w:p>
    <w:p>
      <w:pPr>
        <w:pStyle w:val="Heading2"/>
        <w:spacing w:after="140" w:before="320"/>
      </w:pPr>
      <w:r>
        <w:rPr>
          <w:rFonts w:ascii="Calibri" w:cs="Calibri" w:eastAsia="Calibri" w:hAnsi="Calibri"/>
          <w:b/>
          <w:bCs/>
          <w:color w:val="111827"/>
          <w:sz w:val="30"/>
          <w:szCs w:val="30"/>
        </w:rPr>
        <w:t xml:space="preserve">5.3 Definition of Done (applies to every ticket)</w:t>
      </w:r>
    </w:p>
    <w:p>
      <w:pPr>
        <w:pStyle w:val="ListParagraph"/>
        <w:numPr>
          <w:ilvl w:val="0"/>
          <w:numId w:val="2"/>
        </w:numPr>
        <w:spacing w:after="80" w:line="280"/>
      </w:pPr>
      <w:r>
        <w:rPr>
          <w:rFonts w:ascii="Calibri" w:cs="Calibri" w:eastAsia="Calibri" w:hAnsi="Calibri"/>
          <w:color w:val="111827"/>
          <w:sz w:val="22"/>
          <w:szCs w:val="22"/>
        </w:rPr>
        <w:t xml:space="preserve">Backend: Prisma migration reversible; unit tests ≥ 80% coverage on service layer; integration test for the happy path; OpenAPI docs updated.</w:t>
      </w:r>
    </w:p>
    <w:p>
      <w:pPr>
        <w:pStyle w:val="ListParagraph"/>
        <w:numPr>
          <w:ilvl w:val="0"/>
          <w:numId w:val="2"/>
        </w:numPr>
        <w:spacing w:after="80" w:line="280"/>
      </w:pPr>
      <w:r>
        <w:rPr>
          <w:rFonts w:ascii="Calibri" w:cs="Calibri" w:eastAsia="Calibri" w:hAnsi="Calibri"/>
          <w:color w:val="111827"/>
          <w:sz w:val="22"/>
          <w:szCs w:val="22"/>
        </w:rPr>
        <w:t xml:space="preserve">Frontend: Component rendered in Storybook with at least 3 states (empty, loading, populated); dark-mode verified; keyboard-navigable; tested at 320px width.</w:t>
      </w:r>
    </w:p>
    <w:p>
      <w:pPr>
        <w:pStyle w:val="ListParagraph"/>
        <w:numPr>
          <w:ilvl w:val="0"/>
          <w:numId w:val="2"/>
        </w:numPr>
        <w:spacing w:after="80" w:line="280"/>
      </w:pPr>
      <w:r>
        <w:rPr>
          <w:rFonts w:ascii="Calibri" w:cs="Calibri" w:eastAsia="Calibri" w:hAnsi="Calibri"/>
          <w:color w:val="111827"/>
          <w:sz w:val="22"/>
          <w:szCs w:val="22"/>
        </w:rPr>
        <w:t xml:space="preserve">Content (sector packs): SME reviewer sign-off; factor sources cited; license file present.</w:t>
      </w:r>
    </w:p>
    <w:p>
      <w:pPr>
        <w:pStyle w:val="ListParagraph"/>
        <w:numPr>
          <w:ilvl w:val="0"/>
          <w:numId w:val="2"/>
        </w:numPr>
        <w:spacing w:after="80" w:line="280"/>
      </w:pPr>
      <w:r>
        <w:rPr>
          <w:rFonts w:ascii="Calibri" w:cs="Calibri" w:eastAsia="Calibri" w:hAnsi="Calibri"/>
          <w:color w:val="111827"/>
          <w:sz w:val="22"/>
          <w:szCs w:val="22"/>
        </w:rPr>
        <w:t xml:space="preserve">UX: user can complete the happy path with no support article open; the feature has a 1-sentence onboarding tooltip on first use.</w:t>
      </w:r>
    </w:p>
    <w:p>
      <w:pPr>
        <w:pStyle w:val="ListParagraph"/>
        <w:numPr>
          <w:ilvl w:val="0"/>
          <w:numId w:val="2"/>
        </w:numPr>
        <w:spacing w:after="80" w:line="280"/>
      </w:pPr>
      <w:r>
        <w:rPr>
          <w:rFonts w:ascii="Calibri" w:cs="Calibri" w:eastAsia="Calibri" w:hAnsi="Calibri"/>
          <w:color w:val="111827"/>
          <w:sz w:val="22"/>
          <w:szCs w:val="22"/>
        </w:rPr>
        <w:t xml:space="preserve">Launch: changelog entry written; in-app changelog modal triggered on user's next visit; sales deck updated.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4"/>
              <w:left w:val="single" w:color="0F766E" w:sz="24"/>
              <w:bottom w:val="single" w:color="0F766E" w:sz="4"/>
              <w:right w:val="single" w:color="0F766E" w:sz="4"/>
            </w:tcBorders>
            <w:shd w:fill="F0FDFA" w:val="clear"/>
            <w:tcMar>
              <w:top w:type="dxa" w:w="160"/>
              <w:left w:type="dxa" w:w="220"/>
              <w:bottom w:type="dxa" w:w="160"/>
              <w:right w:type="dxa" w:w="180"/>
            </w:tcMar>
          </w:tcPr>
          <w:p>
            <w:pPr>
              <w:spacing w:after="60"/>
            </w:pPr>
            <w:r>
              <w:rPr>
                <w:rFonts w:ascii="Calibri" w:cs="Calibri" w:eastAsia="Calibri" w:hAnsi="Calibri"/>
                <w:b/>
                <w:bCs/>
                <w:color w:val="0F766E"/>
                <w:sz w:val="22"/>
                <w:szCs w:val="22"/>
              </w:rPr>
              <w:t xml:space="preserve">One note to the engineering lead</w:t>
            </w:r>
          </w:p>
          <w:p>
            <w:pPr>
              <w:spacing w:after="0" w:line="280"/>
            </w:pPr>
            <w:r>
              <w:rPr>
                <w:rFonts w:ascii="Calibri" w:cs="Calibri" w:eastAsia="Calibri" w:hAnsi="Calibri"/>
                <w:color w:val="111827"/>
                <w:sz w:val="22"/>
                <w:szCs w:val="22"/>
              </w:rPr>
              <w:t xml:space="preserve">The three releases compound: the PCF engine built in Q2 feeds the supplier portal in Q4 and the PCAF engine in Q1. Don't optimise any single release in isolation. Every data model added in Q2 should look right when you squint at the Q1 2027 endpoint. When in doubt, favour the sector-agnostic abstraction over the sector-specific shortcut — you will thank yourself in January 2027.</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7280"/>
        <w:sz w:val="18"/>
        <w:szCs w:val="18"/>
      </w:rPr>
      <w:t xml:space="preserve">Page </w:t>
    </w:r>
    <w:r>
      <w:rPr>
        <w:rFonts w:ascii="Calibri" w:cs="Calibri" w:eastAsia="Calibri" w:hAnsi="Calibri"/>
        <w:color w:val="6B7280"/>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of </w:t>
    </w:r>
    <w:r>
      <w:rPr>
        <w:rFonts w:ascii="Calibri" w:cs="Calibri" w:eastAsia="Calibri" w:hAnsi="Calibri"/>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8"/>
        <w:szCs w:val="18"/>
      </w:rPr>
      <w:t xml:space="preserve">Triple I ESG Portal  ·  Engineering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F766E"/>
      <w:sz w:val="40"/>
      <w:szCs w:val="40"/>
    </w:rPr>
  </w:style>
  <w:style w:type="paragraph" w:styleId="Heading2">
    <w:name w:val="Heading 2"/>
    <w:basedOn w:val="Normal"/>
    <w:next w:val="Normal"/>
    <w:qFormat/>
    <w:pPr>
      <w:spacing w:after="140" w:before="320"/>
      <w:outlineLvl w:val="1"/>
    </w:pPr>
    <w:rPr>
      <w:rFonts w:ascii="Calibri" w:cs="Calibri" w:eastAsia="Calibri" w:hAnsi="Calibri"/>
      <w:b/>
      <w:bCs/>
      <w:color w:val="111827"/>
      <w:sz w:val="30"/>
      <w:szCs w:val="30"/>
    </w:rPr>
  </w:style>
  <w:style w:type="paragraph" w:styleId="Heading3">
    <w:name w:val="Heading 3"/>
    <w:basedOn w:val="Normal"/>
    <w:next w:val="Normal"/>
    <w:qFormat/>
    <w:pPr>
      <w:spacing w:after="100" w:before="240"/>
      <w:outlineLvl w:val="2"/>
    </w:pPr>
    <w:rPr>
      <w:rFonts w:ascii="Calibri" w:cs="Calibri" w:eastAsia="Calibri" w:hAnsi="Calibri"/>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Specification — PCF + Sector Packs Roadmap</dc:title>
  <dc:creator>Triple I ESG Portal</dc:creator>
  <dc:description>Technical tasks for Q2 2026–Q1 2027 releases</dc:description>
  <cp:lastModifiedBy>Un-named</cp:lastModifiedBy>
  <cp:revision>1</cp:revision>
  <dcterms:created xsi:type="dcterms:W3CDTF">2026-04-17T11:47:42.059Z</dcterms:created>
  <dcterms:modified xsi:type="dcterms:W3CDTF">2026-04-17T11:47:42.061Z</dcterms:modified>
</cp:coreProperties>
</file>

<file path=docProps/custom.xml><?xml version="1.0" encoding="utf-8"?>
<Properties xmlns="http://schemas.openxmlformats.org/officeDocument/2006/custom-properties" xmlns:vt="http://schemas.openxmlformats.org/officeDocument/2006/docPropsVTypes"/>
</file>