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t xml:space="preserve">Engineering Innovation &amp; Entrepreneurship</w:t>
      </w:r>
    </w:p>
    <w:p w:rsidR="00000000" w:rsidDel="00000000" w:rsidP="00000000" w:rsidRDefault="00000000" w:rsidRPr="00000000" w14:paraId="00000002">
      <w:pPr>
        <w:rPr>
          <w:rFonts w:ascii="Times New Roman" w:cs="Times New Roman" w:eastAsia="Times New Roman" w:hAnsi="Times New Roman"/>
          <w:b w:val="1"/>
          <w:bCs w:val="1"/>
          <w:color w:val="202122"/>
          <w:sz w:val="24"/>
          <w:szCs w:val="24"/>
          <w:highlight w:val="white"/>
        </w:rPr>
      </w:pPr>
      <w:r w:rsidDel="00000000" w:rsidR="00000000" w:rsidRPr="00000000">
        <w:rPr>
          <w:rtl w:val="0"/>
        </w:rPr>
        <w:t xml:space="preserve">03/29/2026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jc w:val="center"/>
        <w:rPr>
          <w:rFonts w:ascii="Montserrat" w:cs="Montserrat" w:eastAsia="Montserrat" w:hAnsi="Montserrat"/>
          <w:b w:val="1"/>
          <w:bCs w:val="1"/>
        </w:rPr>
      </w:pPr>
      <w:bookmarkStart w:colFirst="0" w:colLast="0" w:name="_emjrx0a01zz4" w:id="0"/>
      <w:bookmarkEnd w:id="0"/>
      <w:r w:rsidDel="00000000" w:rsidR="00000000" w:rsidRPr="00000000">
        <w:rPr>
          <w:rFonts w:ascii="Montserrat" w:cs="Montserrat" w:eastAsia="Montserrat" w:hAnsi="Montserrat"/>
          <w:b w:val="1"/>
          <w:bCs w:val="1"/>
          <w:rtl w:val="0"/>
        </w:rPr>
        <w:t xml:space="preserve">Everyday Friction</w:t>
      </w:r>
    </w:p>
    <w:p w:rsidR="00000000" w:rsidDel="00000000" w:rsidP="00000000" w:rsidRDefault="00000000" w:rsidRPr="00000000" w14:paraId="0000000F">
      <w:pPr>
        <w:jc w:val="cente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Product Description</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spacing w:before="480" w:lineRule="auto"/>
        <w:rPr>
          <w:rFonts w:ascii="Times New Roman" w:cs="Times New Roman" w:eastAsia="Times New Roman" w:hAnsi="Times New Roman"/>
          <w:b w:val="1"/>
          <w:bCs w:val="1"/>
          <w:color w:val="202122"/>
          <w:sz w:val="24"/>
          <w:szCs w:val="24"/>
          <w:highlight w:val="white"/>
        </w:rPr>
      </w:pPr>
      <w:bookmarkStart w:colFirst="0" w:colLast="0" w:name="_lmwb4olfd5bm" w:id="1"/>
      <w:bookmarkEnd w:id="1"/>
      <w:r w:rsidDel="00000000" w:rsidR="00000000" w:rsidRPr="00000000">
        <w:rPr>
          <w:rtl w:val="0"/>
        </w:rPr>
      </w:r>
    </w:p>
    <w:p w:rsidR="00000000" w:rsidDel="00000000" w:rsidP="00000000" w:rsidRDefault="00000000" w:rsidRPr="00000000" w14:paraId="00000021">
      <w:pPr>
        <w:spacing w:before="480" w:lineRule="auto"/>
        <w:rPr>
          <w:color w:val="202122"/>
          <w:highlight w:val="white"/>
        </w:rPr>
      </w:pPr>
      <w:r w:rsidDel="00000000" w:rsidR="00000000" w:rsidRPr="00000000">
        <w:rPr>
          <w:rtl w:val="0"/>
        </w:rPr>
        <w:t xml:space="preserve">By: Ryan Jankowski, Sarah Stantial, Shannon Cullen, Annanahmed Furkanahmed Shaikh, Rohan Pratap Reddy Ravula</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keepNext w:val="0"/>
        <w:keepLines w:val="0"/>
        <w:spacing w:before="0" w:line="480" w:lineRule="auto"/>
        <w:rPr>
          <w:rFonts w:ascii="Times New Roman" w:cs="Times New Roman" w:eastAsia="Times New Roman" w:hAnsi="Times New Roman"/>
          <w:b w:val="1"/>
          <w:bCs w:val="1"/>
          <w:color w:val="202122"/>
          <w:sz w:val="24"/>
          <w:szCs w:val="24"/>
          <w:highlight w:val="white"/>
        </w:rPr>
      </w:pPr>
      <w:bookmarkStart w:colFirst="0" w:colLast="0" w:name="_9wauaxs3vkoe" w:id="2"/>
      <w:bookmarkEnd w:id="2"/>
      <w:r w:rsidDel="00000000" w:rsidR="00000000" w:rsidRPr="00000000">
        <w:rPr>
          <w:rFonts w:ascii="Times New Roman" w:cs="Times New Roman" w:eastAsia="Times New Roman" w:hAnsi="Times New Roman"/>
          <w:b w:val="1"/>
          <w:bCs w:val="1"/>
          <w:color w:val="202122"/>
          <w:sz w:val="24"/>
          <w:szCs w:val="24"/>
          <w:highlight w:val="white"/>
          <w:rtl w:val="0"/>
        </w:rPr>
        <w:t xml:space="preserve">Product Description</w:t>
      </w:r>
    </w:p>
    <w:p w:rsidR="00000000" w:rsidDel="00000000" w:rsidP="00000000" w:rsidRDefault="00000000" w:rsidRPr="00000000" w14:paraId="00000023">
      <w:pPr>
        <w:keepNext w:val="0"/>
        <w:keepLines w:val="0"/>
        <w:spacing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MVP, we decided to create a CAD model of our product to visually show the conceptual idea we had for what it would look like. </w:t>
      </w:r>
    </w:p>
    <w:p w:rsidR="00000000" w:rsidDel="00000000" w:rsidP="00000000" w:rsidRDefault="00000000" w:rsidRPr="00000000" w14:paraId="00000024">
      <w:pPr>
        <w:keepNext w:val="0"/>
        <w:keepLines w:val="0"/>
        <w:spacing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product has three main aspects – cable conversion, power conversion, and a power supply – and is divided into 2 parts – an adapter and a battery. The adapter part houses the cable conversion while the battery contains the power conversion and supply. One of the biggest problems with the adapters on the market currently is that they only include certain ports and only have one cable, meaning that adapter can only work with devices that have that corresponding port. This results in the need for many different adapters for different devices and purposes. Our product includes not only multiple ports, but multiple cable ends as well. The adaptor portion contains one cable with a USB-C end and then we offer various other ends that can connect to it and transform it into another cable type such as USB-A, lighting, etc. These separate ends are stored on the adapter itself on faux USB-C ends for convenience and safekeeping. The cord is also retractable so the user can extend it to their desired length and then have it neatly stored away. The battery portion of the product is essentially a detachable power supply with different types of plugs, making it extremely advantageous for travelling. It has a type A plug and, like the cable ends of the adapter part, other types of plugs that can attach to it and are stored on fake connections on the battery. The plug is also on a retractable cord so the user doesn’t need to worry about the weight of the battery or converter assembly pulling it down and out of the wall. The two pieces slide into each other with a dovetail groove for an easy assembly and secure connection.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