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75711" w14:textId="4E28B25C" w:rsidR="009A0487" w:rsidRPr="009C541F" w:rsidRDefault="00F82B61">
      <w:pPr>
        <w:pStyle w:val="Title"/>
      </w:pPr>
      <w:r>
        <w:t xml:space="preserve">Markov Decision Process approach in </w:t>
      </w:r>
      <w:r w:rsidR="00DA74C7">
        <w:t xml:space="preserve">the </w:t>
      </w:r>
      <w:r>
        <w:t>e</w:t>
      </w:r>
      <w:r w:rsidR="00AE168E">
        <w:t xml:space="preserve">stimation of </w:t>
      </w:r>
      <w:r w:rsidR="000954DB">
        <w:t xml:space="preserve">raw material </w:t>
      </w:r>
      <w:r>
        <w:t>quality</w:t>
      </w:r>
      <w:r w:rsidR="00AE168E">
        <w:t xml:space="preserve"> </w:t>
      </w:r>
      <w:r w:rsidR="005223AA">
        <w:t>in incoming inspection</w:t>
      </w:r>
    </w:p>
    <w:p w14:paraId="7F8915C4" w14:textId="5D47471A" w:rsidR="00F82B61" w:rsidRDefault="00F82B61" w:rsidP="00F82B61">
      <w:pPr>
        <w:pStyle w:val="Authors"/>
      </w:pPr>
      <w:r>
        <w:t xml:space="preserve">Annapoorni </w:t>
      </w:r>
      <w:r w:rsidR="002B4563">
        <w:t>Mani</w:t>
      </w:r>
      <w:r w:rsidRPr="00CC5972">
        <w:rPr>
          <w:vertAlign w:val="superscript"/>
        </w:rPr>
        <w:t>1</w:t>
      </w:r>
      <w:r>
        <w:t xml:space="preserve">, </w:t>
      </w:r>
      <w:proofErr w:type="spellStart"/>
      <w:r w:rsidR="00297169">
        <w:t>Sha</w:t>
      </w:r>
      <w:r w:rsidR="003C53D8">
        <w:t>h</w:t>
      </w:r>
      <w:r w:rsidR="00297169">
        <w:t>riman</w:t>
      </w:r>
      <w:proofErr w:type="spellEnd"/>
      <w:r w:rsidR="00297169">
        <w:t xml:space="preserve"> Abu Bakar</w:t>
      </w:r>
      <w:r w:rsidR="00297169">
        <w:rPr>
          <w:vertAlign w:val="superscript"/>
        </w:rPr>
        <w:t>2</w:t>
      </w:r>
      <w:r>
        <w:t>, Pranesh Krishnan</w:t>
      </w:r>
      <w:r w:rsidRPr="00CC5972">
        <w:rPr>
          <w:vertAlign w:val="superscript"/>
        </w:rPr>
        <w:t>3</w:t>
      </w:r>
      <w:r>
        <w:t xml:space="preserve">, </w:t>
      </w:r>
      <w:bookmarkStart w:id="0" w:name="_Hlk72058407"/>
      <w:r w:rsidR="00297169">
        <w:t>Sazali Yaacob</w:t>
      </w:r>
      <w:r w:rsidR="00297169">
        <w:rPr>
          <w:sz w:val="20"/>
          <w:szCs w:val="20"/>
          <w:vertAlign w:val="superscript"/>
        </w:rPr>
        <w:t>4</w:t>
      </w:r>
    </w:p>
    <w:bookmarkEnd w:id="0"/>
    <w:p w14:paraId="49150B32" w14:textId="68D20CF0" w:rsidR="00F82B61" w:rsidRDefault="00F82B61" w:rsidP="00F82B61">
      <w:pPr>
        <w:pStyle w:val="Addresses"/>
        <w:spacing w:after="0"/>
      </w:pPr>
      <w:r w:rsidRPr="00CC5972">
        <w:rPr>
          <w:vertAlign w:val="superscript"/>
        </w:rPr>
        <w:t>1</w:t>
      </w:r>
      <w:r>
        <w:rPr>
          <w:vertAlign w:val="superscript"/>
        </w:rPr>
        <w:t xml:space="preserve"> </w:t>
      </w:r>
      <w:r>
        <w:t xml:space="preserve">  Ph</w:t>
      </w:r>
      <w:r w:rsidR="003C53D8">
        <w:t>.</w:t>
      </w:r>
      <w:r>
        <w:t>D</w:t>
      </w:r>
      <w:r w:rsidR="003C53D8">
        <w:t>.</w:t>
      </w:r>
      <w:r>
        <w:t xml:space="preserve"> Research Scholar, </w:t>
      </w:r>
      <w:r w:rsidR="00D64A75">
        <w:t xml:space="preserve">British </w:t>
      </w:r>
      <w:r>
        <w:t xml:space="preserve">Malaysian Institute Universiti Kuala Lumpur, </w:t>
      </w:r>
      <w:r w:rsidR="00D64A75">
        <w:t xml:space="preserve">Gombak, </w:t>
      </w:r>
      <w:r w:rsidR="00546FB3">
        <w:t xml:space="preserve">Selangor, </w:t>
      </w:r>
      <w:r>
        <w:t>Malaysia</w:t>
      </w:r>
    </w:p>
    <w:p w14:paraId="59E43556" w14:textId="2F3AEBB8" w:rsidR="00297169" w:rsidRDefault="00297169" w:rsidP="00F82B61">
      <w:pPr>
        <w:pStyle w:val="Addresses"/>
        <w:spacing w:after="0"/>
        <w:rPr>
          <w:vertAlign w:val="superscript"/>
        </w:rPr>
      </w:pPr>
      <w:r>
        <w:rPr>
          <w:vertAlign w:val="superscript"/>
        </w:rPr>
        <w:t xml:space="preserve">2 </w:t>
      </w:r>
      <w:r>
        <w:t xml:space="preserve">  Professor Madya, Faculty of Mechanical Engineering Technology, Universiti Malaysia Perlis, Perlis, Malaysia</w:t>
      </w:r>
    </w:p>
    <w:p w14:paraId="178FC2BE" w14:textId="78546CF0" w:rsidR="00F82B61" w:rsidRDefault="00F82B61" w:rsidP="00F82B61">
      <w:pPr>
        <w:pStyle w:val="Addresses"/>
        <w:spacing w:after="0"/>
      </w:pPr>
      <w:r>
        <w:rPr>
          <w:vertAlign w:val="superscript"/>
        </w:rPr>
        <w:t xml:space="preserve">3 </w:t>
      </w:r>
      <w:r>
        <w:t xml:space="preserve">  Talent and Content AI Instructor, Skymind Holdings Berhad, Kuala Lumpur, Malaysia</w:t>
      </w:r>
    </w:p>
    <w:p w14:paraId="6B4F9BEC" w14:textId="5E589B85" w:rsidR="00297169" w:rsidRDefault="00297169" w:rsidP="00297169">
      <w:pPr>
        <w:pStyle w:val="Addresses"/>
        <w:spacing w:after="0"/>
      </w:pPr>
      <w:bookmarkStart w:id="1" w:name="_Hlk72058385"/>
      <w:r>
        <w:rPr>
          <w:vertAlign w:val="superscript"/>
        </w:rPr>
        <w:t xml:space="preserve">4 </w:t>
      </w:r>
      <w:r>
        <w:t xml:space="preserve">  Professor and Dean, Malaysian Spanish Institute Universiti Kuala Lumpur, Kulim, Kedah, Malaysia</w:t>
      </w:r>
    </w:p>
    <w:bookmarkEnd w:id="1"/>
    <w:p w14:paraId="0D43026A" w14:textId="77777777" w:rsidR="00006EA6" w:rsidRDefault="00006EA6">
      <w:pPr>
        <w:pStyle w:val="E-mail"/>
      </w:pPr>
    </w:p>
    <w:p w14:paraId="5EC04D5C" w14:textId="370F8104" w:rsidR="009A0487" w:rsidRDefault="004750E0">
      <w:pPr>
        <w:pStyle w:val="E-mail"/>
      </w:pPr>
      <w:r>
        <w:t xml:space="preserve">Email: </w:t>
      </w:r>
      <w:hyperlink r:id="rId8" w:history="1">
        <w:r w:rsidR="00DF14D0" w:rsidRPr="003C5C10">
          <w:rPr>
            <w:rStyle w:val="Hyperlink"/>
          </w:rPr>
          <w:t>shahriman@unimap.edu.my</w:t>
        </w:r>
      </w:hyperlink>
      <w:r w:rsidR="00DF14D0">
        <w:t xml:space="preserve"> </w:t>
      </w:r>
      <w:r w:rsidR="009528D6">
        <w:t xml:space="preserve">;  </w:t>
      </w:r>
      <w:hyperlink r:id="rId9" w:history="1">
        <w:r w:rsidR="00576F57" w:rsidRPr="003C5C10">
          <w:rPr>
            <w:rStyle w:val="Hyperlink"/>
          </w:rPr>
          <w:t>annapoorni.pranesh@gmail.com</w:t>
        </w:r>
      </w:hyperlink>
    </w:p>
    <w:p w14:paraId="1264ACC0" w14:textId="14E8FC76" w:rsidR="009A0487" w:rsidRDefault="009A0487">
      <w:pPr>
        <w:pStyle w:val="Abstract"/>
      </w:pPr>
      <w:r>
        <w:rPr>
          <w:b/>
        </w:rPr>
        <w:t>Abstract</w:t>
      </w:r>
      <w:r>
        <w:t xml:space="preserve">. </w:t>
      </w:r>
      <w:r w:rsidR="00601883" w:rsidRPr="00601883">
        <w:t>The incoming inspection process in any manufacturing plant aims to control quality, reduce manufacturing costs, eliminate scrap, and process failure downtime due to defective raw materials. Prediction of the raw material acceptance rate can regulate the raw material supplier selection and improve the manufacturing process by filtering out non-conformities. This paper presents a raw material acceptance prediction model (RMAP) developed based on the Markov analysis. RFID tags are used to track the parts throughout the process. A secondary dataset can be derived from the raw RFID data. In this study, a dataset is simulated to reflect a typical incoming inspection process consisting of six substations (Packaging Inspection, Visual Inspection, Gauge Inspection, Rework1, and Rework2) are considered. The accepted parts are forwarded to the Pack and Store station and stored in the warehouse. The non-conforming parts are returned to the supplier. The proposed RMAP model estimates the probability of the raw material being accepted or rejected at each inspection station. The proposed model is evaluated using three test cases: case A (lower conformities), case B (higher conformities) and case C (equal chances of being accepted and rejected). Based on the outcome of the limiting matrix for the three test cases, the results are discussed. The steady</w:t>
      </w:r>
      <w:r w:rsidR="00C163D1">
        <w:t>-</w:t>
      </w:r>
      <w:r w:rsidR="00601883" w:rsidRPr="00601883">
        <w:t>state matrix forecasts the probability of the raw material in a random state. This prediction and forecasting ability of the proposed model enables the industries to save time and cost</w:t>
      </w:r>
      <w:r w:rsidR="002D49EA">
        <w:t>.</w:t>
      </w:r>
    </w:p>
    <w:p w14:paraId="3B43EB90" w14:textId="574ADC03" w:rsidR="009A0487" w:rsidRDefault="004750E0">
      <w:pPr>
        <w:pStyle w:val="Section"/>
      </w:pPr>
      <w:r>
        <w:t>Introduction</w:t>
      </w:r>
    </w:p>
    <w:p w14:paraId="27D0D634" w14:textId="4A8D6427" w:rsidR="00CF663D" w:rsidRPr="00CF663D" w:rsidRDefault="00CF663D" w:rsidP="00CF663D">
      <w:pPr>
        <w:pStyle w:val="BodytextIndented"/>
        <w:rPr>
          <w:lang w:val="en-GB"/>
        </w:rPr>
      </w:pPr>
      <w:r w:rsidRPr="00CF663D">
        <w:rPr>
          <w:lang w:val="en-GB"/>
        </w:rPr>
        <w:t xml:space="preserve">Materials purchased from </w:t>
      </w:r>
      <w:r w:rsidR="003B0832" w:rsidRPr="00CF663D">
        <w:rPr>
          <w:lang w:val="en-GB"/>
        </w:rPr>
        <w:t>providers</w:t>
      </w:r>
      <w:r w:rsidRPr="00CF663D">
        <w:rPr>
          <w:lang w:val="en-GB"/>
        </w:rPr>
        <w:t xml:space="preserve"> and then </w:t>
      </w:r>
      <w:r w:rsidR="003B0832" w:rsidRPr="00CF663D">
        <w:rPr>
          <w:lang w:val="en-GB"/>
        </w:rPr>
        <w:t>utilized</w:t>
      </w:r>
      <w:r w:rsidRPr="00CF663D">
        <w:rPr>
          <w:lang w:val="en-GB"/>
        </w:rPr>
        <w:t xml:space="preserve"> as inputs to the manufacturing process are referred to as raw material</w:t>
      </w:r>
      <w:r w:rsidR="00DA74C7">
        <w:rPr>
          <w:lang w:val="en-GB"/>
        </w:rPr>
        <w:t>s</w:t>
      </w:r>
      <w:r w:rsidRPr="00CF663D">
        <w:rPr>
          <w:lang w:val="en-GB"/>
        </w:rPr>
        <w:t xml:space="preserve"> in the inventory</w:t>
      </w:r>
      <w:r w:rsidR="003657DB">
        <w:rPr>
          <w:lang w:val="en-GB"/>
        </w:rPr>
        <w:t xml:space="preserve">. </w:t>
      </w:r>
      <w:r w:rsidRPr="00CF663D">
        <w:rPr>
          <w:lang w:val="en-GB"/>
        </w:rPr>
        <w:t xml:space="preserve">Raw material management reduces production stoppages by having the </w:t>
      </w:r>
      <w:r w:rsidR="003B0832">
        <w:rPr>
          <w:lang w:val="en-GB"/>
        </w:rPr>
        <w:t>appropriate quantity</w:t>
      </w:r>
      <w:r w:rsidRPr="00CF663D">
        <w:rPr>
          <w:lang w:val="en-GB"/>
        </w:rPr>
        <w:t xml:space="preserve"> of material </w:t>
      </w:r>
      <w:r w:rsidR="003B0832">
        <w:rPr>
          <w:lang w:val="en-GB"/>
        </w:rPr>
        <w:t xml:space="preserve">put </w:t>
      </w:r>
      <w:r w:rsidRPr="00CF663D">
        <w:rPr>
          <w:lang w:val="en-GB"/>
        </w:rPr>
        <w:t xml:space="preserve">in the </w:t>
      </w:r>
      <w:r w:rsidR="003B0832">
        <w:rPr>
          <w:lang w:val="en-GB"/>
        </w:rPr>
        <w:t xml:space="preserve">proper location </w:t>
      </w:r>
      <w:r w:rsidRPr="00CF663D">
        <w:rPr>
          <w:lang w:val="en-GB"/>
        </w:rPr>
        <w:t>in the raw material inventory at the right time at a reasonable cost.</w:t>
      </w:r>
      <w:r>
        <w:rPr>
          <w:lang w:val="en-GB"/>
        </w:rPr>
        <w:t xml:space="preserve"> </w:t>
      </w:r>
      <w:r w:rsidRPr="00CF663D">
        <w:rPr>
          <w:lang w:val="en-GB"/>
        </w:rPr>
        <w:t xml:space="preserve">These expenses can be kept as low as feasible with proper management, and material flow can be linked with production </w:t>
      </w:r>
      <w:r w:rsidR="00986544">
        <w:rPr>
          <w:lang w:val="en-GB"/>
        </w:rPr>
        <w:t>[1]</w:t>
      </w:r>
      <w:r w:rsidRPr="00CF663D">
        <w:rPr>
          <w:lang w:val="en-GB"/>
        </w:rPr>
        <w:t>.</w:t>
      </w:r>
    </w:p>
    <w:p w14:paraId="2CAF7842" w14:textId="1F1EB175" w:rsidR="00CF663D" w:rsidRDefault="00CF663D" w:rsidP="00CF663D">
      <w:pPr>
        <w:pStyle w:val="BodytextIndented"/>
        <w:rPr>
          <w:lang w:val="en-GB"/>
        </w:rPr>
      </w:pPr>
      <w:r w:rsidRPr="00CF663D">
        <w:rPr>
          <w:lang w:val="en-GB"/>
        </w:rPr>
        <w:t xml:space="preserve">Companies </w:t>
      </w:r>
      <w:r w:rsidR="00297169">
        <w:rPr>
          <w:lang w:val="en-GB"/>
        </w:rPr>
        <w:t xml:space="preserve">use inventory management </w:t>
      </w:r>
      <w:r w:rsidRPr="00CF663D">
        <w:rPr>
          <w:lang w:val="en-GB"/>
        </w:rPr>
        <w:t xml:space="preserve">to </w:t>
      </w:r>
      <w:r w:rsidR="003B0832">
        <w:rPr>
          <w:lang w:val="en-GB"/>
        </w:rPr>
        <w:t xml:space="preserve">maintain a </w:t>
      </w:r>
      <w:r w:rsidRPr="00CF663D">
        <w:rPr>
          <w:lang w:val="en-GB"/>
        </w:rPr>
        <w:t>competitive</w:t>
      </w:r>
      <w:r w:rsidR="003B0832">
        <w:rPr>
          <w:lang w:val="en-GB"/>
        </w:rPr>
        <w:t xml:space="preserve"> advantage</w:t>
      </w:r>
      <w:r w:rsidRPr="00CF663D">
        <w:rPr>
          <w:lang w:val="en-GB"/>
        </w:rPr>
        <w:t xml:space="preserve">, stay in business, and </w:t>
      </w:r>
      <w:r w:rsidR="003B0832">
        <w:rPr>
          <w:lang w:val="en-GB"/>
        </w:rPr>
        <w:t>grow their</w:t>
      </w:r>
      <w:r w:rsidRPr="00CF663D">
        <w:rPr>
          <w:lang w:val="en-GB"/>
        </w:rPr>
        <w:t xml:space="preserve"> market share</w:t>
      </w:r>
      <w:r w:rsidR="00297169">
        <w:rPr>
          <w:lang w:val="en-GB"/>
        </w:rPr>
        <w:t xml:space="preserve">. </w:t>
      </w:r>
      <w:r w:rsidRPr="00CF663D">
        <w:rPr>
          <w:lang w:val="en-GB"/>
        </w:rPr>
        <w:t xml:space="preserve">It has been determined that inventory management accounts for 30-35 </w:t>
      </w:r>
      <w:r w:rsidR="00C163D1">
        <w:rPr>
          <w:lang w:val="en-GB"/>
        </w:rPr>
        <w:t xml:space="preserve">% </w:t>
      </w:r>
      <w:r w:rsidRPr="00CF663D">
        <w:rPr>
          <w:lang w:val="en-GB"/>
        </w:rPr>
        <w:t xml:space="preserve">of the material value </w:t>
      </w:r>
      <w:r w:rsidR="00986544">
        <w:rPr>
          <w:lang w:val="en-GB"/>
        </w:rPr>
        <w:t>[2]</w:t>
      </w:r>
      <w:r w:rsidRPr="00CF663D">
        <w:rPr>
          <w:lang w:val="en-GB"/>
        </w:rPr>
        <w:t xml:space="preserve">. </w:t>
      </w:r>
    </w:p>
    <w:p w14:paraId="47ED5218" w14:textId="27C1261F" w:rsidR="00CF663D" w:rsidRDefault="006A2F5B" w:rsidP="006A2F5B">
      <w:pPr>
        <w:pStyle w:val="BodytextIndented"/>
        <w:rPr>
          <w:lang w:val="en-GB"/>
        </w:rPr>
      </w:pPr>
      <w:r w:rsidRPr="006A2F5B">
        <w:rPr>
          <w:lang w:val="en-GB"/>
        </w:rPr>
        <w:lastRenderedPageBreak/>
        <w:t>Inventory, according to Taiichi Ohno, is one of the seven wastes that should be avoided.</w:t>
      </w:r>
      <w:r>
        <w:rPr>
          <w:lang w:val="en-GB"/>
        </w:rPr>
        <w:t xml:space="preserve"> </w:t>
      </w:r>
      <w:r w:rsidR="00C163D1">
        <w:rPr>
          <w:lang w:val="en-GB"/>
        </w:rPr>
        <w:t>T</w:t>
      </w:r>
      <w:r w:rsidRPr="006A2F5B">
        <w:rPr>
          <w:lang w:val="en-GB"/>
        </w:rPr>
        <w:t xml:space="preserve">he most visible component of a company's overall assets, it accounts for 5-30 </w:t>
      </w:r>
      <w:r w:rsidR="00C163D1">
        <w:rPr>
          <w:lang w:val="en-GB"/>
        </w:rPr>
        <w:t xml:space="preserve">% </w:t>
      </w:r>
      <w:r w:rsidRPr="006A2F5B">
        <w:rPr>
          <w:lang w:val="en-GB"/>
        </w:rPr>
        <w:t xml:space="preserve">of total assets </w:t>
      </w:r>
      <w:r w:rsidR="00986544">
        <w:rPr>
          <w:lang w:val="en-GB"/>
        </w:rPr>
        <w:t>[3]</w:t>
      </w:r>
      <w:r w:rsidRPr="006A2F5B">
        <w:rPr>
          <w:lang w:val="en-GB"/>
        </w:rPr>
        <w:t>.</w:t>
      </w:r>
      <w:r>
        <w:rPr>
          <w:lang w:val="en-GB"/>
        </w:rPr>
        <w:t xml:space="preserve"> </w:t>
      </w:r>
      <w:r w:rsidRPr="006A2F5B">
        <w:rPr>
          <w:lang w:val="en-GB"/>
        </w:rPr>
        <w:t xml:space="preserve">It is important to develop a model that fulfils </w:t>
      </w:r>
      <w:r w:rsidR="00A336AE">
        <w:rPr>
          <w:lang w:val="en-GB"/>
        </w:rPr>
        <w:t xml:space="preserve">companies’ </w:t>
      </w:r>
      <w:r w:rsidRPr="006A2F5B">
        <w:rPr>
          <w:lang w:val="en-GB"/>
        </w:rPr>
        <w:t xml:space="preserve">varied material management demands of companies </w:t>
      </w:r>
      <w:r w:rsidR="00A336AE">
        <w:rPr>
          <w:lang w:val="en-GB"/>
        </w:rPr>
        <w:t>cost-effectively</w:t>
      </w:r>
      <w:r w:rsidRPr="006A2F5B">
        <w:rPr>
          <w:lang w:val="en-GB"/>
        </w:rPr>
        <w:t>.</w:t>
      </w:r>
      <w:r w:rsidR="00CF663D" w:rsidRPr="00CF663D">
        <w:rPr>
          <w:lang w:val="en-GB"/>
        </w:rPr>
        <w:t xml:space="preserve"> </w:t>
      </w:r>
    </w:p>
    <w:p w14:paraId="3CAEB169" w14:textId="0CD6E6FB" w:rsidR="00CF663D" w:rsidRDefault="00CF663D" w:rsidP="00CF663D">
      <w:pPr>
        <w:pStyle w:val="BodytextIndented"/>
        <w:rPr>
          <w:lang w:val="en-GB"/>
        </w:rPr>
      </w:pPr>
      <w:r w:rsidRPr="00CF663D">
        <w:rPr>
          <w:lang w:val="en-GB"/>
        </w:rPr>
        <w:t xml:space="preserve">One of the most significant wastes in lean manufacturing is </w:t>
      </w:r>
      <w:r w:rsidR="00DA74C7">
        <w:rPr>
          <w:lang w:val="en-GB"/>
        </w:rPr>
        <w:t xml:space="preserve">a </w:t>
      </w:r>
      <w:r w:rsidRPr="00CF663D">
        <w:rPr>
          <w:lang w:val="en-GB"/>
        </w:rPr>
        <w:t>defect.</w:t>
      </w:r>
      <w:r>
        <w:rPr>
          <w:lang w:val="en-GB"/>
        </w:rPr>
        <w:t xml:space="preserve"> </w:t>
      </w:r>
      <w:r w:rsidRPr="00CF663D">
        <w:rPr>
          <w:lang w:val="en-GB"/>
        </w:rPr>
        <w:t>A poor procedure or a defective raw material can both cause product faults.</w:t>
      </w:r>
      <w:r>
        <w:rPr>
          <w:lang w:val="en-GB"/>
        </w:rPr>
        <w:t xml:space="preserve"> </w:t>
      </w:r>
      <w:r w:rsidRPr="00CF663D">
        <w:rPr>
          <w:lang w:val="en-GB"/>
        </w:rPr>
        <w:t xml:space="preserve">Reducing takt time and enabling Lean manufacturing could be accomplished by addressing raw material faults at the manufacturing process. </w:t>
      </w:r>
    </w:p>
    <w:p w14:paraId="444E81D6" w14:textId="4A0E52A5" w:rsidR="006A2F5B" w:rsidRDefault="00CF663D" w:rsidP="003657DB">
      <w:pPr>
        <w:pStyle w:val="BodytextIndented"/>
        <w:rPr>
          <w:lang w:val="en-GB"/>
        </w:rPr>
      </w:pPr>
      <w:r w:rsidRPr="00CF663D">
        <w:rPr>
          <w:lang w:val="en-GB"/>
        </w:rPr>
        <w:t>Quality endurance includes the inbound inspection procedure</w:t>
      </w:r>
      <w:r w:rsidR="00A336AE">
        <w:rPr>
          <w:lang w:val="en-GB"/>
        </w:rPr>
        <w:t xml:space="preserve"> and </w:t>
      </w:r>
      <w:r w:rsidRPr="00CF663D">
        <w:rPr>
          <w:lang w:val="en-GB"/>
        </w:rPr>
        <w:t>verifies that the raw material quality meets the agreed-upon requirements between the vendor and the buyer.</w:t>
      </w:r>
      <w:r>
        <w:rPr>
          <w:lang w:val="en-GB"/>
        </w:rPr>
        <w:t xml:space="preserve"> </w:t>
      </w:r>
      <w:r w:rsidRPr="00CF663D">
        <w:rPr>
          <w:lang w:val="en-GB"/>
        </w:rPr>
        <w:t xml:space="preserve">This human-centric process has been automated in modern times employing </w:t>
      </w:r>
      <w:r w:rsidR="00A336AE">
        <w:rPr>
          <w:lang w:val="en-GB"/>
        </w:rPr>
        <w:t xml:space="preserve">various </w:t>
      </w:r>
      <w:r w:rsidRPr="00CF663D">
        <w:rPr>
          <w:lang w:val="en-GB"/>
        </w:rPr>
        <w:t xml:space="preserve">competitive technologies, with </w:t>
      </w:r>
      <w:r w:rsidR="003657DB">
        <w:rPr>
          <w:lang w:val="en-GB"/>
        </w:rPr>
        <w:t>Radio Frequency Identification (</w:t>
      </w:r>
      <w:r w:rsidRPr="00CF663D">
        <w:rPr>
          <w:lang w:val="en-GB"/>
        </w:rPr>
        <w:t>RFID</w:t>
      </w:r>
      <w:r w:rsidR="003657DB">
        <w:rPr>
          <w:lang w:val="en-GB"/>
        </w:rPr>
        <w:t>)</w:t>
      </w:r>
      <w:r w:rsidRPr="00CF663D">
        <w:rPr>
          <w:lang w:val="en-GB"/>
        </w:rPr>
        <w:t xml:space="preserve"> deployment being one of the first. </w:t>
      </w:r>
      <w:r w:rsidR="000A6488" w:rsidRPr="000A6488">
        <w:rPr>
          <w:lang w:val="en-GB"/>
        </w:rPr>
        <w:t>RFID tags are a significant advancement in the field of automated identification systems.</w:t>
      </w:r>
      <w:r w:rsidR="000A6488">
        <w:rPr>
          <w:lang w:val="en-GB"/>
        </w:rPr>
        <w:t xml:space="preserve"> </w:t>
      </w:r>
      <w:r w:rsidR="000A6488" w:rsidRPr="000A6488">
        <w:rPr>
          <w:lang w:val="en-GB"/>
        </w:rPr>
        <w:t>Intelligent bar codes, or RFID tags,</w:t>
      </w:r>
      <w:r w:rsidR="000A6488">
        <w:rPr>
          <w:lang w:val="en-GB"/>
        </w:rPr>
        <w:t xml:space="preserve"> </w:t>
      </w:r>
      <w:r w:rsidR="000A6488" w:rsidRPr="000A6488">
        <w:rPr>
          <w:lang w:val="en-GB"/>
        </w:rPr>
        <w:t>have a chip that records information about the goods.</w:t>
      </w:r>
      <w:r w:rsidR="000A6488">
        <w:rPr>
          <w:lang w:val="en-GB"/>
        </w:rPr>
        <w:t xml:space="preserve"> </w:t>
      </w:r>
      <w:r w:rsidR="000A6488" w:rsidRPr="000A6488">
        <w:rPr>
          <w:lang w:val="en-GB"/>
        </w:rPr>
        <w:t xml:space="preserve">An </w:t>
      </w:r>
      <w:r w:rsidR="000A6488">
        <w:rPr>
          <w:lang w:val="en-GB"/>
        </w:rPr>
        <w:t>RFID</w:t>
      </w:r>
      <w:r w:rsidR="000A6488" w:rsidRPr="000A6488">
        <w:rPr>
          <w:lang w:val="en-GB"/>
        </w:rPr>
        <w:t xml:space="preserve"> reader is used to read the</w:t>
      </w:r>
      <w:r w:rsidR="000A6488">
        <w:rPr>
          <w:lang w:val="en-GB"/>
        </w:rPr>
        <w:t xml:space="preserve">se tags and thus </w:t>
      </w:r>
      <w:r w:rsidR="000A6488" w:rsidRPr="000A6488">
        <w:rPr>
          <w:lang w:val="en-GB"/>
        </w:rPr>
        <w:t>enables the tracking of objects.</w:t>
      </w:r>
      <w:r w:rsidR="000A6488">
        <w:rPr>
          <w:lang w:val="en-GB"/>
        </w:rPr>
        <w:t xml:space="preserve"> </w:t>
      </w:r>
      <w:r w:rsidR="000A6488" w:rsidRPr="000A6488">
        <w:rPr>
          <w:lang w:val="en-GB"/>
        </w:rPr>
        <w:t>Th</w:t>
      </w:r>
      <w:r w:rsidR="000A6488">
        <w:rPr>
          <w:lang w:val="en-GB"/>
        </w:rPr>
        <w:t>is technolog</w:t>
      </w:r>
      <w:r w:rsidR="000A6488" w:rsidRPr="000A6488">
        <w:rPr>
          <w:lang w:val="en-GB"/>
        </w:rPr>
        <w:t xml:space="preserve">y </w:t>
      </w:r>
      <w:r w:rsidR="000A6488">
        <w:rPr>
          <w:lang w:val="en-GB"/>
        </w:rPr>
        <w:t xml:space="preserve">was </w:t>
      </w:r>
      <w:r w:rsidR="000A6488" w:rsidRPr="000A6488">
        <w:rPr>
          <w:lang w:val="en-GB"/>
        </w:rPr>
        <w:t>originally designed to track cattle, but their applications have subsequently broadened</w:t>
      </w:r>
      <w:r w:rsidR="000A6488">
        <w:rPr>
          <w:lang w:val="en-GB"/>
        </w:rPr>
        <w:t xml:space="preserve"> towards v</w:t>
      </w:r>
      <w:r w:rsidR="000A6488" w:rsidRPr="000A6488">
        <w:rPr>
          <w:lang w:val="en-GB"/>
        </w:rPr>
        <w:t>ehicle</w:t>
      </w:r>
      <w:r w:rsidR="000A6488">
        <w:rPr>
          <w:lang w:val="en-GB"/>
        </w:rPr>
        <w:t xml:space="preserve"> tracking</w:t>
      </w:r>
      <w:r w:rsidR="000A6488" w:rsidRPr="000A6488">
        <w:rPr>
          <w:lang w:val="en-GB"/>
        </w:rPr>
        <w:t xml:space="preserve"> </w:t>
      </w:r>
      <w:r w:rsidR="00986544">
        <w:rPr>
          <w:lang w:val="en-GB"/>
        </w:rPr>
        <w:t>[4]</w:t>
      </w:r>
      <w:r w:rsidR="000A6488" w:rsidRPr="000A6488">
        <w:rPr>
          <w:lang w:val="en-GB"/>
        </w:rPr>
        <w:t xml:space="preserve">, pets </w:t>
      </w:r>
      <w:r w:rsidR="00986544">
        <w:rPr>
          <w:lang w:val="en-GB"/>
        </w:rPr>
        <w:t>[5]</w:t>
      </w:r>
      <w:r w:rsidR="000A6488" w:rsidRPr="000A6488">
        <w:rPr>
          <w:lang w:val="en-GB"/>
        </w:rPr>
        <w:t xml:space="preserve">, and items in the manufacturing process </w:t>
      </w:r>
      <w:r w:rsidR="00986544">
        <w:rPr>
          <w:lang w:val="en-GB"/>
        </w:rPr>
        <w:t>[6]</w:t>
      </w:r>
      <w:r w:rsidR="000A6488" w:rsidRPr="000A6488">
        <w:rPr>
          <w:lang w:val="en-GB"/>
        </w:rPr>
        <w:t>.</w:t>
      </w:r>
      <w:r w:rsidR="007478E7" w:rsidRPr="007478E7">
        <w:rPr>
          <w:color w:val="FF0000"/>
          <w:lang w:val="en-GB"/>
        </w:rPr>
        <w:t xml:space="preserve"> </w:t>
      </w:r>
      <w:r w:rsidR="007478E7" w:rsidRPr="00F93722">
        <w:rPr>
          <w:color w:val="000000" w:themeColor="text1"/>
          <w:lang w:val="en-GB"/>
        </w:rPr>
        <w:t xml:space="preserve">Modelling manufacturing processes that include humans can result in erroneous findings. When examining a highly manual process, a study by </w:t>
      </w:r>
      <w:r w:rsidR="00986544">
        <w:rPr>
          <w:color w:val="000000" w:themeColor="text1"/>
          <w:lang w:val="en-GB"/>
        </w:rPr>
        <w:t>[7]</w:t>
      </w:r>
      <w:r w:rsidR="007478E7" w:rsidRPr="00F93722">
        <w:rPr>
          <w:color w:val="000000" w:themeColor="text1"/>
          <w:lang w:val="en-GB"/>
        </w:rPr>
        <w:t xml:space="preserve"> investigated improving the inaccuracies in discrete event modelling. Decision models use the data log from these RFID readers </w:t>
      </w:r>
      <w:r w:rsidR="007478E7" w:rsidRPr="00CF663D">
        <w:rPr>
          <w:lang w:val="en-GB"/>
        </w:rPr>
        <w:t>better understand</w:t>
      </w:r>
      <w:r w:rsidR="00A336AE">
        <w:rPr>
          <w:lang w:val="en-GB"/>
        </w:rPr>
        <w:t xml:space="preserve"> </w:t>
      </w:r>
      <w:r w:rsidR="007478E7" w:rsidRPr="00CF663D">
        <w:rPr>
          <w:lang w:val="en-GB"/>
        </w:rPr>
        <w:t>the process parameters.</w:t>
      </w:r>
      <w:r w:rsidR="007478E7">
        <w:rPr>
          <w:lang w:val="en-GB"/>
        </w:rPr>
        <w:t xml:space="preserve"> </w:t>
      </w:r>
      <w:r w:rsidR="007478E7" w:rsidRPr="00CF663D">
        <w:rPr>
          <w:lang w:val="en-GB"/>
        </w:rPr>
        <w:t xml:space="preserve">The Markov Decision Process is one such model. </w:t>
      </w:r>
    </w:p>
    <w:p w14:paraId="4DEFBBB0" w14:textId="550548C1" w:rsidR="007B1C88" w:rsidRPr="007478E7" w:rsidRDefault="006A2F5B" w:rsidP="006A2F5B">
      <w:pPr>
        <w:pStyle w:val="BodytextIndented"/>
        <w:rPr>
          <w:rFonts w:ascii="Times New Roman" w:hAnsi="Times New Roman"/>
          <w:sz w:val="24"/>
          <w:szCs w:val="24"/>
          <w:lang w:val="en-MY" w:eastAsia="en-GB"/>
        </w:rPr>
      </w:pPr>
      <w:r w:rsidRPr="006A2F5B">
        <w:rPr>
          <w:lang w:val="en-GB"/>
        </w:rPr>
        <w:t>Markov chains and Markov processes model stochastic processes</w:t>
      </w:r>
      <w:r>
        <w:rPr>
          <w:lang w:val="en-GB"/>
        </w:rPr>
        <w:t xml:space="preserve"> and are classified as </w:t>
      </w:r>
      <w:r w:rsidRPr="006A2F5B">
        <w:rPr>
          <w:lang w:val="en-GB"/>
        </w:rPr>
        <w:t>Discrete-time and continuous-time processes.</w:t>
      </w:r>
      <w:r>
        <w:rPr>
          <w:lang w:val="en-GB"/>
        </w:rPr>
        <w:t xml:space="preserve"> </w:t>
      </w:r>
      <w:r w:rsidRPr="006A2F5B">
        <w:rPr>
          <w:lang w:val="en-GB"/>
        </w:rPr>
        <w:t>They mathematically depict a process by showing its likelihood of moving between phases.</w:t>
      </w:r>
      <w:r>
        <w:rPr>
          <w:lang w:val="en-GB"/>
        </w:rPr>
        <w:t xml:space="preserve"> </w:t>
      </w:r>
      <w:r w:rsidRPr="006A2F5B">
        <w:rPr>
          <w:lang w:val="en-GB"/>
        </w:rPr>
        <w:t>This study's goal was to help assure right-first-time production.</w:t>
      </w:r>
      <w:r>
        <w:rPr>
          <w:lang w:val="en-GB"/>
        </w:rPr>
        <w:t xml:space="preserve"> </w:t>
      </w:r>
      <w:r w:rsidRPr="006A2F5B">
        <w:rPr>
          <w:lang w:val="en-GB"/>
        </w:rPr>
        <w:t>This study related discrete event simulations to human performance models.</w:t>
      </w:r>
      <w:r>
        <w:rPr>
          <w:lang w:val="en-GB"/>
        </w:rPr>
        <w:t xml:space="preserve"> </w:t>
      </w:r>
      <w:r w:rsidRPr="006A2F5B">
        <w:rPr>
          <w:lang w:val="en-GB"/>
        </w:rPr>
        <w:t>Each station contains RFID readers, and the raw materials passing through them have RFID tags.</w:t>
      </w:r>
    </w:p>
    <w:p w14:paraId="7B627E07" w14:textId="18B4E450" w:rsidR="00FF5737" w:rsidRDefault="006A2F5B">
      <w:pPr>
        <w:pStyle w:val="BodytextIndented"/>
      </w:pPr>
      <w:r>
        <w:t xml:space="preserve">The balance of the paper is divided into parts. Section 2.1 describes the </w:t>
      </w:r>
      <w:r w:rsidR="00544630">
        <w:t xml:space="preserve">incoming </w:t>
      </w:r>
      <w:r>
        <w:t xml:space="preserve">inspection case </w:t>
      </w:r>
      <w:r w:rsidR="00996531">
        <w:t xml:space="preserve">study, </w:t>
      </w:r>
      <w:r>
        <w:t xml:space="preserve">and the substation decomposition is </w:t>
      </w:r>
      <w:r w:rsidR="00544630">
        <w:t xml:space="preserve">explained in </w:t>
      </w:r>
      <w:r>
        <w:t>2.</w:t>
      </w:r>
      <w:r w:rsidR="00996531">
        <w:t>2</w:t>
      </w:r>
      <w:r>
        <w:t>.</w:t>
      </w:r>
      <w:r w:rsidR="00544630">
        <w:t xml:space="preserve"> </w:t>
      </w:r>
      <w:r w:rsidR="00996531">
        <w:t xml:space="preserve">The Markov chain, Markov process and the stochastic process are detailed in Section 2.3. </w:t>
      </w:r>
      <w:r>
        <w:t xml:space="preserve">Estimation of Transition Matrix </w:t>
      </w:r>
      <w:r w:rsidR="00996531">
        <w:t>is elaborated in Section 2.4</w:t>
      </w:r>
      <w:r w:rsidR="00A336AE">
        <w:t xml:space="preserve">. The </w:t>
      </w:r>
      <w:r w:rsidR="00996531">
        <w:t xml:space="preserve">proposed </w:t>
      </w:r>
      <w:r w:rsidR="00996531" w:rsidRPr="00601883">
        <w:t xml:space="preserve">raw material acceptance prediction model </w:t>
      </w:r>
      <w:r w:rsidR="00996531">
        <w:t>(</w:t>
      </w:r>
      <w:r>
        <w:t>RMAP</w:t>
      </w:r>
      <w:r w:rsidR="00996531">
        <w:t>)</w:t>
      </w:r>
      <w:r>
        <w:t xml:space="preserve"> model </w:t>
      </w:r>
      <w:r w:rsidR="00996531">
        <w:t xml:space="preserve">is </w:t>
      </w:r>
      <w:r>
        <w:t xml:space="preserve">used to estimate the </w:t>
      </w:r>
      <w:r w:rsidR="00996531">
        <w:t xml:space="preserve">probability of </w:t>
      </w:r>
      <w:r>
        <w:t>th</w:t>
      </w:r>
      <w:r w:rsidR="00996531">
        <w:t xml:space="preserve">e acceptance and rejection of the </w:t>
      </w:r>
      <w:r>
        <w:t>raw materials</w:t>
      </w:r>
      <w:r w:rsidR="00544630">
        <w:t xml:space="preserve"> are detailed in </w:t>
      </w:r>
      <w:r w:rsidR="00DA74C7">
        <w:t>Section</w:t>
      </w:r>
      <w:r w:rsidR="00544630">
        <w:t xml:space="preserve"> 2.5</w:t>
      </w:r>
      <w:r w:rsidR="00996531">
        <w:t xml:space="preserve">. </w:t>
      </w:r>
      <w:r>
        <w:t>Section 2.</w:t>
      </w:r>
      <w:r w:rsidR="00996531">
        <w:t>6</w:t>
      </w:r>
      <w:r>
        <w:t xml:space="preserve"> examines the predicting of raw material at random</w:t>
      </w:r>
      <w:r w:rsidR="00544630">
        <w:t xml:space="preserve">, while </w:t>
      </w:r>
      <w:r>
        <w:t xml:space="preserve">Section 3 discusses the suggested model's </w:t>
      </w:r>
      <w:r w:rsidR="00D86643">
        <w:t>outcomes,</w:t>
      </w:r>
      <w:r w:rsidR="00996531">
        <w:t xml:space="preserve"> and the findings are concluded in Section 5</w:t>
      </w:r>
      <w:r>
        <w:t>.</w:t>
      </w:r>
    </w:p>
    <w:p w14:paraId="436FEB94" w14:textId="7C6D199C" w:rsidR="009A0487" w:rsidRDefault="004750E0">
      <w:pPr>
        <w:pStyle w:val="Section"/>
      </w:pPr>
      <w:r>
        <w:t>Model Development</w:t>
      </w:r>
    </w:p>
    <w:p w14:paraId="0F40DCC6" w14:textId="7E401796" w:rsidR="009A0487" w:rsidRDefault="007604AB" w:rsidP="00996531">
      <w:pPr>
        <w:pStyle w:val="Bodytext"/>
      </w:pPr>
      <w:r>
        <w:t>A quality prediction model is developed based on the RFID data captured in an automotive manufacturing pipeline</w:t>
      </w:r>
      <w:r w:rsidR="009A0487">
        <w:t>.</w:t>
      </w:r>
      <w:r w:rsidR="00996531">
        <w:t xml:space="preserve"> </w:t>
      </w:r>
      <w:r>
        <w:t xml:space="preserve">In a typical automotive manufacturing plant, the substations are installed with </w:t>
      </w:r>
      <w:r w:rsidR="00DA74C7">
        <w:t xml:space="preserve">an </w:t>
      </w:r>
      <w:r>
        <w:t>RFID reader, which logs the parts traversing through the substations. The data from the RFID reader is taken as a raw dataset. Based on the daily performance, the weights are estimated for Markov analysis</w:t>
      </w:r>
      <w:r w:rsidR="00297169">
        <w:t xml:space="preserve"> </w:t>
      </w:r>
      <w:r w:rsidR="00FD7044">
        <w:t>is detailed in section 2.6</w:t>
      </w:r>
      <w:r>
        <w:t>.</w:t>
      </w:r>
    </w:p>
    <w:p w14:paraId="466246FC" w14:textId="451497D4" w:rsidR="009A0487" w:rsidRPr="00733CB3" w:rsidRDefault="0072459B" w:rsidP="00733CB3">
      <w:pPr>
        <w:pStyle w:val="Heading2"/>
      </w:pPr>
      <w:r>
        <w:t>Incoming Inspection Case study</w:t>
      </w:r>
    </w:p>
    <w:p w14:paraId="2673672B" w14:textId="0F856DED" w:rsidR="0072459B" w:rsidRDefault="0072459B" w:rsidP="0072459B">
      <w:pPr>
        <w:pStyle w:val="Bodytext"/>
        <w:rPr>
          <w:bCs/>
          <w:lang w:val="en-GB"/>
        </w:rPr>
      </w:pPr>
      <w:r w:rsidRPr="0072459B">
        <w:rPr>
          <w:bCs/>
          <w:lang w:val="en-GB"/>
        </w:rPr>
        <w:t xml:space="preserve">The process flow diagram of the </w:t>
      </w:r>
      <w:r w:rsidRPr="0072459B">
        <w:rPr>
          <w:bCs/>
          <w:lang w:val="en-MY"/>
        </w:rPr>
        <w:t>incoming inspection station of an</w:t>
      </w:r>
      <w:r w:rsidRPr="0072459B">
        <w:rPr>
          <w:bCs/>
          <w:lang w:val="en-GB"/>
        </w:rPr>
        <w:t xml:space="preserve"> automotive supply chain environment is shown in Figure 1. </w:t>
      </w:r>
      <w:r w:rsidRPr="0072459B">
        <w:rPr>
          <w:lang w:val="en-GB"/>
        </w:rPr>
        <w:t>The workstation contains seven sub</w:t>
      </w:r>
      <w:r w:rsidR="00C163D1">
        <w:rPr>
          <w:lang w:val="en-GB"/>
        </w:rPr>
        <w:t>-</w:t>
      </w:r>
      <w:r w:rsidRPr="0072459B">
        <w:rPr>
          <w:lang w:val="en-GB"/>
        </w:rPr>
        <w:t>sections packaging inspection, visual inspection, gauge inspection, rework station 1, rework station</w:t>
      </w:r>
      <w:r w:rsidR="00986544">
        <w:rPr>
          <w:lang w:val="en-GB"/>
        </w:rPr>
        <w:t xml:space="preserve"> </w:t>
      </w:r>
      <w:r w:rsidRPr="0072459B">
        <w:rPr>
          <w:lang w:val="en-GB"/>
        </w:rPr>
        <w:t xml:space="preserve">2, return, </w:t>
      </w:r>
      <w:proofErr w:type="gramStart"/>
      <w:r w:rsidR="007B41E1" w:rsidRPr="0072459B">
        <w:rPr>
          <w:lang w:val="en-GB"/>
        </w:rPr>
        <w:t>pack</w:t>
      </w:r>
      <w:proofErr w:type="gramEnd"/>
      <w:r w:rsidR="007B41E1">
        <w:rPr>
          <w:lang w:val="en-GB"/>
        </w:rPr>
        <w:t xml:space="preserve"> </w:t>
      </w:r>
      <w:r w:rsidRPr="0072459B">
        <w:rPr>
          <w:lang w:val="en-GB"/>
        </w:rPr>
        <w:t>and store</w:t>
      </w:r>
      <w:r w:rsidRPr="0072459B">
        <w:rPr>
          <w:bCs/>
          <w:lang w:val="en-GB"/>
        </w:rPr>
        <w:t xml:space="preserve">. The material received from the supplier </w:t>
      </w:r>
      <w:r w:rsidR="00DA74C7">
        <w:rPr>
          <w:bCs/>
          <w:lang w:val="en-GB"/>
        </w:rPr>
        <w:t>is</w:t>
      </w:r>
      <w:r w:rsidRPr="0072459B">
        <w:rPr>
          <w:bCs/>
          <w:lang w:val="en-GB"/>
        </w:rPr>
        <w:t xml:space="preserve"> expected to meet the specified material standards. </w:t>
      </w:r>
      <w:r w:rsidR="00C163D1">
        <w:rPr>
          <w:bCs/>
          <w:lang w:val="en-GB"/>
        </w:rPr>
        <w:t>T</w:t>
      </w:r>
      <w:r w:rsidRPr="0072459B">
        <w:rPr>
          <w:bCs/>
          <w:lang w:val="en-GB"/>
        </w:rPr>
        <w:t>he material undergoes a series of visual and dimensional checks</w:t>
      </w:r>
      <w:r w:rsidR="00C163D1">
        <w:rPr>
          <w:bCs/>
          <w:lang w:val="en-GB"/>
        </w:rPr>
        <w:t xml:space="preserve"> for qualification</w:t>
      </w:r>
      <w:r w:rsidRPr="0072459B">
        <w:rPr>
          <w:bCs/>
          <w:lang w:val="en-GB"/>
        </w:rPr>
        <w:t xml:space="preserve">. </w:t>
      </w:r>
    </w:p>
    <w:p w14:paraId="5EFE0BD2" w14:textId="7BD5CC66" w:rsidR="0072459B" w:rsidRPr="0072459B" w:rsidRDefault="0072459B" w:rsidP="0072459B">
      <w:pPr>
        <w:pStyle w:val="BodytextIndented"/>
      </w:pPr>
      <w:r w:rsidRPr="0072459B">
        <w:rPr>
          <w:bCs/>
        </w:rPr>
        <w:t xml:space="preserve">The functions of the seven substations and their process are explained visually in Figure 1. For minor changes, the materials will be subject to corrections in rework stations. Upon corrections at rework 1 and rework 2, the materials will be sent for inspection at visual inspection and gauge inspection, respectively.  </w:t>
      </w:r>
      <w:r w:rsidRPr="0072459B">
        <w:t xml:space="preserve">The minor defects are addressed and re-inspected at respective substations. When the defects are irreparable, the materials are returned to </w:t>
      </w:r>
      <w:r w:rsidR="00DA74C7">
        <w:t xml:space="preserve">the </w:t>
      </w:r>
      <w:r w:rsidRPr="0072459B">
        <w:t>vendor through the return gateway substation.</w:t>
      </w:r>
    </w:p>
    <w:p w14:paraId="531853D3" w14:textId="5475730F" w:rsidR="0072459B" w:rsidRPr="0072459B" w:rsidRDefault="0072459B" w:rsidP="0072459B">
      <w:pPr>
        <w:pStyle w:val="BodytextIndented"/>
        <w:rPr>
          <w:bCs/>
        </w:rPr>
      </w:pPr>
      <w:r w:rsidRPr="0072459B">
        <w:rPr>
          <w:bCs/>
        </w:rPr>
        <w:t xml:space="preserve">The raw materials are unloaded at the incoming bay. The package is checked for its adherence to the specified packaging standards </w:t>
      </w:r>
      <w:r w:rsidR="00297169">
        <w:rPr>
          <w:bCs/>
        </w:rPr>
        <w:t>regarding</w:t>
      </w:r>
      <w:r w:rsidRPr="0072459B">
        <w:rPr>
          <w:bCs/>
        </w:rPr>
        <w:t xml:space="preserve"> a signed Packaging and Delivery Standard (PDS) document by the expert</w:t>
      </w:r>
      <w:r w:rsidR="00B16D6D">
        <w:rPr>
          <w:bCs/>
        </w:rPr>
        <w:t>s from both parties</w:t>
      </w:r>
      <w:r w:rsidRPr="0072459B">
        <w:rPr>
          <w:bCs/>
        </w:rPr>
        <w:t>. The packages that do not abide by the standards are returned to the vendor</w:t>
      </w:r>
      <w:r w:rsidR="00C163D1">
        <w:rPr>
          <w:bCs/>
        </w:rPr>
        <w:t>,</w:t>
      </w:r>
      <w:r w:rsidRPr="0072459B">
        <w:rPr>
          <w:bCs/>
        </w:rPr>
        <w:t xml:space="preserve"> and the inventory is updated accordingly. The accepted packages are sent for visual inspection. </w:t>
      </w:r>
    </w:p>
    <w:p w14:paraId="6754AC01" w14:textId="3583285B" w:rsidR="0072459B" w:rsidRPr="0072459B" w:rsidRDefault="0072459B" w:rsidP="0072459B">
      <w:pPr>
        <w:pStyle w:val="BodytextIndented"/>
        <w:rPr>
          <w:bCs/>
        </w:rPr>
      </w:pPr>
      <w:r w:rsidRPr="0072459B">
        <w:rPr>
          <w:bCs/>
        </w:rPr>
        <w:t xml:space="preserve">At Visual inspection, the skilled professional unboxes the material from the package and checks for </w:t>
      </w:r>
      <w:proofErr w:type="spellStart"/>
      <w:r w:rsidRPr="0072459B">
        <w:rPr>
          <w:bCs/>
        </w:rPr>
        <w:t>colo</w:t>
      </w:r>
      <w:r w:rsidR="00C163D1">
        <w:rPr>
          <w:bCs/>
        </w:rPr>
        <w:t>u</w:t>
      </w:r>
      <w:r w:rsidRPr="0072459B">
        <w:rPr>
          <w:bCs/>
        </w:rPr>
        <w:t>r</w:t>
      </w:r>
      <w:proofErr w:type="spellEnd"/>
      <w:r w:rsidRPr="0072459B">
        <w:rPr>
          <w:bCs/>
        </w:rPr>
        <w:t>, texture, and appearance conditions with the master sample. The materials with minor deformities are sent for rework. The reworked materials are re-inspected. Upon qualifying</w:t>
      </w:r>
      <w:r w:rsidR="00C163D1">
        <w:rPr>
          <w:bCs/>
        </w:rPr>
        <w:t>,</w:t>
      </w:r>
      <w:r w:rsidRPr="0072459B">
        <w:rPr>
          <w:bCs/>
        </w:rPr>
        <w:t xml:space="preserve"> they are sent to the next stage</w:t>
      </w:r>
      <w:r w:rsidR="00C163D1">
        <w:rPr>
          <w:bCs/>
        </w:rPr>
        <w:t>,</w:t>
      </w:r>
      <w:r w:rsidRPr="0072459B">
        <w:rPr>
          <w:bCs/>
        </w:rPr>
        <w:t xml:space="preserve"> where the dimensions are checked. The materials with irreparable changes after rework are returned to the vendor. The materials with major deformations are also returned to the vendor. The reworked and the returned materials are updated in the inventory accordingly.</w:t>
      </w:r>
    </w:p>
    <w:p w14:paraId="365780D9" w14:textId="13C42835" w:rsidR="0072459B" w:rsidRPr="0072459B" w:rsidRDefault="0072459B" w:rsidP="0072459B">
      <w:pPr>
        <w:pStyle w:val="BodytextIndented"/>
        <w:rPr>
          <w:bCs/>
        </w:rPr>
      </w:pPr>
      <w:r w:rsidRPr="0072459B">
        <w:rPr>
          <w:bCs/>
        </w:rPr>
        <w:t>The visually qualified materials are passed to gauges to check if it meets the specified dimension with tolerance. Th</w:t>
      </w:r>
      <w:r w:rsidR="00297169">
        <w:rPr>
          <w:bCs/>
        </w:rPr>
        <w:t xml:space="preserve">is process </w:t>
      </w:r>
      <w:r w:rsidRPr="0072459B">
        <w:rPr>
          <w:bCs/>
        </w:rPr>
        <w:t xml:space="preserve">is very much necessary to address the fit and finish issues with mating parts. The OK parts are packed and stored at </w:t>
      </w:r>
      <w:r w:rsidR="00DA74C7">
        <w:rPr>
          <w:bCs/>
        </w:rPr>
        <w:t xml:space="preserve">the </w:t>
      </w:r>
      <w:r w:rsidRPr="0072459B">
        <w:rPr>
          <w:bCs/>
        </w:rPr>
        <w:t>warehouse for future use. Whereas the major non-conformities are returned, while the minor non-conformities are reworked and rechecked for acceptance. The reworked returned and OK conditions of the materials are updated accordingly in the inventory.</w:t>
      </w:r>
    </w:p>
    <w:p w14:paraId="5DC8E697" w14:textId="6EA71233" w:rsidR="004750E0" w:rsidRPr="00733CB3" w:rsidRDefault="0072459B" w:rsidP="004750E0">
      <w:pPr>
        <w:pStyle w:val="Heading2"/>
      </w:pPr>
      <w:r>
        <w:t>Finite State Machine Decomposition</w:t>
      </w:r>
    </w:p>
    <w:p w14:paraId="7F4312A8" w14:textId="67472396" w:rsidR="004750E0" w:rsidRDefault="0072459B" w:rsidP="004750E0">
      <w:pPr>
        <w:pStyle w:val="Bodytext"/>
      </w:pPr>
      <w:r w:rsidRPr="0072459B">
        <w:rPr>
          <w:bCs/>
          <w:lang w:val="en-GB"/>
        </w:rPr>
        <w:t xml:space="preserve">A finite state machine (FSM) diagram decomposes the </w:t>
      </w:r>
      <w:r w:rsidRPr="0072459B">
        <w:rPr>
          <w:lang w:val="en-GB"/>
        </w:rPr>
        <w:t>seven substations of the input inspection. Each substation is a state and is represented in a state machine diagram</w:t>
      </w:r>
      <w:r w:rsidR="00C163D1">
        <w:rPr>
          <w:lang w:val="en-GB"/>
        </w:rPr>
        <w:t>,</w:t>
      </w:r>
      <w:r w:rsidRPr="0072459B">
        <w:rPr>
          <w:lang w:val="en-GB"/>
        </w:rPr>
        <w:t xml:space="preserve"> as shown in Figure </w:t>
      </w:r>
      <w:r w:rsidR="00D86643">
        <w:rPr>
          <w:lang w:val="en-GB"/>
        </w:rPr>
        <w:t>1</w:t>
      </w:r>
      <w:r w:rsidR="007B41E1">
        <w:rPr>
          <w:lang w:val="en-GB"/>
        </w:rPr>
        <w:t>.</w:t>
      </w:r>
      <w:r w:rsidR="004750E0">
        <w:t xml:space="preserve"> </w:t>
      </w:r>
    </w:p>
    <w:tbl>
      <w:tblPr>
        <w:tblW w:w="0" w:type="auto"/>
        <w:jc w:val="center"/>
        <w:tblLook w:val="01E0" w:firstRow="1" w:lastRow="1" w:firstColumn="1" w:lastColumn="1" w:noHBand="0" w:noVBand="0"/>
      </w:tblPr>
      <w:tblGrid>
        <w:gridCol w:w="6286"/>
      </w:tblGrid>
      <w:tr w:rsidR="009E0E11" w:rsidRPr="00CE57CF" w14:paraId="04479DEA" w14:textId="77777777" w:rsidTr="00C929ED">
        <w:trPr>
          <w:jc w:val="center"/>
        </w:trPr>
        <w:tc>
          <w:tcPr>
            <w:tcW w:w="6286" w:type="dxa"/>
            <w:shd w:val="clear" w:color="auto" w:fill="auto"/>
          </w:tcPr>
          <w:p w14:paraId="5F1D5B62" w14:textId="77777777" w:rsidR="009E0E11" w:rsidRPr="00CE57CF" w:rsidRDefault="009E0E11" w:rsidP="006F2A23">
            <w:pPr>
              <w:pStyle w:val="BodyChar"/>
              <w:rPr>
                <w:rFonts w:ascii="Times New Roman" w:hAnsi="Times New Roman"/>
              </w:rPr>
            </w:pPr>
            <w:r w:rsidRPr="00CE57CF">
              <w:rPr>
                <w:rFonts w:ascii="Times New Roman" w:hAnsi="Times New Roman"/>
                <w:noProof/>
                <w:lang w:eastAsia="en-GB"/>
              </w:rPr>
              <w:drawing>
                <wp:inline distT="0" distB="0" distL="0" distR="0" wp14:anchorId="3C915C9C" wp14:editId="5F007FAF">
                  <wp:extent cx="3762000" cy="22032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62000" cy="2203200"/>
                          </a:xfrm>
                          <a:prstGeom prst="rect">
                            <a:avLst/>
                          </a:prstGeom>
                          <a:noFill/>
                          <a:ln>
                            <a:noFill/>
                          </a:ln>
                        </pic:spPr>
                      </pic:pic>
                    </a:graphicData>
                  </a:graphic>
                </wp:inline>
              </w:drawing>
            </w:r>
          </w:p>
        </w:tc>
      </w:tr>
      <w:tr w:rsidR="009E0E11" w:rsidRPr="00CE57CF" w14:paraId="70F9DC9D" w14:textId="77777777" w:rsidTr="00C929ED">
        <w:trPr>
          <w:jc w:val="center"/>
        </w:trPr>
        <w:tc>
          <w:tcPr>
            <w:tcW w:w="6286" w:type="dxa"/>
            <w:shd w:val="clear" w:color="auto" w:fill="auto"/>
          </w:tcPr>
          <w:p w14:paraId="4A81CF48" w14:textId="0737E81B" w:rsidR="009E0E11" w:rsidRPr="00CE57CF" w:rsidRDefault="009E0E11" w:rsidP="006F2A23">
            <w:pPr>
              <w:pStyle w:val="FigureCaption"/>
              <w:spacing w:before="120"/>
              <w:jc w:val="both"/>
              <w:rPr>
                <w:rFonts w:ascii="Times New Roman" w:hAnsi="Times New Roman"/>
              </w:rPr>
            </w:pPr>
            <w:r w:rsidRPr="00CE57CF">
              <w:rPr>
                <w:rFonts w:ascii="Times New Roman" w:hAnsi="Times New Roman"/>
                <w:b/>
              </w:rPr>
              <w:t xml:space="preserve">Figure </w:t>
            </w:r>
            <w:r w:rsidR="00D86643">
              <w:rPr>
                <w:rFonts w:ascii="Times New Roman" w:hAnsi="Times New Roman"/>
                <w:b/>
              </w:rPr>
              <w:t>1</w:t>
            </w:r>
            <w:r w:rsidRPr="00CE57CF">
              <w:rPr>
                <w:rFonts w:ascii="Times New Roman" w:hAnsi="Times New Roman"/>
                <w:b/>
              </w:rPr>
              <w:t xml:space="preserve">. </w:t>
            </w:r>
            <w:r>
              <w:rPr>
                <w:rFonts w:ascii="Times New Roman" w:hAnsi="Times New Roman"/>
              </w:rPr>
              <w:t>Finite state machine diagram of the seven substations</w:t>
            </w:r>
            <w:r w:rsidRPr="00CE57CF">
              <w:rPr>
                <w:rFonts w:ascii="Times New Roman" w:hAnsi="Times New Roman"/>
              </w:rPr>
              <w:t>.</w:t>
            </w:r>
          </w:p>
        </w:tc>
      </w:tr>
    </w:tbl>
    <w:p w14:paraId="4F9D42ED" w14:textId="77777777" w:rsidR="009E0E11" w:rsidRPr="009E0E11" w:rsidRDefault="009E0E11" w:rsidP="009E0E11">
      <w:pPr>
        <w:pStyle w:val="BodytextIndented"/>
        <w:ind w:firstLine="0"/>
      </w:pPr>
    </w:p>
    <w:p w14:paraId="6C791002" w14:textId="26374831" w:rsidR="00EF1772" w:rsidRPr="00EF1772" w:rsidRDefault="0072459B" w:rsidP="00EF1772">
      <w:pPr>
        <w:pStyle w:val="BodytextIndented"/>
        <w:rPr>
          <w:bCs/>
          <w:lang w:val="en-GB"/>
        </w:rPr>
      </w:pPr>
      <w:r w:rsidRPr="0072459B">
        <w:rPr>
          <w:bCs/>
          <w:lang w:val="en-GB"/>
        </w:rPr>
        <w:t xml:space="preserve">The FSM model developed contains seven states. The transition of the states from one state to the other is represented using arrows. During </w:t>
      </w:r>
      <w:r w:rsidR="00DA74C7">
        <w:rPr>
          <w:bCs/>
          <w:lang w:val="en-GB"/>
        </w:rPr>
        <w:t xml:space="preserve">the </w:t>
      </w:r>
      <w:r w:rsidRPr="0072459B">
        <w:rPr>
          <w:bCs/>
          <w:lang w:val="en-GB"/>
        </w:rPr>
        <w:t>transition to the next state, only the current state and the input are considered</w:t>
      </w:r>
      <w:r w:rsidR="00121C35">
        <w:rPr>
          <w:bCs/>
          <w:lang w:val="en-GB"/>
        </w:rPr>
        <w:t>,</w:t>
      </w:r>
      <w:r w:rsidRPr="0072459B">
        <w:rPr>
          <w:bCs/>
          <w:lang w:val="en-GB"/>
        </w:rPr>
        <w:t xml:space="preserve"> whereas</w:t>
      </w:r>
      <w:r w:rsidR="00121C35">
        <w:rPr>
          <w:bCs/>
          <w:lang w:val="en-GB"/>
        </w:rPr>
        <w:t>;</w:t>
      </w:r>
      <w:r w:rsidR="00C163D1">
        <w:rPr>
          <w:bCs/>
          <w:lang w:val="en-GB"/>
        </w:rPr>
        <w:t xml:space="preserve"> </w:t>
      </w:r>
      <w:r w:rsidRPr="0072459B">
        <w:rPr>
          <w:bCs/>
          <w:lang w:val="en-GB"/>
        </w:rPr>
        <w:t xml:space="preserve">the previous state is not considered. </w:t>
      </w:r>
      <w:r w:rsidR="00D86643">
        <w:rPr>
          <w:bCs/>
          <w:lang w:val="en-GB"/>
        </w:rPr>
        <w:t xml:space="preserve"> </w:t>
      </w:r>
      <w:r w:rsidRPr="0072459B">
        <w:rPr>
          <w:bCs/>
          <w:lang w:val="en-GB"/>
        </w:rPr>
        <w:t>The complete transition of each sub</w:t>
      </w:r>
      <w:r w:rsidR="00C163D1">
        <w:rPr>
          <w:bCs/>
          <w:lang w:val="en-GB"/>
        </w:rPr>
        <w:t>-</w:t>
      </w:r>
      <w:r w:rsidRPr="0072459B">
        <w:rPr>
          <w:bCs/>
          <w:lang w:val="en-GB"/>
        </w:rPr>
        <w:t>state</w:t>
      </w:r>
      <w:r w:rsidR="00C163D1">
        <w:rPr>
          <w:bCs/>
          <w:lang w:val="en-GB"/>
        </w:rPr>
        <w:t>,</w:t>
      </w:r>
      <w:r w:rsidRPr="0072459B">
        <w:rPr>
          <w:bCs/>
          <w:lang w:val="en-GB"/>
        </w:rPr>
        <w:t xml:space="preserve"> along with the description</w:t>
      </w:r>
      <w:r w:rsidR="00C163D1">
        <w:rPr>
          <w:bCs/>
          <w:lang w:val="en-GB"/>
        </w:rPr>
        <w:t>,</w:t>
      </w:r>
      <w:r w:rsidRPr="0072459B">
        <w:rPr>
          <w:bCs/>
          <w:lang w:val="en-GB"/>
        </w:rPr>
        <w:t xml:space="preserve"> is tabulated in Table </w:t>
      </w:r>
      <w:r w:rsidR="00A55CB0">
        <w:rPr>
          <w:bCs/>
          <w:lang w:val="en-GB"/>
        </w:rPr>
        <w:t>1</w:t>
      </w:r>
      <w:r w:rsidRPr="0072459B">
        <w:rPr>
          <w:bCs/>
          <w:lang w:val="en-GB"/>
        </w:rPr>
        <w:t xml:space="preserve">. The outcome of each transition is expressed in the output column. </w:t>
      </w:r>
    </w:p>
    <w:p w14:paraId="7B681702" w14:textId="77C4379B" w:rsidR="00EF1772" w:rsidRPr="00CE57CF" w:rsidRDefault="00EF1772" w:rsidP="00EF1772">
      <w:pPr>
        <w:pStyle w:val="TableCaptionCentred"/>
        <w:ind w:left="28"/>
        <w:rPr>
          <w:rFonts w:ascii="Times New Roman" w:hAnsi="Times New Roman"/>
        </w:rPr>
      </w:pPr>
      <w:r w:rsidRPr="00CE57CF">
        <w:rPr>
          <w:rFonts w:ascii="Times New Roman" w:hAnsi="Times New Roman"/>
          <w:b/>
        </w:rPr>
        <w:t xml:space="preserve">Table </w:t>
      </w:r>
      <w:r w:rsidR="00A55CB0">
        <w:rPr>
          <w:rFonts w:ascii="Times New Roman" w:hAnsi="Times New Roman"/>
          <w:b/>
        </w:rPr>
        <w:t>1</w:t>
      </w:r>
      <w:r w:rsidRPr="00CE57CF">
        <w:rPr>
          <w:rFonts w:ascii="Times New Roman" w:hAnsi="Times New Roman"/>
          <w:b/>
        </w:rPr>
        <w:t>.</w:t>
      </w:r>
      <w:r w:rsidRPr="00CE57CF">
        <w:rPr>
          <w:rFonts w:ascii="Times New Roman" w:hAnsi="Times New Roman"/>
        </w:rPr>
        <w:t xml:space="preserve"> </w:t>
      </w:r>
      <w:r>
        <w:rPr>
          <w:rFonts w:ascii="Times New Roman" w:hAnsi="Times New Roman"/>
        </w:rPr>
        <w:t>State transition of the incoming inspection of raw material</w:t>
      </w:r>
      <w:r w:rsidRPr="00CE57CF">
        <w:rPr>
          <w:rFonts w:ascii="Times New Roman" w:hAnsi="Times New Roman"/>
        </w:rPr>
        <w:t>.</w:t>
      </w:r>
    </w:p>
    <w:tbl>
      <w:tblPr>
        <w:tblW w:w="7908" w:type="dxa"/>
        <w:jc w:val="center"/>
        <w:tblLayout w:type="fixed"/>
        <w:tblCellMar>
          <w:left w:w="0" w:type="dxa"/>
          <w:right w:w="0" w:type="dxa"/>
        </w:tblCellMar>
        <w:tblLook w:val="0000" w:firstRow="0" w:lastRow="0" w:firstColumn="0" w:lastColumn="0" w:noHBand="0" w:noVBand="0"/>
      </w:tblPr>
      <w:tblGrid>
        <w:gridCol w:w="573"/>
        <w:gridCol w:w="831"/>
        <w:gridCol w:w="992"/>
        <w:gridCol w:w="851"/>
        <w:gridCol w:w="992"/>
        <w:gridCol w:w="1559"/>
        <w:gridCol w:w="2110"/>
      </w:tblGrid>
      <w:tr w:rsidR="000620D4" w:rsidRPr="000620D4" w14:paraId="3A159C3B" w14:textId="77777777" w:rsidTr="000620D4">
        <w:trPr>
          <w:trHeight w:val="511"/>
          <w:jc w:val="center"/>
        </w:trPr>
        <w:tc>
          <w:tcPr>
            <w:tcW w:w="573" w:type="dxa"/>
            <w:tcBorders>
              <w:top w:val="single" w:sz="6" w:space="0" w:color="auto"/>
              <w:bottom w:val="single" w:sz="4" w:space="0" w:color="auto"/>
            </w:tcBorders>
            <w:noWrap/>
          </w:tcPr>
          <w:p w14:paraId="63479259" w14:textId="77777777" w:rsidR="00EF1772" w:rsidRPr="000620D4" w:rsidRDefault="00EF1772" w:rsidP="006F2A23">
            <w:pPr>
              <w:ind w:left="28"/>
              <w:jc w:val="center"/>
              <w:rPr>
                <w:rFonts w:ascii="Times New Roman" w:hAnsi="Times New Roman"/>
                <w:bCs/>
                <w:sz w:val="18"/>
                <w:szCs w:val="18"/>
                <w:u w:val="single"/>
              </w:rPr>
            </w:pPr>
          </w:p>
        </w:tc>
        <w:tc>
          <w:tcPr>
            <w:tcW w:w="831" w:type="dxa"/>
            <w:tcBorders>
              <w:top w:val="single" w:sz="6" w:space="0" w:color="auto"/>
              <w:bottom w:val="single" w:sz="4" w:space="0" w:color="auto"/>
            </w:tcBorders>
            <w:noWrap/>
            <w:vAlign w:val="center"/>
          </w:tcPr>
          <w:p w14:paraId="4BC64C74" w14:textId="2C505643" w:rsidR="00EF1772" w:rsidRPr="000620D4" w:rsidRDefault="00EF1772" w:rsidP="000620D4">
            <w:pPr>
              <w:ind w:left="28"/>
              <w:jc w:val="center"/>
              <w:rPr>
                <w:rFonts w:ascii="Times New Roman" w:hAnsi="Times New Roman"/>
                <w:i/>
                <w:color w:val="000000"/>
                <w:sz w:val="18"/>
                <w:szCs w:val="18"/>
              </w:rPr>
            </w:pPr>
            <w:r w:rsidRPr="000620D4">
              <w:rPr>
                <w:rFonts w:ascii="Times New Roman" w:hAnsi="Times New Roman"/>
                <w:i/>
                <w:color w:val="000000"/>
                <w:sz w:val="18"/>
                <w:szCs w:val="18"/>
              </w:rPr>
              <w:t>Previous</w:t>
            </w:r>
          </w:p>
        </w:tc>
        <w:tc>
          <w:tcPr>
            <w:tcW w:w="992" w:type="dxa"/>
            <w:tcBorders>
              <w:top w:val="single" w:sz="6" w:space="0" w:color="auto"/>
              <w:bottom w:val="single" w:sz="4" w:space="0" w:color="auto"/>
            </w:tcBorders>
            <w:noWrap/>
            <w:vAlign w:val="center"/>
          </w:tcPr>
          <w:p w14:paraId="116FDC1B" w14:textId="3BD2FCF0" w:rsidR="00EF1772" w:rsidRPr="000620D4" w:rsidRDefault="00EF1772" w:rsidP="000620D4">
            <w:pPr>
              <w:ind w:left="28"/>
              <w:jc w:val="center"/>
              <w:rPr>
                <w:rFonts w:ascii="Times New Roman" w:hAnsi="Times New Roman"/>
                <w:i/>
                <w:iCs/>
                <w:color w:val="000000"/>
                <w:sz w:val="18"/>
                <w:szCs w:val="18"/>
              </w:rPr>
            </w:pPr>
            <w:r w:rsidRPr="000620D4">
              <w:rPr>
                <w:rFonts w:ascii="Times New Roman" w:hAnsi="Times New Roman"/>
                <w:i/>
                <w:iCs/>
                <w:color w:val="000000"/>
                <w:sz w:val="18"/>
                <w:szCs w:val="18"/>
              </w:rPr>
              <w:t>Current</w:t>
            </w:r>
          </w:p>
        </w:tc>
        <w:tc>
          <w:tcPr>
            <w:tcW w:w="851" w:type="dxa"/>
            <w:tcBorders>
              <w:top w:val="single" w:sz="6" w:space="0" w:color="auto"/>
              <w:bottom w:val="single" w:sz="4" w:space="0" w:color="auto"/>
            </w:tcBorders>
            <w:noWrap/>
            <w:vAlign w:val="center"/>
          </w:tcPr>
          <w:p w14:paraId="0B5BA2BF" w14:textId="62BE2EDC" w:rsidR="00EF1772" w:rsidRPr="000620D4" w:rsidRDefault="00EF1772" w:rsidP="000620D4">
            <w:pPr>
              <w:ind w:left="28"/>
              <w:jc w:val="center"/>
              <w:rPr>
                <w:rFonts w:ascii="Times New Roman" w:hAnsi="Times New Roman"/>
                <w:i/>
                <w:color w:val="000000"/>
                <w:sz w:val="18"/>
                <w:szCs w:val="18"/>
              </w:rPr>
            </w:pPr>
            <w:r w:rsidRPr="000620D4">
              <w:rPr>
                <w:rFonts w:ascii="Times New Roman" w:hAnsi="Times New Roman"/>
                <w:i/>
                <w:color w:val="000000"/>
                <w:sz w:val="18"/>
                <w:szCs w:val="18"/>
              </w:rPr>
              <w:t>Input</w:t>
            </w:r>
          </w:p>
        </w:tc>
        <w:tc>
          <w:tcPr>
            <w:tcW w:w="992" w:type="dxa"/>
            <w:tcBorders>
              <w:top w:val="single" w:sz="6" w:space="0" w:color="auto"/>
              <w:bottom w:val="single" w:sz="4" w:space="0" w:color="auto"/>
            </w:tcBorders>
            <w:noWrap/>
            <w:vAlign w:val="center"/>
          </w:tcPr>
          <w:p w14:paraId="557F2FEF" w14:textId="31C04425" w:rsidR="00EF1772" w:rsidRPr="000620D4" w:rsidRDefault="00EF1772" w:rsidP="000620D4">
            <w:pPr>
              <w:ind w:left="28"/>
              <w:jc w:val="center"/>
              <w:rPr>
                <w:rFonts w:ascii="Times New Roman" w:hAnsi="Times New Roman"/>
                <w:i/>
                <w:color w:val="000000"/>
                <w:sz w:val="18"/>
                <w:szCs w:val="18"/>
              </w:rPr>
            </w:pPr>
            <w:r w:rsidRPr="000620D4">
              <w:rPr>
                <w:rFonts w:ascii="Times New Roman" w:hAnsi="Times New Roman"/>
                <w:i/>
                <w:color w:val="000000"/>
                <w:sz w:val="18"/>
                <w:szCs w:val="18"/>
              </w:rPr>
              <w:t>Next</w:t>
            </w:r>
          </w:p>
        </w:tc>
        <w:tc>
          <w:tcPr>
            <w:tcW w:w="1559" w:type="dxa"/>
            <w:tcBorders>
              <w:top w:val="single" w:sz="6" w:space="0" w:color="auto"/>
              <w:bottom w:val="single" w:sz="4" w:space="0" w:color="auto"/>
            </w:tcBorders>
            <w:noWrap/>
            <w:vAlign w:val="center"/>
          </w:tcPr>
          <w:p w14:paraId="0B5EC6A8" w14:textId="778BBDC8" w:rsidR="00EF1772" w:rsidRPr="000620D4" w:rsidRDefault="00EF1772" w:rsidP="000620D4">
            <w:pPr>
              <w:ind w:left="28"/>
              <w:jc w:val="center"/>
              <w:rPr>
                <w:rFonts w:ascii="Times New Roman" w:hAnsi="Times New Roman"/>
                <w:i/>
                <w:color w:val="000000"/>
                <w:sz w:val="18"/>
                <w:szCs w:val="18"/>
              </w:rPr>
            </w:pPr>
            <w:r w:rsidRPr="000620D4">
              <w:rPr>
                <w:rFonts w:ascii="Times New Roman" w:hAnsi="Times New Roman"/>
                <w:i/>
                <w:color w:val="000000"/>
                <w:sz w:val="18"/>
                <w:szCs w:val="18"/>
              </w:rPr>
              <w:t>Output</w:t>
            </w:r>
          </w:p>
        </w:tc>
        <w:tc>
          <w:tcPr>
            <w:tcW w:w="2110" w:type="dxa"/>
            <w:tcBorders>
              <w:top w:val="single" w:sz="6" w:space="0" w:color="auto"/>
              <w:bottom w:val="single" w:sz="4" w:space="0" w:color="auto"/>
            </w:tcBorders>
            <w:noWrap/>
            <w:vAlign w:val="center"/>
          </w:tcPr>
          <w:p w14:paraId="4DF7E4E9" w14:textId="40E0297C" w:rsidR="00EF1772" w:rsidRPr="000620D4" w:rsidRDefault="00EF1772" w:rsidP="000620D4">
            <w:pPr>
              <w:ind w:left="28"/>
              <w:jc w:val="center"/>
              <w:rPr>
                <w:rFonts w:ascii="Times New Roman" w:hAnsi="Times New Roman"/>
                <w:bCs/>
                <w:i/>
                <w:sz w:val="18"/>
                <w:szCs w:val="18"/>
                <w:u w:val="single"/>
              </w:rPr>
            </w:pPr>
            <w:r w:rsidRPr="000620D4">
              <w:rPr>
                <w:rFonts w:ascii="Times New Roman" w:hAnsi="Times New Roman"/>
                <w:bCs/>
                <w:i/>
                <w:sz w:val="18"/>
                <w:szCs w:val="18"/>
                <w:u w:val="single"/>
              </w:rPr>
              <w:t>Description</w:t>
            </w:r>
          </w:p>
        </w:tc>
      </w:tr>
      <w:tr w:rsidR="000620D4" w:rsidRPr="000620D4" w14:paraId="691BE664" w14:textId="77777777" w:rsidTr="000620D4">
        <w:trPr>
          <w:trHeight w:val="255"/>
          <w:jc w:val="center"/>
        </w:trPr>
        <w:tc>
          <w:tcPr>
            <w:tcW w:w="573" w:type="dxa"/>
            <w:vMerge w:val="restart"/>
            <w:tcBorders>
              <w:top w:val="single" w:sz="4" w:space="0" w:color="auto"/>
            </w:tcBorders>
            <w:noWrap/>
            <w:vAlign w:val="center"/>
          </w:tcPr>
          <w:p w14:paraId="6A175840" w14:textId="52502D9E" w:rsidR="000620D4" w:rsidRPr="000620D4" w:rsidRDefault="000620D4" w:rsidP="000620D4">
            <w:pPr>
              <w:ind w:left="28"/>
              <w:jc w:val="center"/>
              <w:rPr>
                <w:rFonts w:ascii="Times New Roman" w:hAnsi="Times New Roman"/>
                <w:b/>
                <w:iCs/>
                <w:color w:val="000000"/>
                <w:sz w:val="18"/>
                <w:szCs w:val="18"/>
              </w:rPr>
            </w:pPr>
            <w:r w:rsidRPr="000620D4">
              <w:rPr>
                <w:rFonts w:ascii="Times New Roman" w:hAnsi="Times New Roman"/>
                <w:b/>
                <w:iCs/>
                <w:color w:val="000000"/>
                <w:sz w:val="18"/>
                <w:szCs w:val="18"/>
              </w:rPr>
              <w:t>PI</w:t>
            </w:r>
          </w:p>
        </w:tc>
        <w:tc>
          <w:tcPr>
            <w:tcW w:w="831" w:type="dxa"/>
            <w:tcBorders>
              <w:top w:val="single" w:sz="4" w:space="0" w:color="auto"/>
            </w:tcBorders>
            <w:noWrap/>
            <w:vAlign w:val="bottom"/>
          </w:tcPr>
          <w:p w14:paraId="1CA180C5" w14:textId="7A6B8C02"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w:t>
            </w:r>
          </w:p>
        </w:tc>
        <w:tc>
          <w:tcPr>
            <w:tcW w:w="992" w:type="dxa"/>
            <w:tcBorders>
              <w:top w:val="single" w:sz="4" w:space="0" w:color="auto"/>
            </w:tcBorders>
            <w:noWrap/>
            <w:vAlign w:val="bottom"/>
          </w:tcPr>
          <w:p w14:paraId="7AD5C028" w14:textId="6D190773"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PI</w:t>
            </w:r>
          </w:p>
        </w:tc>
        <w:tc>
          <w:tcPr>
            <w:tcW w:w="851" w:type="dxa"/>
            <w:tcBorders>
              <w:top w:val="single" w:sz="4" w:space="0" w:color="auto"/>
            </w:tcBorders>
            <w:noWrap/>
            <w:vAlign w:val="bottom"/>
          </w:tcPr>
          <w:p w14:paraId="7539C061" w14:textId="6DDFF664"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OK</w:t>
            </w:r>
          </w:p>
        </w:tc>
        <w:tc>
          <w:tcPr>
            <w:tcW w:w="992" w:type="dxa"/>
            <w:tcBorders>
              <w:top w:val="single" w:sz="4" w:space="0" w:color="auto"/>
            </w:tcBorders>
            <w:noWrap/>
            <w:vAlign w:val="bottom"/>
          </w:tcPr>
          <w:p w14:paraId="43964133" w14:textId="445241D1"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1559" w:type="dxa"/>
            <w:tcBorders>
              <w:top w:val="single" w:sz="4" w:space="0" w:color="auto"/>
            </w:tcBorders>
            <w:noWrap/>
            <w:vAlign w:val="bottom"/>
          </w:tcPr>
          <w:p w14:paraId="76501405" w14:textId="208B3BE2"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Conformities</w:t>
            </w:r>
          </w:p>
        </w:tc>
        <w:tc>
          <w:tcPr>
            <w:tcW w:w="2110" w:type="dxa"/>
            <w:tcBorders>
              <w:top w:val="single" w:sz="4" w:space="0" w:color="auto"/>
            </w:tcBorders>
            <w:noWrap/>
            <w:vAlign w:val="bottom"/>
          </w:tcPr>
          <w:p w14:paraId="791D037E" w14:textId="6726F2A7"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Move to VI</w:t>
            </w:r>
          </w:p>
        </w:tc>
      </w:tr>
      <w:tr w:rsidR="000620D4" w:rsidRPr="000620D4" w14:paraId="397CDE87" w14:textId="77777777" w:rsidTr="000620D4">
        <w:trPr>
          <w:trHeight w:val="255"/>
          <w:jc w:val="center"/>
        </w:trPr>
        <w:tc>
          <w:tcPr>
            <w:tcW w:w="573" w:type="dxa"/>
            <w:vMerge/>
            <w:tcBorders>
              <w:bottom w:val="dashSmallGap" w:sz="4" w:space="0" w:color="auto"/>
            </w:tcBorders>
            <w:noWrap/>
            <w:vAlign w:val="bottom"/>
          </w:tcPr>
          <w:p w14:paraId="6E6280A3" w14:textId="603135E2" w:rsidR="000620D4" w:rsidRPr="000620D4" w:rsidRDefault="000620D4" w:rsidP="006F2A23">
            <w:pPr>
              <w:ind w:left="28"/>
              <w:rPr>
                <w:rFonts w:ascii="Times New Roman" w:hAnsi="Times New Roman"/>
                <w:b/>
                <w:iCs/>
                <w:color w:val="000000"/>
                <w:sz w:val="18"/>
                <w:szCs w:val="18"/>
              </w:rPr>
            </w:pPr>
          </w:p>
        </w:tc>
        <w:tc>
          <w:tcPr>
            <w:tcW w:w="831" w:type="dxa"/>
            <w:tcBorders>
              <w:bottom w:val="dashSmallGap" w:sz="4" w:space="0" w:color="auto"/>
            </w:tcBorders>
            <w:noWrap/>
            <w:vAlign w:val="bottom"/>
          </w:tcPr>
          <w:p w14:paraId="53EDE626" w14:textId="0AE73419"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w:t>
            </w:r>
          </w:p>
        </w:tc>
        <w:tc>
          <w:tcPr>
            <w:tcW w:w="992" w:type="dxa"/>
            <w:tcBorders>
              <w:bottom w:val="dashSmallGap" w:sz="4" w:space="0" w:color="auto"/>
            </w:tcBorders>
            <w:noWrap/>
            <w:vAlign w:val="bottom"/>
          </w:tcPr>
          <w:p w14:paraId="68A3203C" w14:textId="64F48919"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PI</w:t>
            </w:r>
          </w:p>
        </w:tc>
        <w:tc>
          <w:tcPr>
            <w:tcW w:w="851" w:type="dxa"/>
            <w:tcBorders>
              <w:bottom w:val="dashSmallGap" w:sz="4" w:space="0" w:color="auto"/>
            </w:tcBorders>
            <w:noWrap/>
            <w:vAlign w:val="bottom"/>
          </w:tcPr>
          <w:p w14:paraId="5518953B" w14:textId="02FA5C8C"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Not OK</w:t>
            </w:r>
          </w:p>
        </w:tc>
        <w:tc>
          <w:tcPr>
            <w:tcW w:w="992" w:type="dxa"/>
            <w:tcBorders>
              <w:bottom w:val="dashSmallGap" w:sz="4" w:space="0" w:color="auto"/>
            </w:tcBorders>
            <w:noWrap/>
            <w:vAlign w:val="bottom"/>
          </w:tcPr>
          <w:p w14:paraId="2B21E6CE" w14:textId="65C53D66"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RT</w:t>
            </w:r>
          </w:p>
        </w:tc>
        <w:tc>
          <w:tcPr>
            <w:tcW w:w="1559" w:type="dxa"/>
            <w:tcBorders>
              <w:bottom w:val="dashSmallGap" w:sz="4" w:space="0" w:color="auto"/>
            </w:tcBorders>
            <w:noWrap/>
            <w:vAlign w:val="bottom"/>
          </w:tcPr>
          <w:p w14:paraId="4EA035AA" w14:textId="33ECB905"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Error in packaging</w:t>
            </w:r>
          </w:p>
        </w:tc>
        <w:tc>
          <w:tcPr>
            <w:tcW w:w="2110" w:type="dxa"/>
            <w:tcBorders>
              <w:bottom w:val="dashSmallGap" w:sz="4" w:space="0" w:color="auto"/>
            </w:tcBorders>
            <w:noWrap/>
            <w:vAlign w:val="bottom"/>
          </w:tcPr>
          <w:p w14:paraId="7337A9E0" w14:textId="30D87E7F"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Return to supplier</w:t>
            </w:r>
          </w:p>
        </w:tc>
      </w:tr>
      <w:tr w:rsidR="000620D4" w:rsidRPr="000620D4" w14:paraId="34C5EC3F" w14:textId="77777777" w:rsidTr="000620D4">
        <w:trPr>
          <w:trHeight w:val="255"/>
          <w:jc w:val="center"/>
        </w:trPr>
        <w:tc>
          <w:tcPr>
            <w:tcW w:w="573" w:type="dxa"/>
            <w:vMerge w:val="restart"/>
            <w:tcBorders>
              <w:top w:val="dashSmallGap" w:sz="4" w:space="0" w:color="auto"/>
            </w:tcBorders>
            <w:noWrap/>
            <w:vAlign w:val="center"/>
          </w:tcPr>
          <w:p w14:paraId="0671A71B" w14:textId="65B04A5A" w:rsidR="000620D4" w:rsidRPr="000620D4" w:rsidRDefault="000620D4" w:rsidP="000620D4">
            <w:pPr>
              <w:ind w:left="28"/>
              <w:jc w:val="center"/>
              <w:rPr>
                <w:rFonts w:ascii="Times New Roman" w:hAnsi="Times New Roman"/>
                <w:b/>
                <w:iCs/>
                <w:color w:val="000000"/>
                <w:sz w:val="18"/>
                <w:szCs w:val="18"/>
              </w:rPr>
            </w:pPr>
            <w:r w:rsidRPr="000620D4">
              <w:rPr>
                <w:rFonts w:ascii="Times New Roman" w:hAnsi="Times New Roman"/>
                <w:b/>
                <w:iCs/>
                <w:color w:val="000000"/>
                <w:sz w:val="18"/>
                <w:szCs w:val="18"/>
              </w:rPr>
              <w:t>VI</w:t>
            </w:r>
          </w:p>
        </w:tc>
        <w:tc>
          <w:tcPr>
            <w:tcW w:w="831" w:type="dxa"/>
            <w:tcBorders>
              <w:top w:val="dashSmallGap" w:sz="4" w:space="0" w:color="auto"/>
            </w:tcBorders>
            <w:noWrap/>
            <w:vAlign w:val="bottom"/>
          </w:tcPr>
          <w:p w14:paraId="512463EA" w14:textId="143FE661"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PI</w:t>
            </w:r>
          </w:p>
        </w:tc>
        <w:tc>
          <w:tcPr>
            <w:tcW w:w="992" w:type="dxa"/>
            <w:tcBorders>
              <w:top w:val="dashSmallGap" w:sz="4" w:space="0" w:color="auto"/>
            </w:tcBorders>
            <w:noWrap/>
            <w:vAlign w:val="bottom"/>
          </w:tcPr>
          <w:p w14:paraId="7C19EF2E" w14:textId="45BFB79E"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851" w:type="dxa"/>
            <w:tcBorders>
              <w:top w:val="dashSmallGap" w:sz="4" w:space="0" w:color="auto"/>
            </w:tcBorders>
            <w:noWrap/>
            <w:vAlign w:val="bottom"/>
          </w:tcPr>
          <w:p w14:paraId="09F9BC7D" w14:textId="5ECE98F9"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OK</w:t>
            </w:r>
          </w:p>
        </w:tc>
        <w:tc>
          <w:tcPr>
            <w:tcW w:w="992" w:type="dxa"/>
            <w:tcBorders>
              <w:top w:val="dashSmallGap" w:sz="4" w:space="0" w:color="auto"/>
            </w:tcBorders>
            <w:noWrap/>
            <w:vAlign w:val="bottom"/>
          </w:tcPr>
          <w:p w14:paraId="4CC0B5CA" w14:textId="2D216370"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1559" w:type="dxa"/>
            <w:tcBorders>
              <w:top w:val="dashSmallGap" w:sz="4" w:space="0" w:color="auto"/>
            </w:tcBorders>
            <w:noWrap/>
            <w:vAlign w:val="bottom"/>
          </w:tcPr>
          <w:p w14:paraId="180AF0EF" w14:textId="666E7832"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Conformities</w:t>
            </w:r>
          </w:p>
        </w:tc>
        <w:tc>
          <w:tcPr>
            <w:tcW w:w="2110" w:type="dxa"/>
            <w:tcBorders>
              <w:top w:val="dashSmallGap" w:sz="4" w:space="0" w:color="auto"/>
            </w:tcBorders>
            <w:noWrap/>
            <w:vAlign w:val="bottom"/>
          </w:tcPr>
          <w:p w14:paraId="76C9BF89" w14:textId="39C34191"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Move to GI</w:t>
            </w:r>
          </w:p>
        </w:tc>
      </w:tr>
      <w:tr w:rsidR="000620D4" w:rsidRPr="000620D4" w14:paraId="0565DAFF" w14:textId="77777777" w:rsidTr="000620D4">
        <w:trPr>
          <w:trHeight w:val="255"/>
          <w:jc w:val="center"/>
        </w:trPr>
        <w:tc>
          <w:tcPr>
            <w:tcW w:w="573" w:type="dxa"/>
            <w:vMerge/>
            <w:noWrap/>
            <w:vAlign w:val="bottom"/>
          </w:tcPr>
          <w:p w14:paraId="522F1CEA" w14:textId="77777777" w:rsidR="000620D4" w:rsidRPr="000620D4" w:rsidRDefault="000620D4" w:rsidP="006F2A23">
            <w:pPr>
              <w:ind w:left="28"/>
              <w:rPr>
                <w:rFonts w:ascii="Times New Roman" w:hAnsi="Times New Roman"/>
                <w:b/>
                <w:iCs/>
                <w:color w:val="000000"/>
                <w:sz w:val="18"/>
                <w:szCs w:val="18"/>
              </w:rPr>
            </w:pPr>
          </w:p>
        </w:tc>
        <w:tc>
          <w:tcPr>
            <w:tcW w:w="831" w:type="dxa"/>
            <w:noWrap/>
            <w:vAlign w:val="bottom"/>
          </w:tcPr>
          <w:p w14:paraId="74752E26" w14:textId="2D2DB1CC"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PI</w:t>
            </w:r>
          </w:p>
        </w:tc>
        <w:tc>
          <w:tcPr>
            <w:tcW w:w="992" w:type="dxa"/>
            <w:noWrap/>
            <w:vAlign w:val="bottom"/>
          </w:tcPr>
          <w:p w14:paraId="4E784C48" w14:textId="37B0CABC"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851" w:type="dxa"/>
            <w:noWrap/>
            <w:vAlign w:val="bottom"/>
          </w:tcPr>
          <w:p w14:paraId="78135652" w14:textId="1A72A06A"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Not OK</w:t>
            </w:r>
          </w:p>
        </w:tc>
        <w:tc>
          <w:tcPr>
            <w:tcW w:w="992" w:type="dxa"/>
            <w:noWrap/>
            <w:vAlign w:val="bottom"/>
          </w:tcPr>
          <w:p w14:paraId="18E384C6" w14:textId="58032A9A"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RW1</w:t>
            </w:r>
          </w:p>
        </w:tc>
        <w:tc>
          <w:tcPr>
            <w:tcW w:w="1559" w:type="dxa"/>
            <w:noWrap/>
            <w:vAlign w:val="bottom"/>
          </w:tcPr>
          <w:p w14:paraId="6B695281" w14:textId="4FA87BC2"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Minor change</w:t>
            </w:r>
          </w:p>
        </w:tc>
        <w:tc>
          <w:tcPr>
            <w:tcW w:w="2110" w:type="dxa"/>
            <w:noWrap/>
            <w:vAlign w:val="bottom"/>
          </w:tcPr>
          <w:p w14:paraId="428F1001" w14:textId="07245690"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Send to Rework</w:t>
            </w:r>
          </w:p>
        </w:tc>
      </w:tr>
      <w:tr w:rsidR="000620D4" w:rsidRPr="000620D4" w14:paraId="29942093" w14:textId="77777777" w:rsidTr="000620D4">
        <w:trPr>
          <w:trHeight w:val="255"/>
          <w:jc w:val="center"/>
        </w:trPr>
        <w:tc>
          <w:tcPr>
            <w:tcW w:w="573" w:type="dxa"/>
            <w:vMerge/>
            <w:noWrap/>
            <w:vAlign w:val="bottom"/>
          </w:tcPr>
          <w:p w14:paraId="1D13D804" w14:textId="77777777" w:rsidR="000620D4" w:rsidRPr="000620D4" w:rsidRDefault="000620D4" w:rsidP="006F2A23">
            <w:pPr>
              <w:ind w:left="28"/>
              <w:rPr>
                <w:rFonts w:ascii="Times New Roman" w:hAnsi="Times New Roman"/>
                <w:b/>
                <w:iCs/>
                <w:color w:val="000000"/>
                <w:sz w:val="18"/>
                <w:szCs w:val="18"/>
              </w:rPr>
            </w:pPr>
          </w:p>
        </w:tc>
        <w:tc>
          <w:tcPr>
            <w:tcW w:w="831" w:type="dxa"/>
            <w:noWrap/>
            <w:vAlign w:val="bottom"/>
          </w:tcPr>
          <w:p w14:paraId="1D52E287" w14:textId="1F723AF4"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RW1</w:t>
            </w:r>
          </w:p>
        </w:tc>
        <w:tc>
          <w:tcPr>
            <w:tcW w:w="992" w:type="dxa"/>
            <w:noWrap/>
            <w:vAlign w:val="bottom"/>
          </w:tcPr>
          <w:p w14:paraId="0FC91D0D" w14:textId="00F6C49F"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851" w:type="dxa"/>
            <w:noWrap/>
            <w:vAlign w:val="bottom"/>
          </w:tcPr>
          <w:p w14:paraId="316C448E" w14:textId="7864C41C"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OK</w:t>
            </w:r>
          </w:p>
        </w:tc>
        <w:tc>
          <w:tcPr>
            <w:tcW w:w="992" w:type="dxa"/>
            <w:noWrap/>
            <w:vAlign w:val="bottom"/>
          </w:tcPr>
          <w:p w14:paraId="218EC458" w14:textId="13CCD938"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1559" w:type="dxa"/>
            <w:noWrap/>
            <w:vAlign w:val="bottom"/>
          </w:tcPr>
          <w:p w14:paraId="7D0F25C1" w14:textId="662A9822"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Conformities</w:t>
            </w:r>
          </w:p>
        </w:tc>
        <w:tc>
          <w:tcPr>
            <w:tcW w:w="2110" w:type="dxa"/>
            <w:noWrap/>
            <w:vAlign w:val="bottom"/>
          </w:tcPr>
          <w:p w14:paraId="49284962" w14:textId="0EF77B71"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Move to GI</w:t>
            </w:r>
          </w:p>
        </w:tc>
      </w:tr>
      <w:tr w:rsidR="000620D4" w:rsidRPr="000620D4" w14:paraId="49A3A70B" w14:textId="77777777" w:rsidTr="000620D4">
        <w:trPr>
          <w:trHeight w:val="255"/>
          <w:jc w:val="center"/>
        </w:trPr>
        <w:tc>
          <w:tcPr>
            <w:tcW w:w="573" w:type="dxa"/>
            <w:vMerge/>
            <w:tcBorders>
              <w:bottom w:val="dashSmallGap" w:sz="4" w:space="0" w:color="auto"/>
            </w:tcBorders>
            <w:noWrap/>
            <w:vAlign w:val="bottom"/>
          </w:tcPr>
          <w:p w14:paraId="3C716CB7" w14:textId="77777777" w:rsidR="000620D4" w:rsidRPr="000620D4" w:rsidRDefault="000620D4" w:rsidP="006F2A23">
            <w:pPr>
              <w:ind w:left="28"/>
              <w:rPr>
                <w:rFonts w:ascii="Times New Roman" w:hAnsi="Times New Roman"/>
                <w:b/>
                <w:iCs/>
                <w:color w:val="000000"/>
                <w:sz w:val="18"/>
                <w:szCs w:val="18"/>
              </w:rPr>
            </w:pPr>
          </w:p>
        </w:tc>
        <w:tc>
          <w:tcPr>
            <w:tcW w:w="831" w:type="dxa"/>
            <w:tcBorders>
              <w:bottom w:val="dashSmallGap" w:sz="4" w:space="0" w:color="auto"/>
            </w:tcBorders>
            <w:noWrap/>
            <w:vAlign w:val="bottom"/>
          </w:tcPr>
          <w:p w14:paraId="666484A4" w14:textId="15DA84DE"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RW1</w:t>
            </w:r>
          </w:p>
        </w:tc>
        <w:tc>
          <w:tcPr>
            <w:tcW w:w="992" w:type="dxa"/>
            <w:tcBorders>
              <w:bottom w:val="dashSmallGap" w:sz="4" w:space="0" w:color="auto"/>
            </w:tcBorders>
            <w:noWrap/>
            <w:vAlign w:val="bottom"/>
          </w:tcPr>
          <w:p w14:paraId="39417174" w14:textId="0121EB8F"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851" w:type="dxa"/>
            <w:tcBorders>
              <w:bottom w:val="dashSmallGap" w:sz="4" w:space="0" w:color="auto"/>
            </w:tcBorders>
            <w:noWrap/>
            <w:vAlign w:val="bottom"/>
          </w:tcPr>
          <w:p w14:paraId="1EAA3BDF" w14:textId="4BDB47AE"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Not OK</w:t>
            </w:r>
          </w:p>
        </w:tc>
        <w:tc>
          <w:tcPr>
            <w:tcW w:w="992" w:type="dxa"/>
            <w:tcBorders>
              <w:bottom w:val="dashSmallGap" w:sz="4" w:space="0" w:color="auto"/>
            </w:tcBorders>
            <w:noWrap/>
            <w:vAlign w:val="bottom"/>
          </w:tcPr>
          <w:p w14:paraId="03C78D7E" w14:textId="43F192F3"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RT</w:t>
            </w:r>
          </w:p>
        </w:tc>
        <w:tc>
          <w:tcPr>
            <w:tcW w:w="1559" w:type="dxa"/>
            <w:tcBorders>
              <w:bottom w:val="dashSmallGap" w:sz="4" w:space="0" w:color="auto"/>
            </w:tcBorders>
            <w:noWrap/>
            <w:vAlign w:val="bottom"/>
          </w:tcPr>
          <w:p w14:paraId="198BC616" w14:textId="46CE3322"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Nonconformities</w:t>
            </w:r>
          </w:p>
        </w:tc>
        <w:tc>
          <w:tcPr>
            <w:tcW w:w="2110" w:type="dxa"/>
            <w:tcBorders>
              <w:bottom w:val="dashSmallGap" w:sz="4" w:space="0" w:color="auto"/>
            </w:tcBorders>
            <w:noWrap/>
            <w:vAlign w:val="bottom"/>
          </w:tcPr>
          <w:p w14:paraId="223AED05" w14:textId="785D2C46"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Return to Supplier</w:t>
            </w:r>
          </w:p>
        </w:tc>
      </w:tr>
      <w:tr w:rsidR="000620D4" w:rsidRPr="000620D4" w14:paraId="1349938E" w14:textId="77777777" w:rsidTr="000620D4">
        <w:trPr>
          <w:trHeight w:val="255"/>
          <w:jc w:val="center"/>
        </w:trPr>
        <w:tc>
          <w:tcPr>
            <w:tcW w:w="573" w:type="dxa"/>
            <w:vMerge w:val="restart"/>
            <w:tcBorders>
              <w:top w:val="dashSmallGap" w:sz="4" w:space="0" w:color="auto"/>
            </w:tcBorders>
            <w:noWrap/>
            <w:vAlign w:val="center"/>
          </w:tcPr>
          <w:p w14:paraId="129DE293" w14:textId="7906F602" w:rsidR="000620D4" w:rsidRPr="000620D4" w:rsidRDefault="000620D4" w:rsidP="000620D4">
            <w:pPr>
              <w:ind w:left="28"/>
              <w:jc w:val="center"/>
              <w:rPr>
                <w:rFonts w:ascii="Times New Roman" w:hAnsi="Times New Roman"/>
                <w:b/>
                <w:iCs/>
                <w:color w:val="000000"/>
                <w:sz w:val="18"/>
                <w:szCs w:val="18"/>
              </w:rPr>
            </w:pPr>
            <w:r w:rsidRPr="000620D4">
              <w:rPr>
                <w:rFonts w:ascii="Times New Roman" w:hAnsi="Times New Roman"/>
                <w:b/>
                <w:iCs/>
                <w:color w:val="000000"/>
                <w:sz w:val="18"/>
                <w:szCs w:val="18"/>
              </w:rPr>
              <w:t>GI</w:t>
            </w:r>
          </w:p>
        </w:tc>
        <w:tc>
          <w:tcPr>
            <w:tcW w:w="831" w:type="dxa"/>
            <w:tcBorders>
              <w:top w:val="dashSmallGap" w:sz="4" w:space="0" w:color="auto"/>
            </w:tcBorders>
            <w:noWrap/>
            <w:vAlign w:val="bottom"/>
          </w:tcPr>
          <w:p w14:paraId="4E09E4EA" w14:textId="19BBDCBB"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992" w:type="dxa"/>
            <w:tcBorders>
              <w:top w:val="dashSmallGap" w:sz="4" w:space="0" w:color="auto"/>
            </w:tcBorders>
            <w:noWrap/>
            <w:vAlign w:val="bottom"/>
          </w:tcPr>
          <w:p w14:paraId="6C9FB1BB" w14:textId="79BB629D"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851" w:type="dxa"/>
            <w:tcBorders>
              <w:top w:val="dashSmallGap" w:sz="4" w:space="0" w:color="auto"/>
            </w:tcBorders>
            <w:noWrap/>
            <w:vAlign w:val="bottom"/>
          </w:tcPr>
          <w:p w14:paraId="45725323" w14:textId="62F7D466"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OK</w:t>
            </w:r>
          </w:p>
        </w:tc>
        <w:tc>
          <w:tcPr>
            <w:tcW w:w="992" w:type="dxa"/>
            <w:tcBorders>
              <w:top w:val="dashSmallGap" w:sz="4" w:space="0" w:color="auto"/>
            </w:tcBorders>
            <w:noWrap/>
            <w:vAlign w:val="bottom"/>
          </w:tcPr>
          <w:p w14:paraId="4DEC3776" w14:textId="1C24DBE1"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PS</w:t>
            </w:r>
          </w:p>
        </w:tc>
        <w:tc>
          <w:tcPr>
            <w:tcW w:w="1559" w:type="dxa"/>
            <w:tcBorders>
              <w:top w:val="dashSmallGap" w:sz="4" w:space="0" w:color="auto"/>
            </w:tcBorders>
            <w:noWrap/>
            <w:vAlign w:val="bottom"/>
          </w:tcPr>
          <w:p w14:paraId="7A188A39" w14:textId="50321C29"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Conformities</w:t>
            </w:r>
          </w:p>
        </w:tc>
        <w:tc>
          <w:tcPr>
            <w:tcW w:w="2110" w:type="dxa"/>
            <w:tcBorders>
              <w:top w:val="dashSmallGap" w:sz="4" w:space="0" w:color="auto"/>
            </w:tcBorders>
            <w:noWrap/>
            <w:vAlign w:val="bottom"/>
          </w:tcPr>
          <w:p w14:paraId="1A7B9D2D" w14:textId="1A53C601"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Pack and store</w:t>
            </w:r>
          </w:p>
        </w:tc>
      </w:tr>
      <w:tr w:rsidR="000620D4" w:rsidRPr="000620D4" w14:paraId="3A98D6D4" w14:textId="77777777" w:rsidTr="000620D4">
        <w:trPr>
          <w:trHeight w:val="255"/>
          <w:jc w:val="center"/>
        </w:trPr>
        <w:tc>
          <w:tcPr>
            <w:tcW w:w="573" w:type="dxa"/>
            <w:vMerge/>
            <w:noWrap/>
            <w:vAlign w:val="bottom"/>
          </w:tcPr>
          <w:p w14:paraId="3A4A949C" w14:textId="77777777" w:rsidR="000620D4" w:rsidRPr="000620D4" w:rsidRDefault="000620D4" w:rsidP="006F2A23">
            <w:pPr>
              <w:ind w:left="28"/>
              <w:rPr>
                <w:rFonts w:ascii="Times New Roman" w:hAnsi="Times New Roman"/>
                <w:b/>
                <w:iCs/>
                <w:color w:val="000000"/>
                <w:sz w:val="18"/>
                <w:szCs w:val="18"/>
              </w:rPr>
            </w:pPr>
          </w:p>
        </w:tc>
        <w:tc>
          <w:tcPr>
            <w:tcW w:w="831" w:type="dxa"/>
            <w:noWrap/>
            <w:vAlign w:val="bottom"/>
          </w:tcPr>
          <w:p w14:paraId="5A3401F5" w14:textId="1148FC4A"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992" w:type="dxa"/>
            <w:noWrap/>
            <w:vAlign w:val="bottom"/>
          </w:tcPr>
          <w:p w14:paraId="183BFEC8" w14:textId="6DF006B2"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851" w:type="dxa"/>
            <w:noWrap/>
            <w:vAlign w:val="bottom"/>
          </w:tcPr>
          <w:p w14:paraId="50A9EBEA" w14:textId="2148A962"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Not OK</w:t>
            </w:r>
          </w:p>
        </w:tc>
        <w:tc>
          <w:tcPr>
            <w:tcW w:w="992" w:type="dxa"/>
            <w:noWrap/>
            <w:vAlign w:val="bottom"/>
          </w:tcPr>
          <w:p w14:paraId="21CC3EC2" w14:textId="2A8B4B8A"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RW2</w:t>
            </w:r>
          </w:p>
        </w:tc>
        <w:tc>
          <w:tcPr>
            <w:tcW w:w="1559" w:type="dxa"/>
            <w:noWrap/>
            <w:vAlign w:val="bottom"/>
          </w:tcPr>
          <w:p w14:paraId="33906EA5" w14:textId="2D4CA3F3"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Minor change</w:t>
            </w:r>
          </w:p>
        </w:tc>
        <w:tc>
          <w:tcPr>
            <w:tcW w:w="2110" w:type="dxa"/>
            <w:noWrap/>
            <w:vAlign w:val="bottom"/>
          </w:tcPr>
          <w:p w14:paraId="46F1856F" w14:textId="25BED993"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Send to Rework</w:t>
            </w:r>
          </w:p>
        </w:tc>
      </w:tr>
      <w:tr w:rsidR="000620D4" w:rsidRPr="000620D4" w14:paraId="53F4BA63" w14:textId="77777777" w:rsidTr="000620D4">
        <w:trPr>
          <w:trHeight w:val="255"/>
          <w:jc w:val="center"/>
        </w:trPr>
        <w:tc>
          <w:tcPr>
            <w:tcW w:w="573" w:type="dxa"/>
            <w:vMerge/>
            <w:noWrap/>
            <w:vAlign w:val="bottom"/>
          </w:tcPr>
          <w:p w14:paraId="53F25185" w14:textId="77777777" w:rsidR="000620D4" w:rsidRPr="000620D4" w:rsidRDefault="000620D4" w:rsidP="006F2A23">
            <w:pPr>
              <w:ind w:left="28"/>
              <w:rPr>
                <w:rFonts w:ascii="Times New Roman" w:hAnsi="Times New Roman"/>
                <w:b/>
                <w:iCs/>
                <w:color w:val="000000"/>
                <w:sz w:val="18"/>
                <w:szCs w:val="18"/>
              </w:rPr>
            </w:pPr>
          </w:p>
        </w:tc>
        <w:tc>
          <w:tcPr>
            <w:tcW w:w="831" w:type="dxa"/>
            <w:noWrap/>
            <w:vAlign w:val="bottom"/>
          </w:tcPr>
          <w:p w14:paraId="122E35C2" w14:textId="230837F2"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RW2</w:t>
            </w:r>
          </w:p>
        </w:tc>
        <w:tc>
          <w:tcPr>
            <w:tcW w:w="992" w:type="dxa"/>
            <w:noWrap/>
            <w:vAlign w:val="bottom"/>
          </w:tcPr>
          <w:p w14:paraId="11D1102C" w14:textId="571A20FC"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851" w:type="dxa"/>
            <w:noWrap/>
            <w:vAlign w:val="bottom"/>
          </w:tcPr>
          <w:p w14:paraId="1C662068" w14:textId="64F63CDF"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OK</w:t>
            </w:r>
          </w:p>
        </w:tc>
        <w:tc>
          <w:tcPr>
            <w:tcW w:w="992" w:type="dxa"/>
            <w:noWrap/>
            <w:vAlign w:val="bottom"/>
          </w:tcPr>
          <w:p w14:paraId="14F60702" w14:textId="1F52DC3B"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PS</w:t>
            </w:r>
          </w:p>
        </w:tc>
        <w:tc>
          <w:tcPr>
            <w:tcW w:w="1559" w:type="dxa"/>
            <w:noWrap/>
            <w:vAlign w:val="bottom"/>
          </w:tcPr>
          <w:p w14:paraId="3D77874E" w14:textId="5D9A61ED"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Conformities</w:t>
            </w:r>
          </w:p>
        </w:tc>
        <w:tc>
          <w:tcPr>
            <w:tcW w:w="2110" w:type="dxa"/>
            <w:noWrap/>
            <w:vAlign w:val="bottom"/>
          </w:tcPr>
          <w:p w14:paraId="2D8EA24A" w14:textId="72AB5B43"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Pack and Store</w:t>
            </w:r>
          </w:p>
        </w:tc>
      </w:tr>
      <w:tr w:rsidR="000620D4" w:rsidRPr="000620D4" w14:paraId="07365D1C" w14:textId="77777777" w:rsidTr="000620D4">
        <w:trPr>
          <w:trHeight w:val="255"/>
          <w:jc w:val="center"/>
        </w:trPr>
        <w:tc>
          <w:tcPr>
            <w:tcW w:w="573" w:type="dxa"/>
            <w:vMerge/>
            <w:tcBorders>
              <w:bottom w:val="dashSmallGap" w:sz="4" w:space="0" w:color="auto"/>
            </w:tcBorders>
            <w:noWrap/>
            <w:vAlign w:val="bottom"/>
          </w:tcPr>
          <w:p w14:paraId="3746C51F" w14:textId="77777777" w:rsidR="000620D4" w:rsidRPr="000620D4" w:rsidRDefault="000620D4" w:rsidP="006F2A23">
            <w:pPr>
              <w:ind w:left="28"/>
              <w:rPr>
                <w:rFonts w:ascii="Times New Roman" w:hAnsi="Times New Roman"/>
                <w:b/>
                <w:iCs/>
                <w:color w:val="000000"/>
                <w:sz w:val="18"/>
                <w:szCs w:val="18"/>
              </w:rPr>
            </w:pPr>
          </w:p>
        </w:tc>
        <w:tc>
          <w:tcPr>
            <w:tcW w:w="831" w:type="dxa"/>
            <w:tcBorders>
              <w:bottom w:val="dashSmallGap" w:sz="4" w:space="0" w:color="auto"/>
            </w:tcBorders>
            <w:noWrap/>
            <w:vAlign w:val="bottom"/>
          </w:tcPr>
          <w:p w14:paraId="31050C6E" w14:textId="7DAA5444"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RW2</w:t>
            </w:r>
          </w:p>
        </w:tc>
        <w:tc>
          <w:tcPr>
            <w:tcW w:w="992" w:type="dxa"/>
            <w:tcBorders>
              <w:bottom w:val="dashSmallGap" w:sz="4" w:space="0" w:color="auto"/>
            </w:tcBorders>
            <w:noWrap/>
            <w:vAlign w:val="bottom"/>
          </w:tcPr>
          <w:p w14:paraId="29BAAD75" w14:textId="0EA1DD1D"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851" w:type="dxa"/>
            <w:tcBorders>
              <w:bottom w:val="dashSmallGap" w:sz="4" w:space="0" w:color="auto"/>
            </w:tcBorders>
            <w:noWrap/>
            <w:vAlign w:val="bottom"/>
          </w:tcPr>
          <w:p w14:paraId="799D1EA4" w14:textId="480F304A"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Not OK</w:t>
            </w:r>
          </w:p>
        </w:tc>
        <w:tc>
          <w:tcPr>
            <w:tcW w:w="992" w:type="dxa"/>
            <w:tcBorders>
              <w:bottom w:val="dashSmallGap" w:sz="4" w:space="0" w:color="auto"/>
            </w:tcBorders>
            <w:noWrap/>
            <w:vAlign w:val="bottom"/>
          </w:tcPr>
          <w:p w14:paraId="1BAD822D" w14:textId="1088D153"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RT</w:t>
            </w:r>
          </w:p>
        </w:tc>
        <w:tc>
          <w:tcPr>
            <w:tcW w:w="1559" w:type="dxa"/>
            <w:tcBorders>
              <w:bottom w:val="dashSmallGap" w:sz="4" w:space="0" w:color="auto"/>
            </w:tcBorders>
            <w:noWrap/>
            <w:vAlign w:val="bottom"/>
          </w:tcPr>
          <w:p w14:paraId="6A67B0EB" w14:textId="6EA9B069"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Non</w:t>
            </w:r>
            <w:r>
              <w:rPr>
                <w:rFonts w:ascii="Times New Roman" w:hAnsi="Times New Roman"/>
                <w:iCs/>
                <w:color w:val="000000"/>
                <w:sz w:val="18"/>
                <w:szCs w:val="18"/>
              </w:rPr>
              <w:t>c</w:t>
            </w:r>
            <w:r w:rsidRPr="000620D4">
              <w:rPr>
                <w:rFonts w:ascii="Times New Roman" w:hAnsi="Times New Roman"/>
                <w:iCs/>
                <w:color w:val="000000"/>
                <w:sz w:val="18"/>
                <w:szCs w:val="18"/>
              </w:rPr>
              <w:t>onformities</w:t>
            </w:r>
          </w:p>
        </w:tc>
        <w:tc>
          <w:tcPr>
            <w:tcW w:w="2110" w:type="dxa"/>
            <w:tcBorders>
              <w:bottom w:val="dashSmallGap" w:sz="4" w:space="0" w:color="auto"/>
            </w:tcBorders>
            <w:noWrap/>
            <w:vAlign w:val="bottom"/>
          </w:tcPr>
          <w:p w14:paraId="26FB0688" w14:textId="1DB9BACE"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Return to supplier</w:t>
            </w:r>
          </w:p>
        </w:tc>
      </w:tr>
      <w:tr w:rsidR="000620D4" w:rsidRPr="000620D4" w14:paraId="76D70956" w14:textId="77777777" w:rsidTr="000620D4">
        <w:trPr>
          <w:trHeight w:val="255"/>
          <w:jc w:val="center"/>
        </w:trPr>
        <w:tc>
          <w:tcPr>
            <w:tcW w:w="573" w:type="dxa"/>
            <w:vMerge w:val="restart"/>
            <w:tcBorders>
              <w:top w:val="dashSmallGap" w:sz="4" w:space="0" w:color="auto"/>
            </w:tcBorders>
            <w:noWrap/>
            <w:vAlign w:val="center"/>
          </w:tcPr>
          <w:p w14:paraId="5A7E3DCA" w14:textId="6116E598" w:rsidR="000620D4" w:rsidRPr="000620D4" w:rsidRDefault="000620D4" w:rsidP="000620D4">
            <w:pPr>
              <w:ind w:left="28"/>
              <w:jc w:val="center"/>
              <w:rPr>
                <w:rFonts w:ascii="Times New Roman" w:hAnsi="Times New Roman"/>
                <w:b/>
                <w:iCs/>
                <w:color w:val="000000"/>
                <w:sz w:val="18"/>
                <w:szCs w:val="18"/>
              </w:rPr>
            </w:pPr>
            <w:r w:rsidRPr="000620D4">
              <w:rPr>
                <w:rFonts w:ascii="Times New Roman" w:hAnsi="Times New Roman"/>
                <w:b/>
                <w:iCs/>
                <w:color w:val="000000"/>
                <w:sz w:val="18"/>
                <w:szCs w:val="18"/>
              </w:rPr>
              <w:t>RW1</w:t>
            </w:r>
          </w:p>
        </w:tc>
        <w:tc>
          <w:tcPr>
            <w:tcW w:w="831" w:type="dxa"/>
            <w:tcBorders>
              <w:top w:val="dashSmallGap" w:sz="4" w:space="0" w:color="auto"/>
            </w:tcBorders>
            <w:noWrap/>
            <w:vAlign w:val="bottom"/>
          </w:tcPr>
          <w:p w14:paraId="38155975" w14:textId="3DB21DF7"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992" w:type="dxa"/>
            <w:tcBorders>
              <w:top w:val="dashSmallGap" w:sz="4" w:space="0" w:color="auto"/>
            </w:tcBorders>
            <w:noWrap/>
            <w:vAlign w:val="bottom"/>
          </w:tcPr>
          <w:p w14:paraId="2615A6A3" w14:textId="05730847"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RW1</w:t>
            </w:r>
          </w:p>
        </w:tc>
        <w:tc>
          <w:tcPr>
            <w:tcW w:w="851" w:type="dxa"/>
            <w:tcBorders>
              <w:top w:val="dashSmallGap" w:sz="4" w:space="0" w:color="auto"/>
            </w:tcBorders>
            <w:noWrap/>
            <w:vAlign w:val="bottom"/>
          </w:tcPr>
          <w:p w14:paraId="27A6797B" w14:textId="5BA08C06"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OK</w:t>
            </w:r>
          </w:p>
        </w:tc>
        <w:tc>
          <w:tcPr>
            <w:tcW w:w="992" w:type="dxa"/>
            <w:tcBorders>
              <w:top w:val="dashSmallGap" w:sz="4" w:space="0" w:color="auto"/>
            </w:tcBorders>
            <w:noWrap/>
            <w:vAlign w:val="bottom"/>
          </w:tcPr>
          <w:p w14:paraId="388F3B5A" w14:textId="6701A5AF"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1559" w:type="dxa"/>
            <w:tcBorders>
              <w:top w:val="dashSmallGap" w:sz="4" w:space="0" w:color="auto"/>
            </w:tcBorders>
            <w:noWrap/>
            <w:vAlign w:val="bottom"/>
          </w:tcPr>
          <w:p w14:paraId="69E4B31A" w14:textId="38B5B2BA"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Minor correction</w:t>
            </w:r>
          </w:p>
        </w:tc>
        <w:tc>
          <w:tcPr>
            <w:tcW w:w="2110" w:type="dxa"/>
            <w:tcBorders>
              <w:top w:val="dashSmallGap" w:sz="4" w:space="0" w:color="auto"/>
            </w:tcBorders>
            <w:noWrap/>
            <w:vAlign w:val="bottom"/>
          </w:tcPr>
          <w:p w14:paraId="05B7CA42" w14:textId="168F4215"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Move to VI</w:t>
            </w:r>
          </w:p>
        </w:tc>
      </w:tr>
      <w:tr w:rsidR="000620D4" w:rsidRPr="000620D4" w14:paraId="2A4A083D" w14:textId="77777777" w:rsidTr="000620D4">
        <w:trPr>
          <w:trHeight w:val="255"/>
          <w:jc w:val="center"/>
        </w:trPr>
        <w:tc>
          <w:tcPr>
            <w:tcW w:w="573" w:type="dxa"/>
            <w:vMerge/>
            <w:tcBorders>
              <w:bottom w:val="dashSmallGap" w:sz="4" w:space="0" w:color="auto"/>
            </w:tcBorders>
            <w:noWrap/>
            <w:vAlign w:val="bottom"/>
          </w:tcPr>
          <w:p w14:paraId="6FAF239D" w14:textId="77777777" w:rsidR="000620D4" w:rsidRPr="000620D4" w:rsidRDefault="000620D4" w:rsidP="006F2A23">
            <w:pPr>
              <w:ind w:left="28"/>
              <w:rPr>
                <w:rFonts w:ascii="Times New Roman" w:hAnsi="Times New Roman"/>
                <w:b/>
                <w:iCs/>
                <w:color w:val="000000"/>
                <w:sz w:val="18"/>
                <w:szCs w:val="18"/>
              </w:rPr>
            </w:pPr>
          </w:p>
        </w:tc>
        <w:tc>
          <w:tcPr>
            <w:tcW w:w="831" w:type="dxa"/>
            <w:tcBorders>
              <w:bottom w:val="dashSmallGap" w:sz="4" w:space="0" w:color="auto"/>
            </w:tcBorders>
            <w:noWrap/>
            <w:vAlign w:val="bottom"/>
          </w:tcPr>
          <w:p w14:paraId="2CF62B82" w14:textId="35625CA8"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992" w:type="dxa"/>
            <w:tcBorders>
              <w:bottom w:val="dashSmallGap" w:sz="4" w:space="0" w:color="auto"/>
            </w:tcBorders>
            <w:noWrap/>
            <w:vAlign w:val="bottom"/>
          </w:tcPr>
          <w:p w14:paraId="7AEFDC3C" w14:textId="06F63DAD"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RW1</w:t>
            </w:r>
          </w:p>
        </w:tc>
        <w:tc>
          <w:tcPr>
            <w:tcW w:w="851" w:type="dxa"/>
            <w:tcBorders>
              <w:bottom w:val="dashSmallGap" w:sz="4" w:space="0" w:color="auto"/>
            </w:tcBorders>
            <w:noWrap/>
            <w:vAlign w:val="bottom"/>
          </w:tcPr>
          <w:p w14:paraId="5EE0EAF9" w14:textId="1CE96DFA"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Not OK</w:t>
            </w:r>
          </w:p>
        </w:tc>
        <w:tc>
          <w:tcPr>
            <w:tcW w:w="992" w:type="dxa"/>
            <w:tcBorders>
              <w:bottom w:val="dashSmallGap" w:sz="4" w:space="0" w:color="auto"/>
            </w:tcBorders>
            <w:noWrap/>
            <w:vAlign w:val="bottom"/>
          </w:tcPr>
          <w:p w14:paraId="75A331FD" w14:textId="5CB7BAD5"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RT</w:t>
            </w:r>
          </w:p>
        </w:tc>
        <w:tc>
          <w:tcPr>
            <w:tcW w:w="1559" w:type="dxa"/>
            <w:tcBorders>
              <w:bottom w:val="dashSmallGap" w:sz="4" w:space="0" w:color="auto"/>
            </w:tcBorders>
            <w:noWrap/>
            <w:vAlign w:val="bottom"/>
          </w:tcPr>
          <w:p w14:paraId="10C1A775" w14:textId="47356A9F"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Major change</w:t>
            </w:r>
          </w:p>
        </w:tc>
        <w:tc>
          <w:tcPr>
            <w:tcW w:w="2110" w:type="dxa"/>
            <w:tcBorders>
              <w:bottom w:val="dashSmallGap" w:sz="4" w:space="0" w:color="auto"/>
            </w:tcBorders>
            <w:noWrap/>
            <w:vAlign w:val="bottom"/>
          </w:tcPr>
          <w:p w14:paraId="7041E062" w14:textId="6DA08DAC" w:rsidR="000620D4" w:rsidRPr="000620D4" w:rsidRDefault="000620D4" w:rsidP="006F2A23">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Return to Supplier</w:t>
            </w:r>
          </w:p>
        </w:tc>
      </w:tr>
      <w:tr w:rsidR="000620D4" w:rsidRPr="000620D4" w14:paraId="062021AB" w14:textId="77777777" w:rsidTr="000620D4">
        <w:trPr>
          <w:trHeight w:val="255"/>
          <w:jc w:val="center"/>
        </w:trPr>
        <w:tc>
          <w:tcPr>
            <w:tcW w:w="573" w:type="dxa"/>
            <w:vMerge w:val="restart"/>
            <w:tcBorders>
              <w:top w:val="dashSmallGap" w:sz="4" w:space="0" w:color="auto"/>
            </w:tcBorders>
            <w:noWrap/>
            <w:vAlign w:val="center"/>
          </w:tcPr>
          <w:p w14:paraId="7ED7BB0E" w14:textId="4324DFE0" w:rsidR="000620D4" w:rsidRPr="000620D4" w:rsidRDefault="000620D4" w:rsidP="000620D4">
            <w:pPr>
              <w:ind w:left="28"/>
              <w:jc w:val="center"/>
              <w:rPr>
                <w:rFonts w:ascii="Times New Roman" w:hAnsi="Times New Roman"/>
                <w:b/>
                <w:iCs/>
                <w:color w:val="000000"/>
                <w:sz w:val="18"/>
                <w:szCs w:val="18"/>
              </w:rPr>
            </w:pPr>
            <w:r w:rsidRPr="000620D4">
              <w:rPr>
                <w:rFonts w:ascii="Times New Roman" w:hAnsi="Times New Roman"/>
                <w:b/>
                <w:iCs/>
                <w:color w:val="000000"/>
                <w:sz w:val="18"/>
                <w:szCs w:val="18"/>
              </w:rPr>
              <w:t>RW2</w:t>
            </w:r>
          </w:p>
        </w:tc>
        <w:tc>
          <w:tcPr>
            <w:tcW w:w="831" w:type="dxa"/>
            <w:tcBorders>
              <w:top w:val="dashSmallGap" w:sz="4" w:space="0" w:color="auto"/>
            </w:tcBorders>
            <w:noWrap/>
            <w:vAlign w:val="bottom"/>
          </w:tcPr>
          <w:p w14:paraId="352FFC4D" w14:textId="2F0595B1"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992" w:type="dxa"/>
            <w:tcBorders>
              <w:top w:val="dashSmallGap" w:sz="4" w:space="0" w:color="auto"/>
            </w:tcBorders>
            <w:noWrap/>
            <w:vAlign w:val="bottom"/>
          </w:tcPr>
          <w:p w14:paraId="0CEEE553" w14:textId="4919EE21"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RW2</w:t>
            </w:r>
          </w:p>
        </w:tc>
        <w:tc>
          <w:tcPr>
            <w:tcW w:w="851" w:type="dxa"/>
            <w:tcBorders>
              <w:top w:val="dashSmallGap" w:sz="4" w:space="0" w:color="auto"/>
            </w:tcBorders>
            <w:noWrap/>
            <w:vAlign w:val="bottom"/>
          </w:tcPr>
          <w:p w14:paraId="43E06257" w14:textId="4F18750F"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OK</w:t>
            </w:r>
          </w:p>
        </w:tc>
        <w:tc>
          <w:tcPr>
            <w:tcW w:w="992" w:type="dxa"/>
            <w:tcBorders>
              <w:top w:val="dashSmallGap" w:sz="4" w:space="0" w:color="auto"/>
            </w:tcBorders>
            <w:noWrap/>
            <w:vAlign w:val="bottom"/>
          </w:tcPr>
          <w:p w14:paraId="12297E7F" w14:textId="5626F125"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1559" w:type="dxa"/>
            <w:tcBorders>
              <w:top w:val="dashSmallGap" w:sz="4" w:space="0" w:color="auto"/>
            </w:tcBorders>
            <w:noWrap/>
            <w:vAlign w:val="bottom"/>
          </w:tcPr>
          <w:p w14:paraId="5CE68E46" w14:textId="0EB94C61"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Minor correction</w:t>
            </w:r>
          </w:p>
        </w:tc>
        <w:tc>
          <w:tcPr>
            <w:tcW w:w="2110" w:type="dxa"/>
            <w:tcBorders>
              <w:top w:val="dashSmallGap" w:sz="4" w:space="0" w:color="auto"/>
            </w:tcBorders>
            <w:noWrap/>
            <w:vAlign w:val="bottom"/>
          </w:tcPr>
          <w:p w14:paraId="13ECFFDB" w14:textId="3A913595"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Move to GI</w:t>
            </w:r>
          </w:p>
        </w:tc>
      </w:tr>
      <w:tr w:rsidR="000620D4" w:rsidRPr="000620D4" w14:paraId="17FDC29E" w14:textId="77777777" w:rsidTr="000620D4">
        <w:trPr>
          <w:trHeight w:val="255"/>
          <w:jc w:val="center"/>
        </w:trPr>
        <w:tc>
          <w:tcPr>
            <w:tcW w:w="573" w:type="dxa"/>
            <w:vMerge/>
            <w:tcBorders>
              <w:bottom w:val="dashSmallGap" w:sz="4" w:space="0" w:color="auto"/>
            </w:tcBorders>
            <w:noWrap/>
            <w:vAlign w:val="bottom"/>
          </w:tcPr>
          <w:p w14:paraId="55543D45" w14:textId="77777777" w:rsidR="000620D4" w:rsidRPr="000620D4" w:rsidRDefault="000620D4" w:rsidP="000620D4">
            <w:pPr>
              <w:ind w:left="28"/>
              <w:rPr>
                <w:rFonts w:ascii="Times New Roman" w:hAnsi="Times New Roman"/>
                <w:b/>
                <w:iCs/>
                <w:color w:val="000000"/>
                <w:sz w:val="18"/>
                <w:szCs w:val="18"/>
              </w:rPr>
            </w:pPr>
          </w:p>
        </w:tc>
        <w:tc>
          <w:tcPr>
            <w:tcW w:w="831" w:type="dxa"/>
            <w:tcBorders>
              <w:bottom w:val="dashSmallGap" w:sz="4" w:space="0" w:color="auto"/>
            </w:tcBorders>
            <w:noWrap/>
            <w:vAlign w:val="bottom"/>
          </w:tcPr>
          <w:p w14:paraId="1BBF630D" w14:textId="0557DB4C"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992" w:type="dxa"/>
            <w:tcBorders>
              <w:bottom w:val="dashSmallGap" w:sz="4" w:space="0" w:color="auto"/>
            </w:tcBorders>
            <w:noWrap/>
            <w:vAlign w:val="bottom"/>
          </w:tcPr>
          <w:p w14:paraId="18479B2E" w14:textId="3D1A0F75"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RW2</w:t>
            </w:r>
          </w:p>
        </w:tc>
        <w:tc>
          <w:tcPr>
            <w:tcW w:w="851" w:type="dxa"/>
            <w:tcBorders>
              <w:bottom w:val="dashSmallGap" w:sz="4" w:space="0" w:color="auto"/>
            </w:tcBorders>
            <w:noWrap/>
            <w:vAlign w:val="bottom"/>
          </w:tcPr>
          <w:p w14:paraId="0E18E2B2" w14:textId="2D49C3E7"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Not OK</w:t>
            </w:r>
          </w:p>
        </w:tc>
        <w:tc>
          <w:tcPr>
            <w:tcW w:w="992" w:type="dxa"/>
            <w:tcBorders>
              <w:bottom w:val="dashSmallGap" w:sz="4" w:space="0" w:color="auto"/>
            </w:tcBorders>
            <w:noWrap/>
            <w:vAlign w:val="bottom"/>
          </w:tcPr>
          <w:p w14:paraId="6BBD75DE" w14:textId="5FD15F7D"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RT</w:t>
            </w:r>
          </w:p>
        </w:tc>
        <w:tc>
          <w:tcPr>
            <w:tcW w:w="1559" w:type="dxa"/>
            <w:tcBorders>
              <w:bottom w:val="dashSmallGap" w:sz="4" w:space="0" w:color="auto"/>
            </w:tcBorders>
            <w:noWrap/>
            <w:vAlign w:val="bottom"/>
          </w:tcPr>
          <w:p w14:paraId="5E5FB01F" w14:textId="75B3DF4E"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Major change</w:t>
            </w:r>
          </w:p>
        </w:tc>
        <w:tc>
          <w:tcPr>
            <w:tcW w:w="2110" w:type="dxa"/>
            <w:tcBorders>
              <w:bottom w:val="dashSmallGap" w:sz="4" w:space="0" w:color="auto"/>
            </w:tcBorders>
            <w:noWrap/>
            <w:vAlign w:val="bottom"/>
          </w:tcPr>
          <w:p w14:paraId="17F47373" w14:textId="4F6F83D6"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Return to Supplier</w:t>
            </w:r>
          </w:p>
        </w:tc>
      </w:tr>
      <w:tr w:rsidR="000620D4" w:rsidRPr="000620D4" w14:paraId="63D0F982" w14:textId="77777777" w:rsidTr="000620D4">
        <w:trPr>
          <w:trHeight w:val="255"/>
          <w:jc w:val="center"/>
        </w:trPr>
        <w:tc>
          <w:tcPr>
            <w:tcW w:w="573" w:type="dxa"/>
            <w:tcBorders>
              <w:top w:val="dashSmallGap" w:sz="4" w:space="0" w:color="auto"/>
            </w:tcBorders>
            <w:noWrap/>
            <w:vAlign w:val="center"/>
          </w:tcPr>
          <w:p w14:paraId="16A6DDD6" w14:textId="7A90E3E7" w:rsidR="000620D4" w:rsidRPr="000620D4" w:rsidRDefault="000620D4" w:rsidP="000620D4">
            <w:pPr>
              <w:ind w:left="28"/>
              <w:jc w:val="center"/>
              <w:rPr>
                <w:rFonts w:ascii="Times New Roman" w:hAnsi="Times New Roman"/>
                <w:b/>
                <w:iCs/>
                <w:color w:val="000000"/>
                <w:sz w:val="18"/>
                <w:szCs w:val="18"/>
              </w:rPr>
            </w:pPr>
            <w:r w:rsidRPr="000620D4">
              <w:rPr>
                <w:rFonts w:ascii="Times New Roman" w:hAnsi="Times New Roman"/>
                <w:b/>
                <w:iCs/>
                <w:color w:val="000000"/>
                <w:sz w:val="18"/>
                <w:szCs w:val="18"/>
              </w:rPr>
              <w:t>PS</w:t>
            </w:r>
          </w:p>
        </w:tc>
        <w:tc>
          <w:tcPr>
            <w:tcW w:w="831" w:type="dxa"/>
            <w:tcBorders>
              <w:top w:val="dashSmallGap" w:sz="4" w:space="0" w:color="auto"/>
            </w:tcBorders>
            <w:noWrap/>
            <w:vAlign w:val="bottom"/>
          </w:tcPr>
          <w:p w14:paraId="1A99150A" w14:textId="1A8A7646"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992" w:type="dxa"/>
            <w:tcBorders>
              <w:top w:val="dashSmallGap" w:sz="4" w:space="0" w:color="auto"/>
            </w:tcBorders>
            <w:noWrap/>
            <w:vAlign w:val="bottom"/>
          </w:tcPr>
          <w:p w14:paraId="7DC8E03E" w14:textId="15D7F5BA"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PS</w:t>
            </w:r>
          </w:p>
        </w:tc>
        <w:tc>
          <w:tcPr>
            <w:tcW w:w="851" w:type="dxa"/>
            <w:tcBorders>
              <w:top w:val="dashSmallGap" w:sz="4" w:space="0" w:color="auto"/>
            </w:tcBorders>
            <w:noWrap/>
            <w:vAlign w:val="bottom"/>
          </w:tcPr>
          <w:p w14:paraId="1E4FB2E5" w14:textId="5F50AA91"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OK</w:t>
            </w:r>
          </w:p>
        </w:tc>
        <w:tc>
          <w:tcPr>
            <w:tcW w:w="992" w:type="dxa"/>
            <w:tcBorders>
              <w:top w:val="dashSmallGap" w:sz="4" w:space="0" w:color="auto"/>
            </w:tcBorders>
            <w:noWrap/>
            <w:vAlign w:val="bottom"/>
          </w:tcPr>
          <w:p w14:paraId="728EC525" w14:textId="48807A24"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w:t>
            </w:r>
          </w:p>
        </w:tc>
        <w:tc>
          <w:tcPr>
            <w:tcW w:w="1559" w:type="dxa"/>
            <w:tcBorders>
              <w:top w:val="dashSmallGap" w:sz="4" w:space="0" w:color="auto"/>
            </w:tcBorders>
            <w:noWrap/>
            <w:vAlign w:val="bottom"/>
          </w:tcPr>
          <w:p w14:paraId="6A2E00FE" w14:textId="4BFCA964"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Conformities</w:t>
            </w:r>
          </w:p>
        </w:tc>
        <w:tc>
          <w:tcPr>
            <w:tcW w:w="2110" w:type="dxa"/>
            <w:tcBorders>
              <w:top w:val="dashSmallGap" w:sz="4" w:space="0" w:color="auto"/>
            </w:tcBorders>
            <w:noWrap/>
            <w:vAlign w:val="bottom"/>
          </w:tcPr>
          <w:p w14:paraId="01E9077D" w14:textId="4C237613"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Finish</w:t>
            </w:r>
          </w:p>
        </w:tc>
      </w:tr>
      <w:tr w:rsidR="000620D4" w:rsidRPr="000620D4" w14:paraId="072776A5" w14:textId="77777777" w:rsidTr="000620D4">
        <w:trPr>
          <w:trHeight w:val="255"/>
          <w:jc w:val="center"/>
        </w:trPr>
        <w:tc>
          <w:tcPr>
            <w:tcW w:w="573" w:type="dxa"/>
            <w:noWrap/>
            <w:vAlign w:val="center"/>
          </w:tcPr>
          <w:p w14:paraId="6B0170B0" w14:textId="4DAA1450" w:rsidR="000620D4" w:rsidRPr="000620D4" w:rsidRDefault="000620D4" w:rsidP="000620D4">
            <w:pPr>
              <w:ind w:left="28"/>
              <w:jc w:val="center"/>
              <w:rPr>
                <w:rFonts w:ascii="Times New Roman" w:hAnsi="Times New Roman"/>
                <w:b/>
                <w:iCs/>
                <w:color w:val="000000"/>
                <w:sz w:val="18"/>
                <w:szCs w:val="18"/>
              </w:rPr>
            </w:pPr>
            <w:r w:rsidRPr="000620D4">
              <w:rPr>
                <w:rFonts w:ascii="Times New Roman" w:hAnsi="Times New Roman"/>
                <w:b/>
                <w:iCs/>
                <w:color w:val="000000"/>
                <w:sz w:val="18"/>
                <w:szCs w:val="18"/>
              </w:rPr>
              <w:t>RT</w:t>
            </w:r>
          </w:p>
        </w:tc>
        <w:tc>
          <w:tcPr>
            <w:tcW w:w="831" w:type="dxa"/>
            <w:noWrap/>
            <w:vAlign w:val="bottom"/>
          </w:tcPr>
          <w:p w14:paraId="314CF923" w14:textId="10DA2385"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w:t>
            </w:r>
          </w:p>
        </w:tc>
        <w:tc>
          <w:tcPr>
            <w:tcW w:w="992" w:type="dxa"/>
            <w:noWrap/>
            <w:vAlign w:val="bottom"/>
          </w:tcPr>
          <w:p w14:paraId="70FE8E73" w14:textId="35EAC8AC"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RT</w:t>
            </w:r>
          </w:p>
        </w:tc>
        <w:tc>
          <w:tcPr>
            <w:tcW w:w="851" w:type="dxa"/>
            <w:noWrap/>
            <w:vAlign w:val="bottom"/>
          </w:tcPr>
          <w:p w14:paraId="70ABD0B4" w14:textId="52F2D273"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OK</w:t>
            </w:r>
          </w:p>
        </w:tc>
        <w:tc>
          <w:tcPr>
            <w:tcW w:w="992" w:type="dxa"/>
            <w:noWrap/>
            <w:vAlign w:val="bottom"/>
          </w:tcPr>
          <w:p w14:paraId="0A727E35" w14:textId="03DA944B"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w:t>
            </w:r>
          </w:p>
        </w:tc>
        <w:tc>
          <w:tcPr>
            <w:tcW w:w="1559" w:type="dxa"/>
            <w:noWrap/>
            <w:vAlign w:val="bottom"/>
          </w:tcPr>
          <w:p w14:paraId="6560719F" w14:textId="69793166"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Nonconformities</w:t>
            </w:r>
          </w:p>
        </w:tc>
        <w:tc>
          <w:tcPr>
            <w:tcW w:w="2110" w:type="dxa"/>
            <w:noWrap/>
            <w:vAlign w:val="bottom"/>
          </w:tcPr>
          <w:p w14:paraId="3FF3CDB5" w14:textId="56DDA584" w:rsidR="000620D4" w:rsidRPr="000620D4" w:rsidRDefault="000620D4" w:rsidP="000620D4">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Return to Supplier</w:t>
            </w:r>
          </w:p>
        </w:tc>
      </w:tr>
    </w:tbl>
    <w:p w14:paraId="5A9C750E" w14:textId="2A6B9C76" w:rsidR="00305DE6" w:rsidRDefault="0072459B" w:rsidP="00996531">
      <w:pPr>
        <w:pStyle w:val="Heading2"/>
      </w:pPr>
      <w:r>
        <w:t>Markov Process / Markov chain for incoming Inspection</w:t>
      </w:r>
    </w:p>
    <w:p w14:paraId="72823C45" w14:textId="07C43313" w:rsidR="0072459B" w:rsidRPr="00305DE6" w:rsidRDefault="0072459B" w:rsidP="00305DE6">
      <w:pPr>
        <w:jc w:val="both"/>
      </w:pPr>
      <w:r w:rsidRPr="00305DE6">
        <w:t xml:space="preserve">The functions in the substations are explained using a finite state machine diagram. Further, the functions are converted into </w:t>
      </w:r>
      <w:r w:rsidR="00DA74C7">
        <w:t xml:space="preserve">a </w:t>
      </w:r>
      <w:r w:rsidRPr="00305DE6">
        <w:t xml:space="preserve">Markov chain. </w:t>
      </w:r>
      <w:r w:rsidR="00305DE6" w:rsidRPr="00305DE6">
        <w:t>A discrete-valued Markov process is known as a Markov chain. The state</w:t>
      </w:r>
      <w:r w:rsidR="00C163D1">
        <w:t>-</w:t>
      </w:r>
      <w:r w:rsidR="00305DE6" w:rsidRPr="00305DE6">
        <w:t>space of potential Markov chain values is finite or quantifiable when the chain is discrete</w:t>
      </w:r>
      <w:r w:rsidR="00C163D1">
        <w:t>-</w:t>
      </w:r>
      <w:r w:rsidR="00305DE6" w:rsidRPr="00305DE6">
        <w:t xml:space="preserve">valued. A Markov process is a stochastic process in which the process's history is irrelevant if the </w:t>
      </w:r>
      <w:r w:rsidR="00297169">
        <w:t xml:space="preserve">system’s </w:t>
      </w:r>
      <w:r w:rsidR="00305DE6" w:rsidRPr="00305DE6">
        <w:t>present state</w:t>
      </w:r>
      <w:r w:rsidR="00297169">
        <w:t xml:space="preserve"> </w:t>
      </w:r>
      <w:r w:rsidR="00305DE6" w:rsidRPr="00305DE6">
        <w:t xml:space="preserve">is known. </w:t>
      </w:r>
      <w:r w:rsidR="00C163D1">
        <w:t>T</w:t>
      </w:r>
      <w:r w:rsidR="00305DE6" w:rsidRPr="00305DE6">
        <w:t>he current state has all knowledge about the past and present that may predict the future</w:t>
      </w:r>
      <w:r w:rsidRPr="00305DE6">
        <w:t xml:space="preserve"> [</w:t>
      </w:r>
      <w:r w:rsidR="00986544">
        <w:t>8</w:t>
      </w:r>
      <w:r w:rsidRPr="00305DE6">
        <w:t xml:space="preserve"> -1</w:t>
      </w:r>
      <w:r w:rsidR="00986544">
        <w:t>3</w:t>
      </w:r>
      <w:r w:rsidRPr="00305DE6">
        <w:t xml:space="preserve">]. </w:t>
      </w:r>
      <w:r w:rsidR="00C163D1">
        <w:t xml:space="preserve">The </w:t>
      </w:r>
      <w:r w:rsidRPr="00305DE6">
        <w:t xml:space="preserve">Markov model </w:t>
      </w:r>
      <w:r w:rsidR="00755D8B" w:rsidRPr="00305DE6">
        <w:t xml:space="preserve">is the one </w:t>
      </w:r>
      <w:r w:rsidRPr="00305DE6">
        <w:t xml:space="preserve">in which the </w:t>
      </w:r>
      <w:r w:rsidR="00305DE6">
        <w:t>present</w:t>
      </w:r>
      <w:r w:rsidRPr="00305DE6">
        <w:t xml:space="preserve"> state </w:t>
      </w:r>
      <w:r w:rsidR="00305DE6">
        <w:t xml:space="preserve">is solely </w:t>
      </w:r>
      <w:r w:rsidRPr="00305DE6">
        <w:t>depend</w:t>
      </w:r>
      <w:r w:rsidR="00305DE6">
        <w:t>ent</w:t>
      </w:r>
      <w:r w:rsidRPr="00305DE6">
        <w:t xml:space="preserve"> on the pre</w:t>
      </w:r>
      <w:r w:rsidR="00305DE6">
        <w:t>ceding</w:t>
      </w:r>
      <w:r w:rsidRPr="00305DE6">
        <w:t xml:space="preserve"> state thus. </w:t>
      </w:r>
    </w:p>
    <w:p w14:paraId="6C823DEB" w14:textId="48CB3D04" w:rsidR="00CD3319" w:rsidRPr="00CD3319" w:rsidRDefault="00CD3319" w:rsidP="00CD3319">
      <w:pPr>
        <w:pStyle w:val="Bodytext"/>
        <w:jc w:val="center"/>
      </w:pPr>
      <w:r w:rsidRPr="00CD3319">
        <w:object w:dxaOrig="4080" w:dyaOrig="340" w14:anchorId="38D167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75pt;height:17.25pt" o:ole="">
            <v:imagedata r:id="rId11" o:title=""/>
          </v:shape>
          <o:OLEObject Type="Embed" ProgID="Equation.3" ShapeID="_x0000_i1025" DrawAspect="Content" ObjectID="_1687852349" r:id="rId12"/>
        </w:object>
      </w:r>
    </w:p>
    <w:p w14:paraId="5B8E4FDD" w14:textId="1F397A01" w:rsidR="00CD3319" w:rsidRPr="00CD3319" w:rsidRDefault="00CD3319" w:rsidP="00CD3319">
      <w:pPr>
        <w:pStyle w:val="Bodytext"/>
        <w:jc w:val="right"/>
      </w:pPr>
      <w:r w:rsidRPr="00CD3319">
        <w:object w:dxaOrig="2020" w:dyaOrig="340" w14:anchorId="5488E164">
          <v:shape id="_x0000_i1026" type="#_x0000_t75" style="width:100.5pt;height:17.25pt" o:ole="">
            <v:imagedata r:id="rId13" o:title=""/>
          </v:shape>
          <o:OLEObject Type="Embed" ProgID="Equation.3" ShapeID="_x0000_i1026" DrawAspect="Content" ObjectID="_1687852350" r:id="rId14"/>
        </w:object>
      </w:r>
      <w:r w:rsidRPr="00CD3319">
        <w:tab/>
      </w:r>
      <w:r w:rsidRPr="00CD3319">
        <w:tab/>
      </w:r>
      <w:r w:rsidRPr="00CD3319">
        <w:tab/>
      </w:r>
      <w:r w:rsidRPr="00CD3319">
        <w:tab/>
      </w:r>
      <w:r w:rsidRPr="00CD3319">
        <w:tab/>
        <w:t>(1)</w:t>
      </w:r>
    </w:p>
    <w:p w14:paraId="7D9AB5E9" w14:textId="69AF91D4" w:rsidR="00CD3319" w:rsidRPr="00CD3319" w:rsidRDefault="00305DE6" w:rsidP="00CD3319">
      <w:pPr>
        <w:pStyle w:val="Bodytext"/>
      </w:pPr>
      <w:r>
        <w:t>depicts</w:t>
      </w:r>
      <w:r w:rsidR="00CD3319" w:rsidRPr="00CD3319">
        <w:t xml:space="preserve"> </w:t>
      </w:r>
      <w:r>
        <w:t xml:space="preserve">a </w:t>
      </w:r>
      <w:r w:rsidRPr="00CD3319">
        <w:t>well-known</w:t>
      </w:r>
      <w:r w:rsidR="00CD3319" w:rsidRPr="00CD3319">
        <w:t xml:space="preserve"> </w:t>
      </w:r>
      <w:r>
        <w:t xml:space="preserve">Markov chain or </w:t>
      </w:r>
      <w:r w:rsidR="00CD3319" w:rsidRPr="00CD3319">
        <w:t>first</w:t>
      </w:r>
      <w:r w:rsidR="00C163D1">
        <w:t>-</w:t>
      </w:r>
      <w:r w:rsidR="00CD3319" w:rsidRPr="00CD3319">
        <w:t xml:space="preserve">order Markov </w:t>
      </w:r>
      <w:r>
        <w:t>chain</w:t>
      </w:r>
      <w:r w:rsidR="00CD3319" w:rsidRPr="00CD3319">
        <w:t xml:space="preserve">. </w:t>
      </w:r>
      <w:r>
        <w:t xml:space="preserve">Furthermore, </w:t>
      </w:r>
      <w:r w:rsidR="00CD3319" w:rsidRPr="00CD3319">
        <w:t xml:space="preserve">if transition probabilities </w:t>
      </w:r>
      <w:r>
        <w:t xml:space="preserve">are independent of </w:t>
      </w:r>
      <w:r w:rsidR="00CD3319" w:rsidRPr="00CD3319">
        <w:t>time ‘n’ thus</w:t>
      </w:r>
      <w:r w:rsidR="00455695">
        <w:t>,</w:t>
      </w:r>
    </w:p>
    <w:p w14:paraId="3341A9AD" w14:textId="21BD1E56" w:rsidR="00CD3319" w:rsidRPr="00CD3319" w:rsidRDefault="00CD3319" w:rsidP="00384955">
      <w:pPr>
        <w:pStyle w:val="Bodytext"/>
        <w:jc w:val="right"/>
      </w:pPr>
      <w:r w:rsidRPr="00CD3319">
        <w:object w:dxaOrig="4920" w:dyaOrig="340" w14:anchorId="223BAE12">
          <v:shape id="_x0000_i1027" type="#_x0000_t75" style="width:246pt;height:17.25pt" o:ole="">
            <v:imagedata r:id="rId15" o:title=""/>
          </v:shape>
          <o:OLEObject Type="Embed" ProgID="Equation.3" ShapeID="_x0000_i1027" DrawAspect="Content" ObjectID="_1687852351" r:id="rId16"/>
        </w:object>
      </w:r>
      <w:r w:rsidR="00384955">
        <w:tab/>
      </w:r>
      <w:r w:rsidR="00384955">
        <w:tab/>
      </w:r>
      <w:r w:rsidR="00384955">
        <w:tab/>
      </w:r>
      <w:r w:rsidR="00384955" w:rsidRPr="00CD3319">
        <w:t>(</w:t>
      </w:r>
      <w:r w:rsidR="00384955">
        <w:t>2</w:t>
      </w:r>
      <w:r w:rsidR="00384955" w:rsidRPr="00CD3319">
        <w:t>)</w:t>
      </w:r>
    </w:p>
    <w:p w14:paraId="6AE526B4" w14:textId="6285596B" w:rsidR="00CD3319" w:rsidRDefault="00CD3319" w:rsidP="00CD3319">
      <w:pPr>
        <w:pStyle w:val="Subsubsection"/>
        <w:jc w:val="both"/>
        <w:rPr>
          <w:i w:val="0"/>
        </w:rPr>
      </w:pPr>
      <w:r>
        <w:t>Stochastic Process and Markov chain</w:t>
      </w:r>
      <w:r>
        <w:rPr>
          <w:i w:val="0"/>
        </w:rPr>
        <w:t xml:space="preserve"> </w:t>
      </w:r>
    </w:p>
    <w:p w14:paraId="75B90F7C" w14:textId="433B520C" w:rsidR="00F169D7" w:rsidRPr="00F169D7" w:rsidRDefault="00E07EEA" w:rsidP="00F169D7">
      <w:pPr>
        <w:pStyle w:val="BodytextIndented"/>
        <w:rPr>
          <w:lang w:val="en-GB"/>
        </w:rPr>
      </w:pPr>
      <w:r>
        <w:rPr>
          <w:lang w:val="en-GB"/>
        </w:rPr>
        <w:t xml:space="preserve">The study of how a random variable </w:t>
      </w:r>
      <w:proofErr w:type="gramStart"/>
      <w:r>
        <w:rPr>
          <w:lang w:val="en-GB"/>
        </w:rPr>
        <w:t>change</w:t>
      </w:r>
      <w:r w:rsidR="00DA74C7">
        <w:rPr>
          <w:lang w:val="en-GB"/>
        </w:rPr>
        <w:t>s</w:t>
      </w:r>
      <w:proofErr w:type="gramEnd"/>
      <w:r>
        <w:rPr>
          <w:lang w:val="en-GB"/>
        </w:rPr>
        <w:t xml:space="preserve"> over time is known as </w:t>
      </w:r>
      <w:r w:rsidR="00C163D1">
        <w:rPr>
          <w:lang w:val="en-GB"/>
        </w:rPr>
        <w:t xml:space="preserve">a </w:t>
      </w:r>
      <w:r>
        <w:rPr>
          <w:lang w:val="en-GB"/>
        </w:rPr>
        <w:t>s</w:t>
      </w:r>
      <w:r w:rsidR="00F169D7" w:rsidRPr="00F169D7">
        <w:rPr>
          <w:lang w:val="en-GB"/>
        </w:rPr>
        <w:t xml:space="preserve">tochastic </w:t>
      </w:r>
      <w:r>
        <w:rPr>
          <w:lang w:val="en-GB"/>
        </w:rPr>
        <w:t>p</w:t>
      </w:r>
      <w:r w:rsidR="00F169D7" w:rsidRPr="00F169D7">
        <w:rPr>
          <w:lang w:val="en-GB"/>
        </w:rPr>
        <w:t>rocess.</w:t>
      </w:r>
      <w:r w:rsidR="003B0832">
        <w:rPr>
          <w:lang w:val="en-GB"/>
        </w:rPr>
        <w:t xml:space="preserve"> T</w:t>
      </w:r>
      <w:r w:rsidR="00F169D7" w:rsidRPr="00F169D7">
        <w:rPr>
          <w:lang w:val="en-GB"/>
        </w:rPr>
        <w:t xml:space="preserve">he stochastic process </w:t>
      </w:r>
      <w:r>
        <w:rPr>
          <w:lang w:val="en-GB"/>
        </w:rPr>
        <w:t>through</w:t>
      </w:r>
      <w:r w:rsidR="00F169D7" w:rsidRPr="00F169D7">
        <w:rPr>
          <w:lang w:val="en-GB"/>
        </w:rPr>
        <w:t xml:space="preserve"> which the </w:t>
      </w:r>
      <w:r>
        <w:rPr>
          <w:lang w:val="en-GB"/>
        </w:rPr>
        <w:t xml:space="preserve">system’s </w:t>
      </w:r>
      <w:r w:rsidR="00F169D7" w:rsidRPr="00F169D7">
        <w:rPr>
          <w:lang w:val="en-GB"/>
        </w:rPr>
        <w:t xml:space="preserve">state </w:t>
      </w:r>
      <w:r>
        <w:rPr>
          <w:lang w:val="en-GB"/>
        </w:rPr>
        <w:t xml:space="preserve">may </w:t>
      </w:r>
      <w:r w:rsidR="00F169D7" w:rsidRPr="00F169D7">
        <w:rPr>
          <w:lang w:val="en-GB"/>
        </w:rPr>
        <w:t xml:space="preserve">be </w:t>
      </w:r>
      <w:r>
        <w:rPr>
          <w:lang w:val="en-GB"/>
        </w:rPr>
        <w:t xml:space="preserve">monitored </w:t>
      </w:r>
      <w:r w:rsidR="00F169D7" w:rsidRPr="00F169D7">
        <w:rPr>
          <w:lang w:val="en-GB"/>
        </w:rPr>
        <w:t xml:space="preserve">at discrete </w:t>
      </w:r>
      <w:r>
        <w:rPr>
          <w:lang w:val="en-GB"/>
        </w:rPr>
        <w:t xml:space="preserve">points in </w:t>
      </w:r>
      <w:r w:rsidR="00F169D7" w:rsidRPr="00F169D7">
        <w:rPr>
          <w:lang w:val="en-GB"/>
        </w:rPr>
        <w:t>time</w:t>
      </w:r>
      <w:r w:rsidR="003B0832">
        <w:rPr>
          <w:lang w:val="en-GB"/>
        </w:rPr>
        <w:t xml:space="preserve"> refers to </w:t>
      </w:r>
      <w:r w:rsidR="00C163D1">
        <w:rPr>
          <w:lang w:val="en-GB"/>
        </w:rPr>
        <w:t xml:space="preserve">the </w:t>
      </w:r>
      <w:r w:rsidR="003B0832">
        <w:rPr>
          <w:lang w:val="en-GB"/>
        </w:rPr>
        <w:t>discrete</w:t>
      </w:r>
      <w:r w:rsidR="00121C35">
        <w:rPr>
          <w:lang w:val="en-GB"/>
        </w:rPr>
        <w:t>-</w:t>
      </w:r>
      <w:r w:rsidR="003B0832">
        <w:rPr>
          <w:lang w:val="en-GB"/>
        </w:rPr>
        <w:t>time stochastic process</w:t>
      </w:r>
      <w:r w:rsidR="00F169D7" w:rsidRPr="00F169D7">
        <w:rPr>
          <w:lang w:val="en-GB"/>
        </w:rPr>
        <w:t>.</w:t>
      </w:r>
      <w:r w:rsidR="003B0832">
        <w:rPr>
          <w:lang w:val="en-GB"/>
        </w:rPr>
        <w:t xml:space="preserve"> In a c</w:t>
      </w:r>
      <w:r w:rsidR="00F169D7" w:rsidRPr="00F169D7">
        <w:rPr>
          <w:lang w:val="en-GB"/>
        </w:rPr>
        <w:t>ontinuous</w:t>
      </w:r>
      <w:r w:rsidR="00C163D1">
        <w:rPr>
          <w:lang w:val="en-GB"/>
        </w:rPr>
        <w:t>-</w:t>
      </w:r>
      <w:r w:rsidR="003B0832" w:rsidRPr="00F169D7">
        <w:rPr>
          <w:lang w:val="en-GB"/>
        </w:rPr>
        <w:t>time,</w:t>
      </w:r>
      <w:r w:rsidR="00F169D7" w:rsidRPr="00F169D7">
        <w:rPr>
          <w:lang w:val="en-GB"/>
        </w:rPr>
        <w:t xml:space="preserve"> </w:t>
      </w:r>
      <w:r w:rsidR="003B0832">
        <w:rPr>
          <w:lang w:val="en-GB"/>
        </w:rPr>
        <w:t xml:space="preserve">stochastic process, the </w:t>
      </w:r>
      <w:r>
        <w:rPr>
          <w:lang w:val="en-GB"/>
        </w:rPr>
        <w:t xml:space="preserve">system’s state may </w:t>
      </w:r>
      <w:r w:rsidR="00F169D7" w:rsidRPr="00F169D7">
        <w:rPr>
          <w:lang w:val="en-GB"/>
        </w:rPr>
        <w:t xml:space="preserve">be </w:t>
      </w:r>
      <w:r>
        <w:rPr>
          <w:lang w:val="en-GB"/>
        </w:rPr>
        <w:t xml:space="preserve">seen </w:t>
      </w:r>
      <w:r w:rsidR="00F169D7" w:rsidRPr="00F169D7">
        <w:rPr>
          <w:lang w:val="en-GB"/>
        </w:rPr>
        <w:t xml:space="preserve">at any </w:t>
      </w:r>
      <w:r>
        <w:rPr>
          <w:lang w:val="en-GB"/>
        </w:rPr>
        <w:t>moment.</w:t>
      </w:r>
    </w:p>
    <w:p w14:paraId="409D4198" w14:textId="4F070BB7" w:rsidR="00F169D7" w:rsidRPr="00F169D7" w:rsidRDefault="00E07EEA" w:rsidP="00F169D7">
      <w:pPr>
        <w:pStyle w:val="BodytextIndented"/>
      </w:pPr>
      <w:r>
        <w:t>An s x s matrix depicts t</w:t>
      </w:r>
      <w:r w:rsidR="00F169D7" w:rsidRPr="00F169D7">
        <w:t>he transition probabilit</w:t>
      </w:r>
      <w:r>
        <w:t>y</w:t>
      </w:r>
      <w:r w:rsidR="00F169D7" w:rsidRPr="00F169D7">
        <w:t>.</w:t>
      </w:r>
    </w:p>
    <w:p w14:paraId="6BEA36B6" w14:textId="77777777" w:rsidR="00F169D7" w:rsidRPr="00F169D7" w:rsidRDefault="00F169D7" w:rsidP="00F169D7">
      <w:pPr>
        <w:pStyle w:val="BodytextIndented"/>
        <w:rPr>
          <w:i/>
        </w:rPr>
      </w:pPr>
      <w:r w:rsidRPr="00F169D7">
        <w:object w:dxaOrig="2520" w:dyaOrig="1480" w14:anchorId="50518A4B">
          <v:shape id="_x0000_i1028" type="#_x0000_t75" style="width:127.5pt;height:74.25pt" o:ole="">
            <v:imagedata r:id="rId17" o:title=""/>
          </v:shape>
          <o:OLEObject Type="Embed" ProgID="Equation.DSMT4" ShapeID="_x0000_i1028" DrawAspect="Content" ObjectID="_1687852352" r:id="rId18"/>
        </w:object>
      </w:r>
      <w:r w:rsidRPr="00F169D7">
        <w:tab/>
      </w:r>
      <w:r w:rsidRPr="00F169D7">
        <w:tab/>
      </w:r>
      <w:r w:rsidRPr="00F169D7">
        <w:tab/>
        <w:t xml:space="preserve"> </w:t>
      </w:r>
    </w:p>
    <w:p w14:paraId="1341E3CC" w14:textId="4FC09170" w:rsidR="00F169D7" w:rsidRPr="00F169D7" w:rsidRDefault="00E07EEA" w:rsidP="00F169D7">
      <w:pPr>
        <w:pStyle w:val="BodytextIndented"/>
        <w:rPr>
          <w:i/>
        </w:rPr>
      </w:pPr>
      <w:r>
        <w:rPr>
          <w:i/>
        </w:rPr>
        <w:t xml:space="preserve">Each row’s </w:t>
      </w:r>
      <w:r w:rsidR="00F169D7" w:rsidRPr="00F169D7">
        <w:rPr>
          <w:i/>
        </w:rPr>
        <w:t xml:space="preserve">probability </w:t>
      </w:r>
      <w:r>
        <w:rPr>
          <w:i/>
        </w:rPr>
        <w:t xml:space="preserve">must add up to </w:t>
      </w:r>
      <w:r w:rsidR="00F169D7" w:rsidRPr="00F169D7">
        <w:rPr>
          <w:i/>
        </w:rPr>
        <w:t xml:space="preserve">1, i.e., for each </w:t>
      </w:r>
      <w:proofErr w:type="spellStart"/>
      <w:proofErr w:type="gramStart"/>
      <w:r w:rsidR="00F169D7" w:rsidRPr="00F169D7">
        <w:rPr>
          <w:i/>
        </w:rPr>
        <w:t>i</w:t>
      </w:r>
      <w:proofErr w:type="spellEnd"/>
      <w:proofErr w:type="gramEnd"/>
    </w:p>
    <w:p w14:paraId="61CCD05D" w14:textId="77777777" w:rsidR="00F169D7" w:rsidRPr="00F169D7" w:rsidRDefault="00F169D7" w:rsidP="00F169D7">
      <w:pPr>
        <w:pStyle w:val="BodytextIndented"/>
      </w:pPr>
      <w:r w:rsidRPr="00F169D7">
        <w:object w:dxaOrig="940" w:dyaOrig="720" w14:anchorId="633342F9">
          <v:shape id="_x0000_i1029" type="#_x0000_t75" style="width:46.5pt;height:36.75pt" o:ole="">
            <v:imagedata r:id="rId19" o:title=""/>
          </v:shape>
          <o:OLEObject Type="Embed" ProgID="Equation.DSMT4" ShapeID="_x0000_i1029" DrawAspect="Content" ObjectID="_1687852353" r:id="rId20"/>
        </w:object>
      </w:r>
    </w:p>
    <w:p w14:paraId="43799765" w14:textId="09AE338F" w:rsidR="00F169D7" w:rsidRDefault="00FB02A5" w:rsidP="00F169D7">
      <w:pPr>
        <w:pStyle w:val="BodytextIndented"/>
        <w:ind w:firstLine="0"/>
        <w:rPr>
          <w:lang w:val="en-GB"/>
        </w:rPr>
      </w:pPr>
      <w:r w:rsidRPr="00F43ED1">
        <w:rPr>
          <w:position w:val="-138"/>
          <w:lang w:val="en-GB"/>
        </w:rPr>
        <w:object w:dxaOrig="5340" w:dyaOrig="2880" w14:anchorId="45B11C92">
          <v:shape id="_x0000_i1030" type="#_x0000_t75" style="width:267pt;height:143.25pt" o:ole="">
            <v:imagedata r:id="rId21" o:title=""/>
          </v:shape>
          <o:OLEObject Type="Embed" ProgID="Equation.DSMT4" ShapeID="_x0000_i1030" DrawAspect="Content" ObjectID="_1687852354" r:id="rId22"/>
        </w:object>
      </w:r>
    </w:p>
    <w:p w14:paraId="5407B15A" w14:textId="09B5FE5D" w:rsidR="00F169D7" w:rsidRPr="009056C9" w:rsidRDefault="00F169D7" w:rsidP="009056C9">
      <w:pPr>
        <w:pStyle w:val="Subsubsection"/>
        <w:jc w:val="both"/>
        <w:rPr>
          <w:i w:val="0"/>
        </w:rPr>
      </w:pPr>
      <w:r w:rsidRPr="009056C9">
        <w:t>Initial probability distribution</w:t>
      </w:r>
    </w:p>
    <w:p w14:paraId="4252C263" w14:textId="014CB3E8" w:rsidR="00970565" w:rsidRPr="00223C13" w:rsidRDefault="00970565" w:rsidP="00F169D7">
      <w:pPr>
        <w:pStyle w:val="BodytextIndented"/>
        <w:rPr>
          <w:iCs w:val="0"/>
        </w:rPr>
      </w:pPr>
      <w:r>
        <w:rPr>
          <w:iCs w:val="0"/>
        </w:rPr>
        <w:t>The raw material enters the factory</w:t>
      </w:r>
      <w:r w:rsidR="00223C13">
        <w:rPr>
          <w:iCs w:val="0"/>
        </w:rPr>
        <w:t xml:space="preserve"> after quality inspection. At the inspection bay, every material is checked for its packaging standards</w:t>
      </w:r>
      <w:r w:rsidR="003249C1">
        <w:rPr>
          <w:iCs w:val="0"/>
        </w:rPr>
        <w:t xml:space="preserve"> as per the PDS. </w:t>
      </w:r>
      <w:r w:rsidR="00D86643">
        <w:rPr>
          <w:iCs w:val="0"/>
        </w:rPr>
        <w:t xml:space="preserve">The state flow diagram with transition probabilities is depicted in Figure 2. </w:t>
      </w:r>
      <w:r w:rsidR="003249C1">
        <w:rPr>
          <w:iCs w:val="0"/>
        </w:rPr>
        <w:t xml:space="preserve">Only if the material conforms with the PDS, </w:t>
      </w:r>
      <w:r w:rsidR="00BC726A">
        <w:rPr>
          <w:iCs w:val="0"/>
        </w:rPr>
        <w:t xml:space="preserve">the material is taken for </w:t>
      </w:r>
      <w:r w:rsidR="00DA74C7">
        <w:rPr>
          <w:iCs w:val="0"/>
        </w:rPr>
        <w:t xml:space="preserve">the </w:t>
      </w:r>
      <w:r w:rsidR="00BC726A">
        <w:rPr>
          <w:iCs w:val="0"/>
        </w:rPr>
        <w:t xml:space="preserve">next step of quality checking. </w:t>
      </w:r>
      <w:r w:rsidR="00D86643">
        <w:rPr>
          <w:iCs w:val="0"/>
        </w:rPr>
        <w:t>So,</w:t>
      </w:r>
      <w:r w:rsidR="00BC726A">
        <w:rPr>
          <w:iCs w:val="0"/>
        </w:rPr>
        <w:t xml:space="preserve"> the only entry </w:t>
      </w:r>
      <w:r w:rsidR="00DB692C">
        <w:rPr>
          <w:iCs w:val="0"/>
        </w:rPr>
        <w:t>point to</w:t>
      </w:r>
      <w:r w:rsidR="00CD3BC0">
        <w:rPr>
          <w:iCs w:val="0"/>
        </w:rPr>
        <w:t xml:space="preserve"> the raw material is Packaging inspection (PI), So the initial </w:t>
      </w:r>
      <w:r w:rsidR="00A76539">
        <w:rPr>
          <w:iCs w:val="0"/>
        </w:rPr>
        <w:t>distribution probability</w:t>
      </w:r>
      <w:r w:rsidR="00CD3BC0">
        <w:rPr>
          <w:iCs w:val="0"/>
        </w:rPr>
        <w:t xml:space="preserve"> P0 is gi</w:t>
      </w:r>
      <w:r w:rsidR="00B64DEE">
        <w:rPr>
          <w:iCs w:val="0"/>
        </w:rPr>
        <w:t xml:space="preserve">ven </w:t>
      </w:r>
      <w:proofErr w:type="gramStart"/>
      <w:r w:rsidR="00B64DEE">
        <w:rPr>
          <w:iCs w:val="0"/>
        </w:rPr>
        <w:t>by</w:t>
      </w:r>
      <w:proofErr w:type="gramEnd"/>
    </w:p>
    <w:p w14:paraId="462BA170" w14:textId="005ADEEB" w:rsidR="00F169D7" w:rsidRPr="00F169D7" w:rsidRDefault="00B64DEE" w:rsidP="00F169D7">
      <w:pPr>
        <w:pStyle w:val="BodytextIndented"/>
        <w:ind w:firstLine="0"/>
        <w:rPr>
          <w:b/>
          <w:i/>
        </w:rPr>
      </w:pPr>
      <w:r w:rsidRPr="00B64DEE">
        <w:rPr>
          <w:b/>
          <w:i/>
          <w:position w:val="-14"/>
        </w:rPr>
        <w:object w:dxaOrig="2900" w:dyaOrig="400" w14:anchorId="573055DB">
          <v:shape id="_x0000_i1031" type="#_x0000_t75" style="width:145.5pt;height:19.5pt" o:ole="">
            <v:imagedata r:id="rId23" o:title=""/>
          </v:shape>
          <o:OLEObject Type="Embed" ProgID="Equation.DSMT4" ShapeID="_x0000_i1031" DrawAspect="Content" ObjectID="_1687852355" r:id="rId24"/>
        </w:object>
      </w:r>
      <w:r w:rsidR="00F169D7" w:rsidRPr="00F169D7">
        <w:rPr>
          <w:b/>
          <w:i/>
        </w:rPr>
        <w:t xml:space="preserve"> </w:t>
      </w:r>
    </w:p>
    <w:tbl>
      <w:tblPr>
        <w:tblW w:w="0" w:type="auto"/>
        <w:jc w:val="center"/>
        <w:tblLook w:val="01E0" w:firstRow="1" w:lastRow="1" w:firstColumn="1" w:lastColumn="1" w:noHBand="0" w:noVBand="0"/>
      </w:tblPr>
      <w:tblGrid>
        <w:gridCol w:w="6286"/>
      </w:tblGrid>
      <w:tr w:rsidR="00F169D7" w:rsidRPr="00CE57CF" w14:paraId="21EECB51" w14:textId="77777777" w:rsidTr="006F2A23">
        <w:trPr>
          <w:jc w:val="center"/>
        </w:trPr>
        <w:tc>
          <w:tcPr>
            <w:tcW w:w="6286" w:type="dxa"/>
            <w:shd w:val="clear" w:color="auto" w:fill="auto"/>
          </w:tcPr>
          <w:p w14:paraId="12715C4E" w14:textId="77777777" w:rsidR="00F169D7" w:rsidRPr="00CE57CF" w:rsidRDefault="00F169D7" w:rsidP="006F2A23">
            <w:pPr>
              <w:pStyle w:val="BodyChar"/>
              <w:rPr>
                <w:rFonts w:ascii="Times New Roman" w:hAnsi="Times New Roman"/>
              </w:rPr>
            </w:pPr>
            <w:r w:rsidRPr="00CE57CF">
              <w:rPr>
                <w:rFonts w:ascii="Times New Roman" w:hAnsi="Times New Roman"/>
                <w:noProof/>
                <w:lang w:eastAsia="en-GB"/>
              </w:rPr>
              <w:drawing>
                <wp:inline distT="0" distB="0" distL="0" distR="0" wp14:anchorId="54BEFE7F" wp14:editId="3F787A14">
                  <wp:extent cx="3751826" cy="2203200"/>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751826" cy="2203200"/>
                          </a:xfrm>
                          <a:prstGeom prst="rect">
                            <a:avLst/>
                          </a:prstGeom>
                          <a:noFill/>
                          <a:ln>
                            <a:noFill/>
                          </a:ln>
                        </pic:spPr>
                      </pic:pic>
                    </a:graphicData>
                  </a:graphic>
                </wp:inline>
              </w:drawing>
            </w:r>
          </w:p>
        </w:tc>
      </w:tr>
      <w:tr w:rsidR="00F169D7" w:rsidRPr="00CE57CF" w14:paraId="0D7175C0" w14:textId="77777777" w:rsidTr="006F2A23">
        <w:trPr>
          <w:jc w:val="center"/>
        </w:trPr>
        <w:tc>
          <w:tcPr>
            <w:tcW w:w="6286" w:type="dxa"/>
            <w:shd w:val="clear" w:color="auto" w:fill="auto"/>
          </w:tcPr>
          <w:p w14:paraId="60FAB7FE" w14:textId="4D3B2F49" w:rsidR="00F169D7" w:rsidRPr="00CE57CF" w:rsidRDefault="00F169D7" w:rsidP="006F2A23">
            <w:pPr>
              <w:pStyle w:val="FigureCaption"/>
              <w:spacing w:before="120"/>
              <w:jc w:val="both"/>
              <w:rPr>
                <w:rFonts w:ascii="Times New Roman" w:hAnsi="Times New Roman"/>
              </w:rPr>
            </w:pPr>
            <w:r w:rsidRPr="00CE57CF">
              <w:rPr>
                <w:rFonts w:ascii="Times New Roman" w:hAnsi="Times New Roman"/>
                <w:b/>
              </w:rPr>
              <w:t xml:space="preserve">Figure </w:t>
            </w:r>
            <w:r>
              <w:rPr>
                <w:rFonts w:ascii="Times New Roman" w:hAnsi="Times New Roman"/>
                <w:b/>
              </w:rPr>
              <w:t>2</w:t>
            </w:r>
            <w:r w:rsidRPr="00CE57CF">
              <w:rPr>
                <w:rFonts w:ascii="Times New Roman" w:hAnsi="Times New Roman"/>
                <w:b/>
              </w:rPr>
              <w:t xml:space="preserve">. </w:t>
            </w:r>
            <w:r>
              <w:rPr>
                <w:rFonts w:ascii="Times New Roman" w:hAnsi="Times New Roman"/>
              </w:rPr>
              <w:t>State flow diagram with transition probabilities</w:t>
            </w:r>
            <w:r w:rsidRPr="00CE57CF">
              <w:rPr>
                <w:rFonts w:ascii="Times New Roman" w:hAnsi="Times New Roman"/>
              </w:rPr>
              <w:t>.</w:t>
            </w:r>
          </w:p>
        </w:tc>
      </w:tr>
    </w:tbl>
    <w:p w14:paraId="17319F47" w14:textId="5103CDFE" w:rsidR="0072459B" w:rsidRDefault="0072459B" w:rsidP="0072459B">
      <w:pPr>
        <w:pStyle w:val="Heading2"/>
      </w:pPr>
      <w:r>
        <w:t>Transition Matrix</w:t>
      </w:r>
    </w:p>
    <w:p w14:paraId="1967C43C" w14:textId="0685328C" w:rsidR="00F169D7" w:rsidRPr="00F169D7" w:rsidRDefault="00E07EEA" w:rsidP="00F169D7">
      <w:pPr>
        <w:jc w:val="both"/>
      </w:pPr>
      <w:r>
        <w:t>I</w:t>
      </w:r>
      <w:r w:rsidR="0072459B" w:rsidRPr="0072459B">
        <w:t>n engineering, operations research and time series</w:t>
      </w:r>
      <w:r>
        <w:t xml:space="preserve">, Markov models are </w:t>
      </w:r>
      <w:r w:rsidR="005063D0">
        <w:t>frequently used</w:t>
      </w:r>
      <w:r w:rsidR="0072459B" w:rsidRPr="0072459B">
        <w:t xml:space="preserve">. </w:t>
      </w:r>
      <w:r w:rsidR="005063D0">
        <w:t xml:space="preserve">It is utilized to explain transitions between states in an automotive assembly supply chain’s arriving inspection station </w:t>
      </w:r>
      <w:r w:rsidR="003B0832">
        <w:t>in this</w:t>
      </w:r>
      <w:r w:rsidR="005063D0">
        <w:t xml:space="preserve"> work</w:t>
      </w:r>
      <w:r w:rsidR="0072459B">
        <w:t>.</w:t>
      </w:r>
      <w:r w:rsidR="00996531">
        <w:t xml:space="preserve"> </w:t>
      </w:r>
      <w:r w:rsidR="005063D0">
        <w:t xml:space="preserve">A transition matrix </w:t>
      </w:r>
      <w:r w:rsidR="00F169D7" w:rsidRPr="00F169D7">
        <w:t>(</w:t>
      </w:r>
      <w:r w:rsidR="00F169D7" w:rsidRPr="00F169D7">
        <w:rPr>
          <w:lang w:val="en-MY"/>
        </w:rPr>
        <w:object w:dxaOrig="220" w:dyaOrig="260" w14:anchorId="3A8FBEF6">
          <v:shape id="_x0000_i1032" type="#_x0000_t75" style="width:11.25pt;height:13.5pt" o:ole="">
            <v:imagedata r:id="rId26" o:title=""/>
          </v:shape>
          <o:OLEObject Type="Embed" ProgID="Equation.3" ShapeID="_x0000_i1032" DrawAspect="Content" ObjectID="_1687852356" r:id="rId27"/>
        </w:object>
      </w:r>
      <w:r w:rsidR="00F169D7" w:rsidRPr="00F169D7">
        <w:t xml:space="preserve">) is </w:t>
      </w:r>
      <w:r w:rsidR="005063D0">
        <w:t xml:space="preserve">a matrix in which the number of states is represented by the letter </w:t>
      </w:r>
      <w:r w:rsidR="005063D0" w:rsidRPr="00F169D7">
        <w:t>‘</w:t>
      </w:r>
      <w:r w:rsidR="005063D0" w:rsidRPr="00F169D7">
        <w:rPr>
          <w:lang w:val="en-MY"/>
        </w:rPr>
        <w:object w:dxaOrig="200" w:dyaOrig="200" w14:anchorId="4365286C">
          <v:shape id="_x0000_i1033" type="#_x0000_t75" style="width:10.5pt;height:10.5pt" o:ole="">
            <v:imagedata r:id="rId28" o:title=""/>
          </v:shape>
          <o:OLEObject Type="Embed" ProgID="Equation.3" ShapeID="_x0000_i1033" DrawAspect="Content" ObjectID="_1687852357" r:id="rId29"/>
        </w:object>
      </w:r>
      <w:r w:rsidR="005063D0" w:rsidRPr="00F169D7">
        <w:t>’</w:t>
      </w:r>
      <w:r w:rsidR="005063D0">
        <w:t>. The transition probability of the Markov process is used to create the matrix. The chances of transitioning from state ‘j’ to ‘</w:t>
      </w:r>
      <w:proofErr w:type="spellStart"/>
      <w:r w:rsidR="005063D0">
        <w:t>i</w:t>
      </w:r>
      <w:proofErr w:type="spellEnd"/>
      <w:r w:rsidR="005063D0">
        <w:t xml:space="preserve">’ </w:t>
      </w:r>
      <w:r w:rsidR="00DA74C7">
        <w:t>are</w:t>
      </w:r>
      <w:r w:rsidR="005063D0">
        <w:t xml:space="preserve"> equal to each element in the transition matrix </w:t>
      </w:r>
      <w:r w:rsidR="005063D0" w:rsidRPr="00F169D7">
        <w:t>‘</w:t>
      </w:r>
      <w:r w:rsidR="005063D0" w:rsidRPr="00F169D7">
        <w:rPr>
          <w:lang w:val="en-MY"/>
        </w:rPr>
        <w:object w:dxaOrig="260" w:dyaOrig="380" w14:anchorId="3738C856">
          <v:shape id="_x0000_i1034" type="#_x0000_t75" style="width:13.5pt;height:19.5pt" o:ole="">
            <v:imagedata r:id="rId30" o:title=""/>
          </v:shape>
          <o:OLEObject Type="Embed" ProgID="Equation.3" ShapeID="_x0000_i1034" DrawAspect="Content" ObjectID="_1687852358" r:id="rId31"/>
        </w:object>
      </w:r>
      <w:r w:rsidR="005063D0" w:rsidRPr="00F169D7">
        <w:rPr>
          <w:lang w:val="en-MY"/>
        </w:rPr>
        <w:t>’</w:t>
      </w:r>
      <w:r w:rsidR="005063D0">
        <w:rPr>
          <w:lang w:val="en-MY"/>
        </w:rPr>
        <w:t xml:space="preserve"> </w:t>
      </w:r>
      <w:r w:rsidR="005063D0">
        <w:t>which is depicted as</w:t>
      </w:r>
      <w:r w:rsidR="005063D0" w:rsidRPr="00F169D7">
        <w:t xml:space="preserve"> </w:t>
      </w:r>
      <w:r w:rsidR="00F169D7" w:rsidRPr="00F169D7">
        <w:t>an ‘</w:t>
      </w:r>
      <w:r w:rsidR="00F169D7" w:rsidRPr="00F169D7">
        <w:object w:dxaOrig="560" w:dyaOrig="200" w14:anchorId="379DBDBB">
          <v:shape id="_x0000_i1035" type="#_x0000_t75" style="width:28.5pt;height:10.5pt" o:ole="">
            <v:imagedata r:id="rId32" o:title=""/>
          </v:shape>
          <o:OLEObject Type="Embed" ProgID="Equation.3" ShapeID="_x0000_i1035" DrawAspect="Content" ObjectID="_1687852359" r:id="rId33"/>
        </w:object>
      </w:r>
      <w:r w:rsidR="00F169D7" w:rsidRPr="00F169D7">
        <w:t>’ matrix</w:t>
      </w:r>
      <w:r w:rsidR="005063D0">
        <w:t xml:space="preserve">.  </w:t>
      </w:r>
      <w:r w:rsidR="00F169D7" w:rsidRPr="00F169D7">
        <w:t>Therefore</w:t>
      </w:r>
      <w:r w:rsidR="00DE5BA7">
        <w:t xml:space="preserve"> </w:t>
      </w:r>
      <m:oMath>
        <m:r>
          <w:rPr>
            <w:rFonts w:ascii="Cambria Math" w:hAnsi="Cambria Math"/>
          </w:rPr>
          <m:t>0≤</m:t>
        </m:r>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≤1</m:t>
        </m:r>
      </m:oMath>
      <w:r w:rsidR="00F169D7" w:rsidRPr="00F169D7">
        <w:t xml:space="preserve"> must be true for all ‘</w:t>
      </w:r>
      <w:r w:rsidR="00F169D7" w:rsidRPr="00F169D7">
        <w:rPr>
          <w:lang w:val="en-MY"/>
        </w:rPr>
        <w:object w:dxaOrig="139" w:dyaOrig="260" w14:anchorId="2A0FD381">
          <v:shape id="_x0000_i1036" type="#_x0000_t75" style="width:6pt;height:13.5pt" o:ole="">
            <v:imagedata r:id="rId34" o:title=""/>
          </v:shape>
          <o:OLEObject Type="Embed" ProgID="Equation.3" ShapeID="_x0000_i1036" DrawAspect="Content" ObjectID="_1687852360" r:id="rId35"/>
        </w:object>
      </w:r>
      <w:r w:rsidR="00F169D7" w:rsidRPr="00F169D7">
        <w:t>’ and ‘</w:t>
      </w:r>
      <w:r w:rsidR="00F169D7" w:rsidRPr="00F169D7">
        <w:rPr>
          <w:lang w:val="en-MY"/>
        </w:rPr>
        <w:object w:dxaOrig="160" w:dyaOrig="320" w14:anchorId="3C31C837">
          <v:shape id="_x0000_i1037" type="#_x0000_t75" style="width:8.25pt;height:15pt" o:ole="">
            <v:imagedata r:id="rId36" o:title=""/>
          </v:shape>
          <o:OLEObject Type="Embed" ProgID="Equation.3" ShapeID="_x0000_i1037" DrawAspect="Content" ObjectID="_1687852361" r:id="rId37"/>
        </w:object>
      </w:r>
      <w:r w:rsidR="00F169D7" w:rsidRPr="00F169D7">
        <w:t xml:space="preserve">’. Consider the state machine diagram shown in Fig </w:t>
      </w:r>
      <w:r w:rsidR="007C4279">
        <w:t>2</w:t>
      </w:r>
      <w:r w:rsidR="00F169D7" w:rsidRPr="00F169D7">
        <w:t xml:space="preserve">. The </w:t>
      </w:r>
      <w:r w:rsidR="005063D0">
        <w:t>aggregate</w:t>
      </w:r>
      <w:r w:rsidR="00F169D7" w:rsidRPr="00F169D7">
        <w:t xml:space="preserve"> of the transition probabilities from one state to</w:t>
      </w:r>
      <w:r w:rsidR="006F1DD6">
        <w:t xml:space="preserve"> </w:t>
      </w:r>
      <w:r w:rsidR="00F169D7" w:rsidRPr="00F169D7">
        <w:t>another state</w:t>
      </w:r>
      <w:r w:rsidR="005063D0">
        <w:t xml:space="preserve"> is the total of the entries in a row</w:t>
      </w:r>
      <w:r w:rsidR="00F169D7" w:rsidRPr="00F169D7">
        <w:t xml:space="preserve">. </w:t>
      </w:r>
      <w:r w:rsidR="005063D0">
        <w:t xml:space="preserve">As a result, </w:t>
      </w:r>
      <w:r w:rsidR="00F169D7" w:rsidRPr="00F169D7">
        <w:t>the sum of the row value</w:t>
      </w:r>
      <w:r w:rsidR="005063D0">
        <w:t>s</w:t>
      </w:r>
      <w:r w:rsidR="00F169D7" w:rsidRPr="00F169D7">
        <w:t xml:space="preserve"> </w:t>
      </w:r>
      <w:r w:rsidR="005063D0">
        <w:t>must b</w:t>
      </w:r>
      <w:r w:rsidR="00F169D7" w:rsidRPr="00F169D7">
        <w:t xml:space="preserve">e equal to 1. This </w:t>
      </w:r>
      <w:r w:rsidR="005063D0">
        <w:t xml:space="preserve">type </w:t>
      </w:r>
      <w:r w:rsidR="00F169D7" w:rsidRPr="00F169D7">
        <w:t xml:space="preserve">of matrix is </w:t>
      </w:r>
      <w:r w:rsidR="005063D0">
        <w:t xml:space="preserve">referred to as a </w:t>
      </w:r>
      <w:r w:rsidR="00F169D7" w:rsidRPr="00F169D7">
        <w:t>stochastic matrix.</w:t>
      </w:r>
    </w:p>
    <w:p w14:paraId="32184B82" w14:textId="397A0379" w:rsidR="003C653F" w:rsidRDefault="007C4279" w:rsidP="007C4279">
      <w:r>
        <w:tab/>
      </w:r>
      <w:r w:rsidR="003C653F">
        <w:t>The developed model is computed to estimate the following results.</w:t>
      </w:r>
    </w:p>
    <w:p w14:paraId="1D1B37E5" w14:textId="5B3DA1D2" w:rsidR="003C653F" w:rsidRDefault="003C653F" w:rsidP="003C653F">
      <w:pPr>
        <w:pStyle w:val="BodytextIndented"/>
        <w:numPr>
          <w:ilvl w:val="0"/>
          <w:numId w:val="7"/>
        </w:numPr>
        <w:rPr>
          <w:lang w:val="en-GB"/>
        </w:rPr>
      </w:pPr>
      <w:r>
        <w:rPr>
          <w:lang w:val="en-GB"/>
        </w:rPr>
        <w:t xml:space="preserve">Probability of the raw material being accepted or </w:t>
      </w:r>
      <w:r w:rsidR="000451D3">
        <w:rPr>
          <w:lang w:val="en-GB"/>
        </w:rPr>
        <w:t>rejected.</w:t>
      </w:r>
    </w:p>
    <w:p w14:paraId="0AED6D95" w14:textId="1A46FE3A" w:rsidR="003C653F" w:rsidRDefault="000451D3" w:rsidP="003C653F">
      <w:pPr>
        <w:pStyle w:val="BodytextIndented"/>
        <w:numPr>
          <w:ilvl w:val="0"/>
          <w:numId w:val="7"/>
        </w:numPr>
        <w:rPr>
          <w:lang w:val="en-GB"/>
        </w:rPr>
      </w:pPr>
      <w:r>
        <w:rPr>
          <w:lang w:val="en-GB"/>
        </w:rPr>
        <w:t>Forecasting the probability of the raw material at an arbitrary state</w:t>
      </w:r>
    </w:p>
    <w:p w14:paraId="3093C286" w14:textId="185601AF" w:rsidR="000451D3" w:rsidRDefault="000451D3" w:rsidP="003C653F">
      <w:pPr>
        <w:pStyle w:val="BodytextIndented"/>
        <w:numPr>
          <w:ilvl w:val="0"/>
          <w:numId w:val="7"/>
        </w:numPr>
        <w:rPr>
          <w:lang w:val="en-GB"/>
        </w:rPr>
      </w:pPr>
      <w:r>
        <w:rPr>
          <w:lang w:val="en-GB"/>
        </w:rPr>
        <w:t>Estimate the steady</w:t>
      </w:r>
      <w:r w:rsidR="00C163D1">
        <w:rPr>
          <w:lang w:val="en-GB"/>
        </w:rPr>
        <w:t>-</w:t>
      </w:r>
      <w:r>
        <w:rPr>
          <w:lang w:val="en-GB"/>
        </w:rPr>
        <w:t xml:space="preserve">state probability for the given transition </w:t>
      </w:r>
      <w:r w:rsidR="00BA4CF8">
        <w:rPr>
          <w:lang w:val="en-GB"/>
        </w:rPr>
        <w:t>matrix.</w:t>
      </w:r>
    </w:p>
    <w:p w14:paraId="7EB834F6" w14:textId="77777777" w:rsidR="00D75CBA" w:rsidRDefault="00D75CBA" w:rsidP="00D75CBA">
      <w:pPr>
        <w:pStyle w:val="Heading2"/>
      </w:pPr>
      <w:r>
        <w:t>Probability of the raw material being accepted or rejected at each inspection state.</w:t>
      </w:r>
    </w:p>
    <w:p w14:paraId="7BD4BECB" w14:textId="69258DB7" w:rsidR="00D75CBA" w:rsidRDefault="00C163D1" w:rsidP="007C4279">
      <w:pPr>
        <w:pStyle w:val="BodytextIndented"/>
        <w:ind w:firstLine="0"/>
      </w:pPr>
      <w:r>
        <w:t>T</w:t>
      </w:r>
      <w:r w:rsidR="00D75CBA">
        <w:t>hree test cases were considered</w:t>
      </w:r>
      <w:r>
        <w:t xml:space="preserve"> to evaluate the proposed model</w:t>
      </w:r>
      <w:r w:rsidR="00D75CBA">
        <w:t>. The three test cases are, A (lower conformities), B (higher conformities) and C (equal chances of being accepted and rejected). The following states from the incoming inspection case study are considered: PI, VI, GI, RWI and RW2.</w:t>
      </w:r>
    </w:p>
    <w:p w14:paraId="5A11EB41" w14:textId="44E091A0" w:rsidR="00BA4CF8" w:rsidRDefault="00BA4CF8" w:rsidP="00BA4CF8">
      <w:pPr>
        <w:pStyle w:val="BodytextIndented"/>
        <w:ind w:firstLine="0"/>
      </w:pPr>
      <w:r>
        <w:t>Consider the transition probability matrix for test case A</w:t>
      </w:r>
      <w:r w:rsidR="00C77C81">
        <w:t xml:space="preserve"> – (30/70)</w:t>
      </w:r>
      <w:r w:rsidR="00D619B0">
        <w:t xml:space="preserve"> – lower conformities</w:t>
      </w:r>
      <w:r>
        <w:t xml:space="preserve">. </w:t>
      </w:r>
    </w:p>
    <w:p w14:paraId="64CBC58C" w14:textId="24B406F1" w:rsidR="00555D54" w:rsidRDefault="0001772D" w:rsidP="00BA4CF8">
      <w:pPr>
        <w:pStyle w:val="BodytextIndented"/>
        <w:ind w:firstLine="0"/>
        <w:rPr>
          <w:lang w:val="en-GB"/>
        </w:rPr>
      </w:pPr>
      <w:r w:rsidRPr="00AB0906">
        <w:rPr>
          <w:position w:val="-138"/>
          <w:lang w:val="en-GB"/>
        </w:rPr>
        <w:object w:dxaOrig="5240" w:dyaOrig="2880" w14:anchorId="0118CF66">
          <v:shape id="_x0000_i1038" type="#_x0000_t75" style="width:261.75pt;height:143.25pt" o:ole="">
            <v:imagedata r:id="rId38" o:title=""/>
          </v:shape>
          <o:OLEObject Type="Embed" ProgID="Equation.DSMT4" ShapeID="_x0000_i1038" DrawAspect="Content" ObjectID="_1687852362" r:id="rId39"/>
        </w:object>
      </w:r>
    </w:p>
    <w:p w14:paraId="32DB0A44" w14:textId="5B85AE2C" w:rsidR="00C77C81" w:rsidRDefault="00C77C81" w:rsidP="00C77C81">
      <w:pPr>
        <w:pStyle w:val="BodytextIndented"/>
        <w:ind w:firstLine="0"/>
      </w:pPr>
      <w:r>
        <w:t xml:space="preserve">Consider the transition probability matrix for test case </w:t>
      </w:r>
      <w:r w:rsidR="00272D5F">
        <w:t>B</w:t>
      </w:r>
      <w:r>
        <w:t xml:space="preserve"> – (</w:t>
      </w:r>
      <w:r w:rsidR="00272D5F">
        <w:t>7</w:t>
      </w:r>
      <w:r>
        <w:t>0/</w:t>
      </w:r>
      <w:r w:rsidR="00272D5F">
        <w:t>3</w:t>
      </w:r>
      <w:r>
        <w:t>0)</w:t>
      </w:r>
      <w:r w:rsidR="00D619B0">
        <w:t xml:space="preserve"> – higher conformities</w:t>
      </w:r>
      <w:r>
        <w:t xml:space="preserve">. </w:t>
      </w:r>
    </w:p>
    <w:p w14:paraId="0D4F3619" w14:textId="5F83148F" w:rsidR="00C77C81" w:rsidRDefault="00D619B0" w:rsidP="00BA4CF8">
      <w:pPr>
        <w:pStyle w:val="BodytextIndented"/>
        <w:ind w:firstLine="0"/>
        <w:rPr>
          <w:lang w:val="en-GB"/>
        </w:rPr>
      </w:pPr>
      <w:r w:rsidRPr="00AB0906">
        <w:rPr>
          <w:position w:val="-138"/>
          <w:lang w:val="en-GB"/>
        </w:rPr>
        <w:object w:dxaOrig="5240" w:dyaOrig="2880" w14:anchorId="04B85275">
          <v:shape id="_x0000_i1039" type="#_x0000_t75" style="width:261.75pt;height:143.25pt" o:ole="">
            <v:imagedata r:id="rId40" o:title=""/>
          </v:shape>
          <o:OLEObject Type="Embed" ProgID="Equation.DSMT4" ShapeID="_x0000_i1039" DrawAspect="Content" ObjectID="_1687852363" r:id="rId41"/>
        </w:object>
      </w:r>
    </w:p>
    <w:p w14:paraId="3E36F55C" w14:textId="21E5BE31" w:rsidR="00C77C81" w:rsidRDefault="00C77C81" w:rsidP="00C77C81">
      <w:pPr>
        <w:pStyle w:val="BodytextIndented"/>
        <w:ind w:firstLine="0"/>
      </w:pPr>
      <w:r>
        <w:t xml:space="preserve">Consider the transition probability matrix for test case </w:t>
      </w:r>
      <w:r w:rsidR="00272D5F">
        <w:t>C</w:t>
      </w:r>
      <w:r>
        <w:t xml:space="preserve"> – (</w:t>
      </w:r>
      <w:r w:rsidR="00272D5F">
        <w:t>5</w:t>
      </w:r>
      <w:r>
        <w:t>0/</w:t>
      </w:r>
      <w:r w:rsidR="00272D5F">
        <w:t>5</w:t>
      </w:r>
      <w:r>
        <w:t>0)</w:t>
      </w:r>
      <w:r w:rsidR="00D619B0">
        <w:t xml:space="preserve"> – equal </w:t>
      </w:r>
      <w:r w:rsidR="00EC3304">
        <w:t>acceptance and rejection</w:t>
      </w:r>
      <w:r>
        <w:t xml:space="preserve">. </w:t>
      </w:r>
    </w:p>
    <w:p w14:paraId="75A46155" w14:textId="7FC72FBD" w:rsidR="00C77C81" w:rsidRDefault="0001772D" w:rsidP="00BA4CF8">
      <w:pPr>
        <w:pStyle w:val="BodytextIndented"/>
        <w:ind w:firstLine="0"/>
        <w:rPr>
          <w:lang w:val="en-GB"/>
        </w:rPr>
      </w:pPr>
      <w:r w:rsidRPr="00AB0906">
        <w:rPr>
          <w:position w:val="-138"/>
        </w:rPr>
        <w:object w:dxaOrig="5240" w:dyaOrig="2880" w14:anchorId="742F9168">
          <v:shape id="_x0000_i1040" type="#_x0000_t75" style="width:261.75pt;height:143.25pt" o:ole="">
            <v:imagedata r:id="rId42" o:title=""/>
          </v:shape>
          <o:OLEObject Type="Embed" ProgID="Equation.DSMT4" ShapeID="_x0000_i1040" DrawAspect="Content" ObjectID="_1687852364" r:id="rId43"/>
        </w:object>
      </w:r>
    </w:p>
    <w:p w14:paraId="177F5694" w14:textId="60E60BDE" w:rsidR="00EC3304" w:rsidRDefault="00EC3304" w:rsidP="00BA4CF8">
      <w:pPr>
        <w:pStyle w:val="BodytextIndented"/>
        <w:ind w:firstLine="0"/>
        <w:rPr>
          <w:lang w:val="en-GB"/>
        </w:rPr>
      </w:pPr>
      <w:r>
        <w:rPr>
          <w:lang w:val="en-GB"/>
        </w:rPr>
        <w:t xml:space="preserve">For each of the </w:t>
      </w:r>
      <w:r w:rsidR="00006242">
        <w:rPr>
          <w:lang w:val="en-GB"/>
        </w:rPr>
        <w:t xml:space="preserve">above </w:t>
      </w:r>
      <w:r>
        <w:rPr>
          <w:lang w:val="en-GB"/>
        </w:rPr>
        <w:t xml:space="preserve">test cases, the limiting matrix </w:t>
      </w:r>
      <w:r w:rsidR="00EC2165">
        <w:rPr>
          <w:lang w:val="en-GB"/>
        </w:rPr>
        <w:t>is calculated, and the results are discussed in the following section.</w:t>
      </w:r>
    </w:p>
    <w:p w14:paraId="3090993A" w14:textId="41C9F350" w:rsidR="004750E0" w:rsidRDefault="004750E0" w:rsidP="004750E0">
      <w:pPr>
        <w:pStyle w:val="Section"/>
      </w:pPr>
      <w:r>
        <w:t>Results and Discussion</w:t>
      </w:r>
    </w:p>
    <w:p w14:paraId="40F29A61" w14:textId="6A3F5F37" w:rsidR="00CE0932" w:rsidRDefault="00CE0932" w:rsidP="004764C6">
      <w:pPr>
        <w:pStyle w:val="BodytextIndented"/>
        <w:ind w:firstLine="0"/>
      </w:pPr>
      <w:r>
        <w:t xml:space="preserve">This section presents the results of the model for three scenarios. </w:t>
      </w:r>
      <w:bookmarkStart w:id="2" w:name="_Hlk73818377"/>
      <w:r w:rsidR="00C163D1">
        <w:t>They were l</w:t>
      </w:r>
      <w:r>
        <w:t xml:space="preserve">imiting </w:t>
      </w:r>
      <w:r w:rsidR="0015336C">
        <w:t>probability to e</w:t>
      </w:r>
      <w:r w:rsidR="00BC6741">
        <w:t>s</w:t>
      </w:r>
      <w:r w:rsidR="0015336C">
        <w:t xml:space="preserve">timate </w:t>
      </w:r>
      <w:r w:rsidR="00BC6741">
        <w:t xml:space="preserve">the probability of the </w:t>
      </w:r>
      <w:r w:rsidR="0015336C">
        <w:t xml:space="preserve">raw material </w:t>
      </w:r>
      <w:r w:rsidR="00BC6741">
        <w:t xml:space="preserve">being </w:t>
      </w:r>
      <w:r w:rsidR="0015336C">
        <w:t>accept</w:t>
      </w:r>
      <w:r w:rsidR="00BC6741">
        <w:t xml:space="preserve">ed or </w:t>
      </w:r>
      <w:r w:rsidR="0015336C">
        <w:t>reject</w:t>
      </w:r>
      <w:r w:rsidR="00BC6741">
        <w:t xml:space="preserve">ed at </w:t>
      </w:r>
      <w:r w:rsidR="0015336C">
        <w:t xml:space="preserve">each </w:t>
      </w:r>
      <w:r w:rsidR="00BC6741">
        <w:t xml:space="preserve">inspection </w:t>
      </w:r>
      <w:r w:rsidR="0015336C">
        <w:t>sta</w:t>
      </w:r>
      <w:r w:rsidR="00601AB6">
        <w:t>t</w:t>
      </w:r>
      <w:r w:rsidR="0015336C">
        <w:t>e</w:t>
      </w:r>
      <w:bookmarkEnd w:id="2"/>
      <w:r w:rsidR="0015336C">
        <w:t xml:space="preserve">. </w:t>
      </w:r>
      <w:r w:rsidR="00BC6741">
        <w:t xml:space="preserve">N-step probability to </w:t>
      </w:r>
      <w:r w:rsidR="00C4463C">
        <w:t xml:space="preserve">forecast the probability of the material at an arbitrary state. </w:t>
      </w:r>
      <w:r w:rsidR="00424D1F">
        <w:t>To find the steady</w:t>
      </w:r>
      <w:r w:rsidR="00C163D1">
        <w:t>-</w:t>
      </w:r>
      <w:r w:rsidR="00424D1F">
        <w:t>state probability for a given transition matrix.</w:t>
      </w:r>
      <w:r w:rsidR="00D86643">
        <w:t xml:space="preserve"> The p</w:t>
      </w:r>
      <w:r w:rsidR="00D86643">
        <w:rPr>
          <w:rFonts w:ascii="Times New Roman" w:hAnsi="Times New Roman"/>
        </w:rPr>
        <w:t>robabilities in each state of raw materials moving to Return and Pack and Store is depicted in Figure 5. Table 3 lists the state transitions for the assumed three scenarios.</w:t>
      </w:r>
    </w:p>
    <w:p w14:paraId="0F1A340D" w14:textId="2CD031AC" w:rsidR="00D86643" w:rsidRDefault="00D86643" w:rsidP="00D86643">
      <w:pPr>
        <w:pStyle w:val="Bodytext"/>
        <w:ind w:firstLine="284"/>
      </w:pPr>
      <w:r>
        <w:t xml:space="preserve">In the long run, 77% of the raw materials would be returned to the supplier for </w:t>
      </w:r>
      <w:r w:rsidR="00DA74C7">
        <w:t>their</w:t>
      </w:r>
      <w:r>
        <w:t xml:space="preserve"> bad quality and packaging</w:t>
      </w:r>
      <w:r w:rsidR="00C163D1">
        <w:t>;</w:t>
      </w:r>
      <w:r>
        <w:t xml:space="preserve"> thereby</w:t>
      </w:r>
      <w:r w:rsidR="00C163D1">
        <w:t>,</w:t>
      </w:r>
      <w:r>
        <w:t xml:space="preserve"> only 23% of the raw materials would reach the Pack and Store.  This </w:t>
      </w:r>
      <w:r w:rsidR="00297169">
        <w:t xml:space="preserve">procedure </w:t>
      </w:r>
      <w:r>
        <w:t xml:space="preserve">intends to drastically improve the packing quality of the raw material. </w:t>
      </w:r>
      <w:r w:rsidR="00297169">
        <w:t>A</w:t>
      </w:r>
      <w:r>
        <w:t>lmost e</w:t>
      </w:r>
      <w:r w:rsidR="00297169">
        <w:t xml:space="preserve">very </w:t>
      </w:r>
      <w:r>
        <w:t xml:space="preserve">chance of the raw material getting accepted and rejected at the visual inspection stage 55% and 45% respectively. </w:t>
      </w:r>
      <w:r>
        <w:tab/>
        <w:t>Once the material reaches the gauge inspection, there is 64% that the material would get through this checkpoint and reach the desired destination</w:t>
      </w:r>
      <w:r w:rsidR="00297169">
        <w:t>,</w:t>
      </w:r>
      <w:r>
        <w:t xml:space="preserve"> Pack and Store. Interestingly, there </w:t>
      </w:r>
      <w:r w:rsidR="00DA74C7">
        <w:t>are</w:t>
      </w:r>
      <w:r>
        <w:t xml:space="preserve"> almost equal chances of the raw material being accepted and rejected (46%) after rework. So, 54% of the parts are of major nonconformities.</w:t>
      </w:r>
    </w:p>
    <w:p w14:paraId="7CA17980" w14:textId="77777777" w:rsidR="0085407F" w:rsidRPr="0085407F" w:rsidRDefault="0085407F" w:rsidP="0085407F">
      <w:pPr>
        <w:pStyle w:val="BodytextIndented"/>
        <w:ind w:firstLine="0"/>
      </w:pPr>
    </w:p>
    <w:p w14:paraId="76951836" w14:textId="3BB762EF" w:rsidR="00CB5CA3" w:rsidRPr="00CE57CF" w:rsidRDefault="00CB5CA3" w:rsidP="00CB5CA3">
      <w:pPr>
        <w:pStyle w:val="TableCaptionCentred"/>
        <w:ind w:left="28"/>
        <w:rPr>
          <w:rFonts w:ascii="Times New Roman" w:hAnsi="Times New Roman"/>
        </w:rPr>
      </w:pPr>
      <w:r w:rsidRPr="00CE57CF">
        <w:rPr>
          <w:rFonts w:ascii="Times New Roman" w:hAnsi="Times New Roman"/>
          <w:b/>
        </w:rPr>
        <w:t xml:space="preserve">Table </w:t>
      </w:r>
      <w:r>
        <w:rPr>
          <w:rFonts w:ascii="Times New Roman" w:hAnsi="Times New Roman"/>
          <w:b/>
        </w:rPr>
        <w:t>3</w:t>
      </w:r>
      <w:r w:rsidRPr="00CE57CF">
        <w:rPr>
          <w:rFonts w:ascii="Times New Roman" w:hAnsi="Times New Roman"/>
          <w:b/>
        </w:rPr>
        <w:t>.</w:t>
      </w:r>
      <w:r w:rsidRPr="00CE57CF">
        <w:rPr>
          <w:rFonts w:ascii="Times New Roman" w:hAnsi="Times New Roman"/>
        </w:rPr>
        <w:t xml:space="preserve"> </w:t>
      </w:r>
      <w:r>
        <w:rPr>
          <w:rFonts w:ascii="Times New Roman" w:hAnsi="Times New Roman"/>
        </w:rPr>
        <w:t>State transition of the incoming inspection of raw material</w:t>
      </w:r>
      <w:r w:rsidRPr="00CE57CF">
        <w:rPr>
          <w:rFonts w:ascii="Times New Roman" w:hAnsi="Times New Roman"/>
        </w:rPr>
        <w:t>.</w:t>
      </w:r>
    </w:p>
    <w:tbl>
      <w:tblPr>
        <w:tblW w:w="5950" w:type="dxa"/>
        <w:jc w:val="center"/>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tblGrid>
      <w:tr w:rsidR="006C142A" w:rsidRPr="000620D4" w14:paraId="6E38629C" w14:textId="77777777" w:rsidTr="002B19A7">
        <w:trPr>
          <w:trHeight w:val="511"/>
          <w:jc w:val="center"/>
        </w:trPr>
        <w:tc>
          <w:tcPr>
            <w:tcW w:w="850" w:type="dxa"/>
            <w:vMerge w:val="restart"/>
            <w:tcBorders>
              <w:top w:val="single" w:sz="6" w:space="0" w:color="auto"/>
            </w:tcBorders>
            <w:noWrap/>
            <w:vAlign w:val="center"/>
          </w:tcPr>
          <w:p w14:paraId="2517781F" w14:textId="4AE59E24" w:rsidR="006C142A" w:rsidRPr="000620D4" w:rsidRDefault="006C142A" w:rsidP="00EC5B3B">
            <w:pPr>
              <w:ind w:left="28"/>
              <w:jc w:val="center"/>
              <w:rPr>
                <w:rFonts w:ascii="Times New Roman" w:hAnsi="Times New Roman"/>
                <w:i/>
                <w:color w:val="000000"/>
                <w:sz w:val="18"/>
                <w:szCs w:val="18"/>
              </w:rPr>
            </w:pPr>
            <w:r>
              <w:rPr>
                <w:rFonts w:ascii="Times New Roman" w:hAnsi="Times New Roman"/>
                <w:i/>
                <w:color w:val="000000"/>
                <w:sz w:val="18"/>
                <w:szCs w:val="18"/>
              </w:rPr>
              <w:t>States</w:t>
            </w:r>
          </w:p>
        </w:tc>
        <w:tc>
          <w:tcPr>
            <w:tcW w:w="1700" w:type="dxa"/>
            <w:gridSpan w:val="2"/>
            <w:tcBorders>
              <w:top w:val="single" w:sz="6" w:space="0" w:color="auto"/>
              <w:bottom w:val="single" w:sz="4" w:space="0" w:color="auto"/>
            </w:tcBorders>
            <w:noWrap/>
            <w:vAlign w:val="center"/>
          </w:tcPr>
          <w:p w14:paraId="01993129" w14:textId="660FBCF5" w:rsidR="006C142A" w:rsidRDefault="006C142A" w:rsidP="00EC5B3B">
            <w:pPr>
              <w:ind w:left="28"/>
              <w:jc w:val="center"/>
              <w:rPr>
                <w:rFonts w:ascii="Times New Roman" w:hAnsi="Times New Roman"/>
                <w:i/>
                <w:color w:val="000000"/>
                <w:sz w:val="18"/>
                <w:szCs w:val="18"/>
              </w:rPr>
            </w:pPr>
            <w:r>
              <w:rPr>
                <w:rFonts w:ascii="Times New Roman" w:hAnsi="Times New Roman"/>
                <w:i/>
                <w:iCs/>
                <w:color w:val="000000"/>
                <w:sz w:val="18"/>
                <w:szCs w:val="18"/>
              </w:rPr>
              <w:t xml:space="preserve">Case </w:t>
            </w:r>
            <w:r w:rsidR="00C409B9">
              <w:rPr>
                <w:rFonts w:ascii="Times New Roman" w:hAnsi="Times New Roman"/>
                <w:i/>
                <w:iCs/>
                <w:color w:val="000000"/>
                <w:sz w:val="18"/>
                <w:szCs w:val="18"/>
              </w:rPr>
              <w:t>A</w:t>
            </w:r>
            <w:r w:rsidR="00D34A38">
              <w:rPr>
                <w:rFonts w:ascii="Times New Roman" w:hAnsi="Times New Roman"/>
                <w:i/>
                <w:iCs/>
                <w:color w:val="000000"/>
                <w:sz w:val="18"/>
                <w:szCs w:val="18"/>
              </w:rPr>
              <w:t xml:space="preserve"> </w:t>
            </w:r>
            <w:r w:rsidR="00C409B9">
              <w:rPr>
                <w:rFonts w:ascii="Times New Roman" w:hAnsi="Times New Roman"/>
                <w:i/>
                <w:iCs/>
                <w:color w:val="000000"/>
                <w:sz w:val="18"/>
                <w:szCs w:val="18"/>
              </w:rPr>
              <w:t>(30/70)</w:t>
            </w:r>
          </w:p>
        </w:tc>
        <w:tc>
          <w:tcPr>
            <w:tcW w:w="1700" w:type="dxa"/>
            <w:gridSpan w:val="2"/>
            <w:tcBorders>
              <w:top w:val="single" w:sz="6" w:space="0" w:color="auto"/>
              <w:bottom w:val="single" w:sz="4" w:space="0" w:color="auto"/>
            </w:tcBorders>
            <w:noWrap/>
            <w:vAlign w:val="center"/>
          </w:tcPr>
          <w:p w14:paraId="2524CE72" w14:textId="43F6C6AB" w:rsidR="006C142A" w:rsidRPr="000620D4" w:rsidRDefault="006C142A" w:rsidP="00EC5B3B">
            <w:pPr>
              <w:ind w:left="28"/>
              <w:jc w:val="center"/>
              <w:rPr>
                <w:rFonts w:ascii="Times New Roman" w:hAnsi="Times New Roman"/>
                <w:i/>
                <w:color w:val="000000"/>
                <w:sz w:val="18"/>
                <w:szCs w:val="18"/>
              </w:rPr>
            </w:pPr>
            <w:r>
              <w:rPr>
                <w:rFonts w:ascii="Times New Roman" w:hAnsi="Times New Roman"/>
                <w:i/>
                <w:color w:val="000000"/>
                <w:sz w:val="18"/>
                <w:szCs w:val="18"/>
              </w:rPr>
              <w:t xml:space="preserve">Case </w:t>
            </w:r>
            <w:r w:rsidR="00C409B9">
              <w:rPr>
                <w:rFonts w:ascii="Times New Roman" w:hAnsi="Times New Roman"/>
                <w:i/>
                <w:color w:val="000000"/>
                <w:sz w:val="18"/>
                <w:szCs w:val="18"/>
              </w:rPr>
              <w:t>B (70/30)</w:t>
            </w:r>
          </w:p>
        </w:tc>
        <w:tc>
          <w:tcPr>
            <w:tcW w:w="1700" w:type="dxa"/>
            <w:gridSpan w:val="2"/>
            <w:tcBorders>
              <w:top w:val="single" w:sz="6" w:space="0" w:color="auto"/>
              <w:bottom w:val="single" w:sz="4" w:space="0" w:color="auto"/>
            </w:tcBorders>
            <w:vAlign w:val="center"/>
          </w:tcPr>
          <w:p w14:paraId="1010C3E8" w14:textId="3FCE018F" w:rsidR="006C142A" w:rsidRPr="00EC5B3B" w:rsidRDefault="006C142A" w:rsidP="00EC5B3B">
            <w:pPr>
              <w:ind w:left="28"/>
              <w:jc w:val="center"/>
              <w:rPr>
                <w:rFonts w:ascii="Times New Roman" w:hAnsi="Times New Roman"/>
                <w:bCs/>
                <w:i/>
                <w:sz w:val="18"/>
                <w:szCs w:val="18"/>
              </w:rPr>
            </w:pPr>
            <w:r>
              <w:rPr>
                <w:rFonts w:ascii="Times New Roman" w:hAnsi="Times New Roman"/>
                <w:bCs/>
                <w:i/>
                <w:sz w:val="18"/>
                <w:szCs w:val="18"/>
              </w:rPr>
              <w:t xml:space="preserve">Case </w:t>
            </w:r>
            <w:r w:rsidR="00C409B9">
              <w:rPr>
                <w:rFonts w:ascii="Times New Roman" w:hAnsi="Times New Roman"/>
                <w:bCs/>
                <w:i/>
                <w:sz w:val="18"/>
                <w:szCs w:val="18"/>
              </w:rPr>
              <w:t>C (50/50)</w:t>
            </w:r>
          </w:p>
        </w:tc>
      </w:tr>
      <w:tr w:rsidR="006C142A" w:rsidRPr="000620D4" w14:paraId="5050F2F7" w14:textId="77777777" w:rsidTr="002B19A7">
        <w:trPr>
          <w:trHeight w:val="511"/>
          <w:jc w:val="center"/>
        </w:trPr>
        <w:tc>
          <w:tcPr>
            <w:tcW w:w="850" w:type="dxa"/>
            <w:vMerge/>
            <w:tcBorders>
              <w:bottom w:val="single" w:sz="4" w:space="0" w:color="auto"/>
            </w:tcBorders>
            <w:noWrap/>
            <w:vAlign w:val="center"/>
          </w:tcPr>
          <w:p w14:paraId="4C7F187E" w14:textId="77777777" w:rsidR="006C142A" w:rsidRPr="000620D4" w:rsidRDefault="006C142A" w:rsidP="001E1504">
            <w:pPr>
              <w:ind w:left="28"/>
              <w:jc w:val="center"/>
              <w:rPr>
                <w:rFonts w:ascii="Times New Roman" w:hAnsi="Times New Roman"/>
                <w:i/>
                <w:color w:val="000000"/>
                <w:sz w:val="18"/>
                <w:szCs w:val="18"/>
              </w:rPr>
            </w:pPr>
          </w:p>
        </w:tc>
        <w:tc>
          <w:tcPr>
            <w:tcW w:w="850" w:type="dxa"/>
            <w:tcBorders>
              <w:top w:val="single" w:sz="6" w:space="0" w:color="auto"/>
              <w:bottom w:val="single" w:sz="4" w:space="0" w:color="auto"/>
            </w:tcBorders>
            <w:noWrap/>
            <w:vAlign w:val="center"/>
          </w:tcPr>
          <w:p w14:paraId="42DB6EF8" w14:textId="7DF3879B" w:rsidR="006C142A" w:rsidRDefault="006C142A" w:rsidP="001E1504">
            <w:pPr>
              <w:ind w:left="28"/>
              <w:jc w:val="center"/>
              <w:rPr>
                <w:rFonts w:ascii="Times New Roman" w:hAnsi="Times New Roman"/>
                <w:i/>
                <w:iCs/>
                <w:color w:val="000000"/>
                <w:sz w:val="18"/>
                <w:szCs w:val="18"/>
              </w:rPr>
            </w:pPr>
            <w:r>
              <w:rPr>
                <w:rFonts w:ascii="Times New Roman" w:hAnsi="Times New Roman"/>
                <w:i/>
                <w:iCs/>
                <w:color w:val="000000"/>
                <w:sz w:val="18"/>
                <w:szCs w:val="18"/>
              </w:rPr>
              <w:t>RT</w:t>
            </w:r>
          </w:p>
        </w:tc>
        <w:tc>
          <w:tcPr>
            <w:tcW w:w="850" w:type="dxa"/>
            <w:tcBorders>
              <w:top w:val="single" w:sz="6" w:space="0" w:color="auto"/>
              <w:bottom w:val="single" w:sz="4" w:space="0" w:color="auto"/>
            </w:tcBorders>
            <w:noWrap/>
            <w:vAlign w:val="center"/>
          </w:tcPr>
          <w:p w14:paraId="773CE7B9" w14:textId="02A63DDF" w:rsidR="006C142A" w:rsidRDefault="006C142A" w:rsidP="001E1504">
            <w:pPr>
              <w:ind w:left="28"/>
              <w:jc w:val="center"/>
              <w:rPr>
                <w:rFonts w:ascii="Times New Roman" w:hAnsi="Times New Roman"/>
                <w:i/>
                <w:color w:val="000000"/>
                <w:sz w:val="18"/>
                <w:szCs w:val="18"/>
              </w:rPr>
            </w:pPr>
            <w:r>
              <w:rPr>
                <w:rFonts w:ascii="Times New Roman" w:hAnsi="Times New Roman"/>
                <w:i/>
                <w:color w:val="000000"/>
                <w:sz w:val="18"/>
                <w:szCs w:val="18"/>
              </w:rPr>
              <w:t>PS</w:t>
            </w:r>
          </w:p>
        </w:tc>
        <w:tc>
          <w:tcPr>
            <w:tcW w:w="850" w:type="dxa"/>
            <w:tcBorders>
              <w:top w:val="single" w:sz="6" w:space="0" w:color="auto"/>
              <w:bottom w:val="single" w:sz="4" w:space="0" w:color="auto"/>
            </w:tcBorders>
            <w:noWrap/>
            <w:vAlign w:val="center"/>
          </w:tcPr>
          <w:p w14:paraId="769296EB" w14:textId="3EA05187" w:rsidR="006C142A" w:rsidRDefault="006C142A" w:rsidP="001E1504">
            <w:pPr>
              <w:ind w:left="28"/>
              <w:jc w:val="center"/>
              <w:rPr>
                <w:rFonts w:ascii="Times New Roman" w:hAnsi="Times New Roman"/>
                <w:i/>
                <w:color w:val="000000"/>
                <w:sz w:val="18"/>
                <w:szCs w:val="18"/>
              </w:rPr>
            </w:pPr>
            <w:r>
              <w:rPr>
                <w:rFonts w:ascii="Times New Roman" w:hAnsi="Times New Roman"/>
                <w:i/>
                <w:color w:val="000000"/>
                <w:sz w:val="18"/>
                <w:szCs w:val="18"/>
              </w:rPr>
              <w:t>RT</w:t>
            </w:r>
          </w:p>
        </w:tc>
        <w:tc>
          <w:tcPr>
            <w:tcW w:w="850" w:type="dxa"/>
            <w:tcBorders>
              <w:top w:val="single" w:sz="6" w:space="0" w:color="auto"/>
              <w:bottom w:val="single" w:sz="4" w:space="0" w:color="auto"/>
            </w:tcBorders>
            <w:noWrap/>
            <w:vAlign w:val="center"/>
          </w:tcPr>
          <w:p w14:paraId="70B4B92B" w14:textId="276486C2" w:rsidR="006C142A" w:rsidRDefault="006C142A" w:rsidP="001E1504">
            <w:pPr>
              <w:ind w:left="28"/>
              <w:jc w:val="center"/>
              <w:rPr>
                <w:rFonts w:ascii="Times New Roman" w:hAnsi="Times New Roman"/>
                <w:i/>
                <w:color w:val="000000"/>
                <w:sz w:val="18"/>
                <w:szCs w:val="18"/>
              </w:rPr>
            </w:pPr>
            <w:r>
              <w:rPr>
                <w:rFonts w:ascii="Times New Roman" w:hAnsi="Times New Roman"/>
                <w:i/>
                <w:color w:val="000000"/>
                <w:sz w:val="18"/>
                <w:szCs w:val="18"/>
              </w:rPr>
              <w:t>PS</w:t>
            </w:r>
          </w:p>
        </w:tc>
        <w:tc>
          <w:tcPr>
            <w:tcW w:w="850" w:type="dxa"/>
            <w:tcBorders>
              <w:top w:val="single" w:sz="6" w:space="0" w:color="auto"/>
              <w:bottom w:val="single" w:sz="4" w:space="0" w:color="auto"/>
            </w:tcBorders>
            <w:vAlign w:val="center"/>
          </w:tcPr>
          <w:p w14:paraId="603093F1" w14:textId="56927B5F" w:rsidR="006C142A" w:rsidRPr="00EC5B3B" w:rsidRDefault="006C142A" w:rsidP="001E1504">
            <w:pPr>
              <w:ind w:left="28"/>
              <w:jc w:val="center"/>
              <w:rPr>
                <w:rFonts w:ascii="Times New Roman" w:hAnsi="Times New Roman"/>
                <w:bCs/>
                <w:i/>
                <w:sz w:val="18"/>
                <w:szCs w:val="18"/>
              </w:rPr>
            </w:pPr>
            <w:r w:rsidRPr="00EC5B3B">
              <w:rPr>
                <w:rFonts w:ascii="Times New Roman" w:hAnsi="Times New Roman"/>
                <w:bCs/>
                <w:i/>
                <w:sz w:val="18"/>
                <w:szCs w:val="18"/>
              </w:rPr>
              <w:t>RT</w:t>
            </w:r>
          </w:p>
        </w:tc>
        <w:tc>
          <w:tcPr>
            <w:tcW w:w="850" w:type="dxa"/>
            <w:tcBorders>
              <w:top w:val="single" w:sz="6" w:space="0" w:color="auto"/>
              <w:bottom w:val="single" w:sz="4" w:space="0" w:color="auto"/>
            </w:tcBorders>
            <w:noWrap/>
            <w:vAlign w:val="center"/>
          </w:tcPr>
          <w:p w14:paraId="42A85EFD" w14:textId="4C93BC82" w:rsidR="006C142A" w:rsidRPr="00EC5B3B" w:rsidRDefault="006C142A" w:rsidP="001E1504">
            <w:pPr>
              <w:ind w:left="28"/>
              <w:jc w:val="center"/>
              <w:rPr>
                <w:rFonts w:ascii="Times New Roman" w:hAnsi="Times New Roman"/>
                <w:bCs/>
                <w:i/>
                <w:sz w:val="18"/>
                <w:szCs w:val="18"/>
              </w:rPr>
            </w:pPr>
            <w:r w:rsidRPr="00EC5B3B">
              <w:rPr>
                <w:rFonts w:ascii="Times New Roman" w:hAnsi="Times New Roman"/>
                <w:bCs/>
                <w:i/>
                <w:sz w:val="18"/>
                <w:szCs w:val="18"/>
              </w:rPr>
              <w:t>PS</w:t>
            </w:r>
          </w:p>
        </w:tc>
      </w:tr>
      <w:tr w:rsidR="0044070F" w:rsidRPr="000620D4" w14:paraId="11793550" w14:textId="77777777" w:rsidTr="003E4183">
        <w:trPr>
          <w:trHeight w:val="255"/>
          <w:jc w:val="center"/>
        </w:trPr>
        <w:tc>
          <w:tcPr>
            <w:tcW w:w="850" w:type="dxa"/>
            <w:tcBorders>
              <w:top w:val="single" w:sz="4" w:space="0" w:color="auto"/>
            </w:tcBorders>
            <w:noWrap/>
            <w:vAlign w:val="center"/>
          </w:tcPr>
          <w:p w14:paraId="682839FD" w14:textId="54D0DCFA" w:rsidR="0044070F" w:rsidRPr="00F26B97" w:rsidRDefault="0044070F" w:rsidP="0044070F">
            <w:pPr>
              <w:ind w:left="28"/>
              <w:jc w:val="center"/>
              <w:rPr>
                <w:rFonts w:ascii="Times New Roman" w:hAnsi="Times New Roman"/>
                <w:i/>
                <w:iCs/>
                <w:color w:val="000000"/>
                <w:sz w:val="18"/>
                <w:szCs w:val="16"/>
              </w:rPr>
            </w:pPr>
            <w:r w:rsidRPr="00F26B97">
              <w:rPr>
                <w:i/>
                <w:iCs/>
                <w:sz w:val="18"/>
                <w:szCs w:val="16"/>
              </w:rPr>
              <w:t>PI</w:t>
            </w:r>
          </w:p>
        </w:tc>
        <w:tc>
          <w:tcPr>
            <w:tcW w:w="850" w:type="dxa"/>
            <w:tcBorders>
              <w:top w:val="nil"/>
              <w:left w:val="nil"/>
              <w:bottom w:val="nil"/>
              <w:right w:val="nil"/>
            </w:tcBorders>
            <w:shd w:val="clear" w:color="auto" w:fill="auto"/>
            <w:noWrap/>
            <w:vAlign w:val="center"/>
          </w:tcPr>
          <w:p w14:paraId="6A459140" w14:textId="0B28F539" w:rsidR="0044070F" w:rsidRPr="007B3732" w:rsidRDefault="0044070F" w:rsidP="0044070F">
            <w:pPr>
              <w:ind w:left="28"/>
              <w:jc w:val="center"/>
              <w:rPr>
                <w:sz w:val="18"/>
                <w:szCs w:val="16"/>
              </w:rPr>
            </w:pPr>
            <w:r w:rsidRPr="007B3732">
              <w:rPr>
                <w:sz w:val="18"/>
                <w:szCs w:val="16"/>
              </w:rPr>
              <w:t>0.9624</w:t>
            </w:r>
          </w:p>
        </w:tc>
        <w:tc>
          <w:tcPr>
            <w:tcW w:w="850" w:type="dxa"/>
            <w:tcBorders>
              <w:top w:val="nil"/>
              <w:left w:val="nil"/>
              <w:bottom w:val="nil"/>
              <w:right w:val="nil"/>
            </w:tcBorders>
            <w:shd w:val="clear" w:color="auto" w:fill="auto"/>
            <w:noWrap/>
            <w:vAlign w:val="center"/>
          </w:tcPr>
          <w:p w14:paraId="09E22523" w14:textId="3D543E36" w:rsidR="0044070F" w:rsidRPr="007B3732" w:rsidRDefault="0044070F" w:rsidP="0044070F">
            <w:pPr>
              <w:ind w:left="28"/>
              <w:jc w:val="center"/>
              <w:rPr>
                <w:sz w:val="18"/>
                <w:szCs w:val="16"/>
              </w:rPr>
            </w:pPr>
            <w:r w:rsidRPr="007B3732">
              <w:rPr>
                <w:sz w:val="18"/>
                <w:szCs w:val="16"/>
              </w:rPr>
              <w:t>0.0376</w:t>
            </w:r>
          </w:p>
        </w:tc>
        <w:tc>
          <w:tcPr>
            <w:tcW w:w="850" w:type="dxa"/>
            <w:tcBorders>
              <w:top w:val="single" w:sz="4" w:space="0" w:color="auto"/>
            </w:tcBorders>
            <w:noWrap/>
          </w:tcPr>
          <w:p w14:paraId="43B75DDF" w14:textId="664B91AA" w:rsidR="0044070F" w:rsidRPr="00F26B97" w:rsidRDefault="0044070F" w:rsidP="0044070F">
            <w:pPr>
              <w:ind w:left="28"/>
              <w:jc w:val="center"/>
              <w:rPr>
                <w:rFonts w:ascii="Times New Roman" w:hAnsi="Times New Roman"/>
                <w:iCs/>
                <w:color w:val="000000"/>
                <w:sz w:val="18"/>
                <w:szCs w:val="16"/>
              </w:rPr>
            </w:pPr>
            <w:r w:rsidRPr="00F26B97">
              <w:rPr>
                <w:sz w:val="18"/>
                <w:szCs w:val="16"/>
              </w:rPr>
              <w:t>0.4737</w:t>
            </w:r>
          </w:p>
        </w:tc>
        <w:tc>
          <w:tcPr>
            <w:tcW w:w="850" w:type="dxa"/>
            <w:tcBorders>
              <w:top w:val="single" w:sz="4" w:space="0" w:color="auto"/>
            </w:tcBorders>
            <w:noWrap/>
          </w:tcPr>
          <w:p w14:paraId="6C9909A7" w14:textId="7C2021F0" w:rsidR="0044070F" w:rsidRPr="00F26B97" w:rsidRDefault="0044070F" w:rsidP="0044070F">
            <w:pPr>
              <w:ind w:left="28"/>
              <w:jc w:val="center"/>
              <w:rPr>
                <w:rFonts w:ascii="Times New Roman" w:hAnsi="Times New Roman"/>
                <w:iCs/>
                <w:color w:val="000000"/>
                <w:sz w:val="18"/>
                <w:szCs w:val="16"/>
              </w:rPr>
            </w:pPr>
            <w:r w:rsidRPr="00F26B97">
              <w:rPr>
                <w:sz w:val="18"/>
                <w:szCs w:val="16"/>
              </w:rPr>
              <w:t>0.5263</w:t>
            </w:r>
          </w:p>
        </w:tc>
        <w:tc>
          <w:tcPr>
            <w:tcW w:w="850" w:type="dxa"/>
            <w:tcBorders>
              <w:top w:val="single" w:sz="4" w:space="0" w:color="auto"/>
            </w:tcBorders>
          </w:tcPr>
          <w:p w14:paraId="032E00C0" w14:textId="6DAF660B" w:rsidR="0044070F" w:rsidRPr="00F26B97" w:rsidRDefault="0044070F" w:rsidP="0044070F">
            <w:pPr>
              <w:ind w:left="28"/>
              <w:jc w:val="center"/>
              <w:rPr>
                <w:rFonts w:ascii="Times New Roman" w:hAnsi="Times New Roman"/>
                <w:iCs/>
                <w:color w:val="000000"/>
                <w:sz w:val="18"/>
                <w:szCs w:val="16"/>
              </w:rPr>
            </w:pPr>
            <w:r w:rsidRPr="00F26B97">
              <w:rPr>
                <w:sz w:val="18"/>
                <w:szCs w:val="16"/>
              </w:rPr>
              <w:t>0.7778</w:t>
            </w:r>
          </w:p>
        </w:tc>
        <w:tc>
          <w:tcPr>
            <w:tcW w:w="850" w:type="dxa"/>
            <w:tcBorders>
              <w:top w:val="single" w:sz="4" w:space="0" w:color="auto"/>
            </w:tcBorders>
            <w:noWrap/>
          </w:tcPr>
          <w:p w14:paraId="46143D1C" w14:textId="4F0508D5" w:rsidR="0044070F" w:rsidRPr="00F26B97" w:rsidRDefault="0044070F" w:rsidP="0044070F">
            <w:pPr>
              <w:ind w:left="28"/>
              <w:jc w:val="center"/>
              <w:rPr>
                <w:rFonts w:ascii="Times New Roman" w:hAnsi="Times New Roman"/>
                <w:iCs/>
                <w:color w:val="000000"/>
                <w:sz w:val="18"/>
                <w:szCs w:val="16"/>
              </w:rPr>
            </w:pPr>
            <w:r w:rsidRPr="00F26B97">
              <w:rPr>
                <w:sz w:val="18"/>
                <w:szCs w:val="16"/>
              </w:rPr>
              <w:t>0.2222</w:t>
            </w:r>
          </w:p>
        </w:tc>
      </w:tr>
      <w:tr w:rsidR="0044070F" w:rsidRPr="000620D4" w14:paraId="24E47D69" w14:textId="77777777" w:rsidTr="003E4183">
        <w:trPr>
          <w:trHeight w:val="255"/>
          <w:jc w:val="center"/>
        </w:trPr>
        <w:tc>
          <w:tcPr>
            <w:tcW w:w="850" w:type="dxa"/>
            <w:noWrap/>
            <w:vAlign w:val="center"/>
          </w:tcPr>
          <w:p w14:paraId="5F790ACA" w14:textId="6BBA3CF5" w:rsidR="0044070F" w:rsidRPr="00F26B97" w:rsidRDefault="0044070F" w:rsidP="0044070F">
            <w:pPr>
              <w:ind w:left="28"/>
              <w:jc w:val="center"/>
              <w:rPr>
                <w:rFonts w:ascii="Times New Roman" w:hAnsi="Times New Roman"/>
                <w:i/>
                <w:iCs/>
                <w:color w:val="000000"/>
                <w:sz w:val="18"/>
                <w:szCs w:val="16"/>
              </w:rPr>
            </w:pPr>
            <w:r w:rsidRPr="00F26B97">
              <w:rPr>
                <w:i/>
                <w:iCs/>
                <w:sz w:val="18"/>
                <w:szCs w:val="16"/>
              </w:rPr>
              <w:t>VI</w:t>
            </w:r>
          </w:p>
        </w:tc>
        <w:tc>
          <w:tcPr>
            <w:tcW w:w="850" w:type="dxa"/>
            <w:tcBorders>
              <w:top w:val="nil"/>
              <w:left w:val="nil"/>
              <w:bottom w:val="nil"/>
              <w:right w:val="nil"/>
            </w:tcBorders>
            <w:shd w:val="clear" w:color="auto" w:fill="auto"/>
            <w:noWrap/>
            <w:vAlign w:val="center"/>
          </w:tcPr>
          <w:p w14:paraId="419FDD8C" w14:textId="63E3616D" w:rsidR="0044070F" w:rsidRPr="007B3732" w:rsidRDefault="0044070F" w:rsidP="0044070F">
            <w:pPr>
              <w:ind w:left="28"/>
              <w:jc w:val="center"/>
              <w:rPr>
                <w:sz w:val="18"/>
                <w:szCs w:val="16"/>
              </w:rPr>
            </w:pPr>
            <w:r w:rsidRPr="007B3732">
              <w:rPr>
                <w:sz w:val="18"/>
                <w:szCs w:val="16"/>
              </w:rPr>
              <w:t>0.8747</w:t>
            </w:r>
          </w:p>
        </w:tc>
        <w:tc>
          <w:tcPr>
            <w:tcW w:w="850" w:type="dxa"/>
            <w:tcBorders>
              <w:top w:val="nil"/>
              <w:left w:val="nil"/>
              <w:bottom w:val="nil"/>
              <w:right w:val="nil"/>
            </w:tcBorders>
            <w:shd w:val="clear" w:color="auto" w:fill="auto"/>
            <w:noWrap/>
            <w:vAlign w:val="center"/>
          </w:tcPr>
          <w:p w14:paraId="2D03087F" w14:textId="251D7B33" w:rsidR="0044070F" w:rsidRPr="007B3732" w:rsidRDefault="0044070F" w:rsidP="0044070F">
            <w:pPr>
              <w:ind w:left="28"/>
              <w:jc w:val="center"/>
              <w:rPr>
                <w:sz w:val="18"/>
                <w:szCs w:val="16"/>
              </w:rPr>
            </w:pPr>
            <w:r w:rsidRPr="007B3732">
              <w:rPr>
                <w:sz w:val="18"/>
                <w:szCs w:val="16"/>
              </w:rPr>
              <w:t>0.1253</w:t>
            </w:r>
          </w:p>
        </w:tc>
        <w:tc>
          <w:tcPr>
            <w:tcW w:w="850" w:type="dxa"/>
            <w:noWrap/>
          </w:tcPr>
          <w:p w14:paraId="6869B24C" w14:textId="53BFE61C" w:rsidR="0044070F" w:rsidRPr="00F26B97" w:rsidRDefault="0044070F" w:rsidP="0044070F">
            <w:pPr>
              <w:ind w:left="28"/>
              <w:jc w:val="center"/>
              <w:rPr>
                <w:rFonts w:ascii="Times New Roman" w:hAnsi="Times New Roman"/>
                <w:iCs/>
                <w:color w:val="000000"/>
                <w:sz w:val="18"/>
                <w:szCs w:val="16"/>
              </w:rPr>
            </w:pPr>
            <w:r w:rsidRPr="00F26B97">
              <w:rPr>
                <w:sz w:val="18"/>
                <w:szCs w:val="16"/>
              </w:rPr>
              <w:t>0.2481</w:t>
            </w:r>
          </w:p>
        </w:tc>
        <w:tc>
          <w:tcPr>
            <w:tcW w:w="850" w:type="dxa"/>
            <w:noWrap/>
          </w:tcPr>
          <w:p w14:paraId="39E9F65C" w14:textId="03EB9380" w:rsidR="0044070F" w:rsidRPr="00F26B97" w:rsidRDefault="0044070F" w:rsidP="0044070F">
            <w:pPr>
              <w:ind w:left="28"/>
              <w:jc w:val="center"/>
              <w:rPr>
                <w:rFonts w:ascii="Times New Roman" w:hAnsi="Times New Roman"/>
                <w:iCs/>
                <w:color w:val="000000"/>
                <w:sz w:val="18"/>
                <w:szCs w:val="16"/>
              </w:rPr>
            </w:pPr>
            <w:r w:rsidRPr="00F26B97">
              <w:rPr>
                <w:sz w:val="18"/>
                <w:szCs w:val="16"/>
              </w:rPr>
              <w:t>0.7519</w:t>
            </w:r>
          </w:p>
        </w:tc>
        <w:tc>
          <w:tcPr>
            <w:tcW w:w="850" w:type="dxa"/>
          </w:tcPr>
          <w:p w14:paraId="1714EDEB" w14:textId="588C195C" w:rsidR="0044070F" w:rsidRPr="00F26B97" w:rsidRDefault="0044070F" w:rsidP="0044070F">
            <w:pPr>
              <w:ind w:left="28"/>
              <w:jc w:val="center"/>
              <w:rPr>
                <w:rFonts w:ascii="Times New Roman" w:hAnsi="Times New Roman"/>
                <w:iCs/>
                <w:color w:val="000000"/>
                <w:sz w:val="18"/>
                <w:szCs w:val="16"/>
              </w:rPr>
            </w:pPr>
            <w:r w:rsidRPr="00F26B97">
              <w:rPr>
                <w:sz w:val="18"/>
                <w:szCs w:val="16"/>
              </w:rPr>
              <w:t>0.5556</w:t>
            </w:r>
          </w:p>
        </w:tc>
        <w:tc>
          <w:tcPr>
            <w:tcW w:w="850" w:type="dxa"/>
            <w:noWrap/>
          </w:tcPr>
          <w:p w14:paraId="5F9CFEB6" w14:textId="06C34D7A" w:rsidR="0044070F" w:rsidRPr="00F26B97" w:rsidRDefault="0044070F" w:rsidP="0044070F">
            <w:pPr>
              <w:ind w:left="28"/>
              <w:jc w:val="center"/>
              <w:rPr>
                <w:rFonts w:ascii="Times New Roman" w:hAnsi="Times New Roman"/>
                <w:iCs/>
                <w:color w:val="000000"/>
                <w:sz w:val="18"/>
                <w:szCs w:val="16"/>
              </w:rPr>
            </w:pPr>
            <w:r w:rsidRPr="00F26B97">
              <w:rPr>
                <w:sz w:val="18"/>
                <w:szCs w:val="16"/>
              </w:rPr>
              <w:t>0.4444</w:t>
            </w:r>
          </w:p>
        </w:tc>
      </w:tr>
      <w:tr w:rsidR="0044070F" w:rsidRPr="000620D4" w14:paraId="3D8A81EE" w14:textId="77777777" w:rsidTr="003E4183">
        <w:trPr>
          <w:trHeight w:val="255"/>
          <w:jc w:val="center"/>
        </w:trPr>
        <w:tc>
          <w:tcPr>
            <w:tcW w:w="850" w:type="dxa"/>
            <w:noWrap/>
            <w:vAlign w:val="center"/>
          </w:tcPr>
          <w:p w14:paraId="1B50F304" w14:textId="62C1708C" w:rsidR="0044070F" w:rsidRPr="00F26B97" w:rsidRDefault="0044070F" w:rsidP="0044070F">
            <w:pPr>
              <w:ind w:left="28"/>
              <w:jc w:val="center"/>
              <w:rPr>
                <w:rFonts w:ascii="Times New Roman" w:hAnsi="Times New Roman"/>
                <w:i/>
                <w:iCs/>
                <w:color w:val="000000"/>
                <w:sz w:val="18"/>
                <w:szCs w:val="16"/>
              </w:rPr>
            </w:pPr>
            <w:r w:rsidRPr="00F26B97">
              <w:rPr>
                <w:i/>
                <w:iCs/>
                <w:sz w:val="18"/>
                <w:szCs w:val="16"/>
              </w:rPr>
              <w:t>GI</w:t>
            </w:r>
          </w:p>
        </w:tc>
        <w:tc>
          <w:tcPr>
            <w:tcW w:w="850" w:type="dxa"/>
            <w:tcBorders>
              <w:top w:val="nil"/>
              <w:left w:val="nil"/>
              <w:bottom w:val="nil"/>
              <w:right w:val="nil"/>
            </w:tcBorders>
            <w:shd w:val="clear" w:color="auto" w:fill="auto"/>
            <w:noWrap/>
            <w:vAlign w:val="center"/>
          </w:tcPr>
          <w:p w14:paraId="0B87B101" w14:textId="770C1CE1" w:rsidR="0044070F" w:rsidRPr="007B3732" w:rsidRDefault="0044070F" w:rsidP="0044070F">
            <w:pPr>
              <w:ind w:left="28"/>
              <w:jc w:val="center"/>
              <w:rPr>
                <w:sz w:val="18"/>
                <w:szCs w:val="16"/>
              </w:rPr>
            </w:pPr>
            <w:r w:rsidRPr="007B3732">
              <w:rPr>
                <w:sz w:val="18"/>
                <w:szCs w:val="16"/>
              </w:rPr>
              <w:t>0.7619</w:t>
            </w:r>
          </w:p>
        </w:tc>
        <w:tc>
          <w:tcPr>
            <w:tcW w:w="850" w:type="dxa"/>
            <w:tcBorders>
              <w:top w:val="nil"/>
              <w:left w:val="nil"/>
              <w:bottom w:val="nil"/>
              <w:right w:val="nil"/>
            </w:tcBorders>
            <w:shd w:val="clear" w:color="auto" w:fill="auto"/>
            <w:noWrap/>
            <w:vAlign w:val="center"/>
          </w:tcPr>
          <w:p w14:paraId="6F9E30F4" w14:textId="26BCDD46" w:rsidR="0044070F" w:rsidRPr="007B3732" w:rsidRDefault="0044070F" w:rsidP="0044070F">
            <w:pPr>
              <w:ind w:left="28"/>
              <w:jc w:val="center"/>
              <w:rPr>
                <w:sz w:val="18"/>
                <w:szCs w:val="16"/>
              </w:rPr>
            </w:pPr>
            <w:r w:rsidRPr="007B3732">
              <w:rPr>
                <w:sz w:val="18"/>
                <w:szCs w:val="16"/>
              </w:rPr>
              <w:t>0.2381</w:t>
            </w:r>
          </w:p>
        </w:tc>
        <w:tc>
          <w:tcPr>
            <w:tcW w:w="850" w:type="dxa"/>
            <w:noWrap/>
          </w:tcPr>
          <w:p w14:paraId="22C8E652" w14:textId="3B05B118" w:rsidR="0044070F" w:rsidRPr="00F26B97" w:rsidRDefault="0044070F" w:rsidP="0044070F">
            <w:pPr>
              <w:ind w:left="28"/>
              <w:jc w:val="center"/>
              <w:rPr>
                <w:rFonts w:ascii="Times New Roman" w:hAnsi="Times New Roman"/>
                <w:iCs/>
                <w:color w:val="000000"/>
                <w:sz w:val="18"/>
                <w:szCs w:val="16"/>
              </w:rPr>
            </w:pPr>
            <w:r w:rsidRPr="00F26B97">
              <w:rPr>
                <w:sz w:val="18"/>
                <w:szCs w:val="16"/>
              </w:rPr>
              <w:t>0.0476</w:t>
            </w:r>
          </w:p>
        </w:tc>
        <w:tc>
          <w:tcPr>
            <w:tcW w:w="850" w:type="dxa"/>
            <w:noWrap/>
          </w:tcPr>
          <w:p w14:paraId="10389E00" w14:textId="6467C194" w:rsidR="0044070F" w:rsidRPr="00F26B97" w:rsidRDefault="0044070F" w:rsidP="0044070F">
            <w:pPr>
              <w:ind w:left="28"/>
              <w:jc w:val="center"/>
              <w:rPr>
                <w:rFonts w:ascii="Times New Roman" w:hAnsi="Times New Roman"/>
                <w:iCs/>
                <w:color w:val="000000"/>
                <w:sz w:val="18"/>
                <w:szCs w:val="16"/>
              </w:rPr>
            </w:pPr>
            <w:r w:rsidRPr="00F26B97">
              <w:rPr>
                <w:sz w:val="18"/>
                <w:szCs w:val="16"/>
              </w:rPr>
              <w:t>0.9524</w:t>
            </w:r>
          </w:p>
        </w:tc>
        <w:tc>
          <w:tcPr>
            <w:tcW w:w="850" w:type="dxa"/>
          </w:tcPr>
          <w:p w14:paraId="00283172" w14:textId="00BC8956" w:rsidR="0044070F" w:rsidRPr="00F26B97" w:rsidRDefault="0044070F" w:rsidP="0044070F">
            <w:pPr>
              <w:ind w:left="28"/>
              <w:jc w:val="center"/>
              <w:rPr>
                <w:rFonts w:ascii="Times New Roman" w:hAnsi="Times New Roman"/>
                <w:iCs/>
                <w:color w:val="000000"/>
                <w:sz w:val="18"/>
                <w:szCs w:val="16"/>
              </w:rPr>
            </w:pPr>
            <w:r w:rsidRPr="00F26B97">
              <w:rPr>
                <w:sz w:val="18"/>
                <w:szCs w:val="16"/>
              </w:rPr>
              <w:t>0.3333</w:t>
            </w:r>
          </w:p>
        </w:tc>
        <w:tc>
          <w:tcPr>
            <w:tcW w:w="850" w:type="dxa"/>
            <w:noWrap/>
          </w:tcPr>
          <w:p w14:paraId="6712210B" w14:textId="3D7CA127" w:rsidR="0044070F" w:rsidRPr="00F26B97" w:rsidRDefault="0044070F" w:rsidP="0044070F">
            <w:pPr>
              <w:ind w:left="28"/>
              <w:jc w:val="center"/>
              <w:rPr>
                <w:rFonts w:ascii="Times New Roman" w:hAnsi="Times New Roman"/>
                <w:iCs/>
                <w:color w:val="000000"/>
                <w:sz w:val="18"/>
                <w:szCs w:val="16"/>
              </w:rPr>
            </w:pPr>
            <w:r w:rsidRPr="00F26B97">
              <w:rPr>
                <w:sz w:val="18"/>
                <w:szCs w:val="16"/>
              </w:rPr>
              <w:t>0.6667</w:t>
            </w:r>
          </w:p>
        </w:tc>
      </w:tr>
      <w:tr w:rsidR="0044070F" w:rsidRPr="000620D4" w14:paraId="2D94678A" w14:textId="77777777" w:rsidTr="003E4183">
        <w:trPr>
          <w:trHeight w:val="255"/>
          <w:jc w:val="center"/>
        </w:trPr>
        <w:tc>
          <w:tcPr>
            <w:tcW w:w="850" w:type="dxa"/>
            <w:noWrap/>
            <w:vAlign w:val="center"/>
          </w:tcPr>
          <w:p w14:paraId="0218AF77" w14:textId="32079A47" w:rsidR="0044070F" w:rsidRPr="00F26B97" w:rsidRDefault="0044070F" w:rsidP="0044070F">
            <w:pPr>
              <w:ind w:left="28"/>
              <w:jc w:val="center"/>
              <w:rPr>
                <w:rFonts w:ascii="Times New Roman" w:hAnsi="Times New Roman"/>
                <w:i/>
                <w:iCs/>
                <w:color w:val="000000"/>
                <w:sz w:val="18"/>
                <w:szCs w:val="16"/>
              </w:rPr>
            </w:pPr>
            <w:r w:rsidRPr="00F26B97">
              <w:rPr>
                <w:i/>
                <w:iCs/>
                <w:sz w:val="18"/>
                <w:szCs w:val="16"/>
              </w:rPr>
              <w:t>RW1</w:t>
            </w:r>
          </w:p>
        </w:tc>
        <w:tc>
          <w:tcPr>
            <w:tcW w:w="850" w:type="dxa"/>
            <w:tcBorders>
              <w:top w:val="nil"/>
              <w:left w:val="nil"/>
              <w:bottom w:val="nil"/>
              <w:right w:val="nil"/>
            </w:tcBorders>
            <w:shd w:val="clear" w:color="auto" w:fill="auto"/>
            <w:noWrap/>
            <w:vAlign w:val="center"/>
          </w:tcPr>
          <w:p w14:paraId="08102992" w14:textId="368191E2" w:rsidR="0044070F" w:rsidRPr="007B3732" w:rsidRDefault="0044070F" w:rsidP="0044070F">
            <w:pPr>
              <w:ind w:left="28"/>
              <w:jc w:val="center"/>
              <w:rPr>
                <w:sz w:val="18"/>
                <w:szCs w:val="16"/>
              </w:rPr>
            </w:pPr>
            <w:r w:rsidRPr="007B3732">
              <w:rPr>
                <w:sz w:val="18"/>
                <w:szCs w:val="16"/>
              </w:rPr>
              <w:t>0.9499</w:t>
            </w:r>
          </w:p>
        </w:tc>
        <w:tc>
          <w:tcPr>
            <w:tcW w:w="850" w:type="dxa"/>
            <w:tcBorders>
              <w:top w:val="nil"/>
              <w:left w:val="nil"/>
              <w:bottom w:val="nil"/>
              <w:right w:val="nil"/>
            </w:tcBorders>
            <w:shd w:val="clear" w:color="auto" w:fill="auto"/>
            <w:noWrap/>
            <w:vAlign w:val="center"/>
          </w:tcPr>
          <w:p w14:paraId="6F178880" w14:textId="23C66192" w:rsidR="0044070F" w:rsidRPr="007B3732" w:rsidRDefault="0044070F" w:rsidP="0044070F">
            <w:pPr>
              <w:ind w:left="28"/>
              <w:jc w:val="center"/>
              <w:rPr>
                <w:sz w:val="18"/>
                <w:szCs w:val="16"/>
              </w:rPr>
            </w:pPr>
            <w:r w:rsidRPr="007B3732">
              <w:rPr>
                <w:sz w:val="18"/>
                <w:szCs w:val="16"/>
              </w:rPr>
              <w:t>0.0501</w:t>
            </w:r>
          </w:p>
        </w:tc>
        <w:tc>
          <w:tcPr>
            <w:tcW w:w="850" w:type="dxa"/>
            <w:noWrap/>
          </w:tcPr>
          <w:p w14:paraId="74DC8BC0" w14:textId="27105EDE" w:rsidR="0044070F" w:rsidRPr="00F26B97" w:rsidRDefault="0044070F" w:rsidP="0044070F">
            <w:pPr>
              <w:ind w:left="28"/>
              <w:jc w:val="center"/>
              <w:rPr>
                <w:rFonts w:ascii="Times New Roman" w:hAnsi="Times New Roman"/>
                <w:iCs/>
                <w:color w:val="000000"/>
                <w:sz w:val="18"/>
                <w:szCs w:val="16"/>
              </w:rPr>
            </w:pPr>
            <w:r w:rsidRPr="00F26B97">
              <w:rPr>
                <w:sz w:val="18"/>
                <w:szCs w:val="16"/>
              </w:rPr>
              <w:t>0.5489</w:t>
            </w:r>
          </w:p>
        </w:tc>
        <w:tc>
          <w:tcPr>
            <w:tcW w:w="850" w:type="dxa"/>
            <w:noWrap/>
          </w:tcPr>
          <w:p w14:paraId="4BEA4002" w14:textId="3A143162" w:rsidR="0044070F" w:rsidRPr="00F26B97" w:rsidRDefault="0044070F" w:rsidP="0044070F">
            <w:pPr>
              <w:ind w:left="28"/>
              <w:jc w:val="center"/>
              <w:rPr>
                <w:rFonts w:ascii="Times New Roman" w:hAnsi="Times New Roman"/>
                <w:iCs/>
                <w:color w:val="000000"/>
                <w:sz w:val="18"/>
                <w:szCs w:val="16"/>
              </w:rPr>
            </w:pPr>
            <w:r w:rsidRPr="00F26B97">
              <w:rPr>
                <w:sz w:val="18"/>
                <w:szCs w:val="16"/>
              </w:rPr>
              <w:t>0.4511</w:t>
            </w:r>
          </w:p>
        </w:tc>
        <w:tc>
          <w:tcPr>
            <w:tcW w:w="850" w:type="dxa"/>
          </w:tcPr>
          <w:p w14:paraId="3991D2D7" w14:textId="202C0F34" w:rsidR="0044070F" w:rsidRPr="00F26B97" w:rsidRDefault="0044070F" w:rsidP="0044070F">
            <w:pPr>
              <w:ind w:left="28"/>
              <w:jc w:val="center"/>
              <w:rPr>
                <w:rFonts w:ascii="Times New Roman" w:hAnsi="Times New Roman"/>
                <w:iCs/>
                <w:color w:val="000000"/>
                <w:sz w:val="18"/>
                <w:szCs w:val="16"/>
              </w:rPr>
            </w:pPr>
            <w:r w:rsidRPr="00F26B97">
              <w:rPr>
                <w:sz w:val="18"/>
                <w:szCs w:val="16"/>
              </w:rPr>
              <w:t>0.7778</w:t>
            </w:r>
          </w:p>
        </w:tc>
        <w:tc>
          <w:tcPr>
            <w:tcW w:w="850" w:type="dxa"/>
            <w:noWrap/>
          </w:tcPr>
          <w:p w14:paraId="74A65EEC" w14:textId="77DCE9F4" w:rsidR="0044070F" w:rsidRPr="00F26B97" w:rsidRDefault="0044070F" w:rsidP="0044070F">
            <w:pPr>
              <w:ind w:left="28"/>
              <w:jc w:val="center"/>
              <w:rPr>
                <w:rFonts w:ascii="Times New Roman" w:hAnsi="Times New Roman"/>
                <w:iCs/>
                <w:color w:val="000000"/>
                <w:sz w:val="18"/>
                <w:szCs w:val="16"/>
              </w:rPr>
            </w:pPr>
            <w:r w:rsidRPr="00F26B97">
              <w:rPr>
                <w:sz w:val="18"/>
                <w:szCs w:val="16"/>
              </w:rPr>
              <w:t>0.2222</w:t>
            </w:r>
          </w:p>
        </w:tc>
      </w:tr>
      <w:tr w:rsidR="0044070F" w:rsidRPr="000620D4" w14:paraId="44AC08FC" w14:textId="77777777" w:rsidTr="003E4183">
        <w:trPr>
          <w:trHeight w:val="255"/>
          <w:jc w:val="center"/>
        </w:trPr>
        <w:tc>
          <w:tcPr>
            <w:tcW w:w="850" w:type="dxa"/>
            <w:noWrap/>
            <w:vAlign w:val="center"/>
          </w:tcPr>
          <w:p w14:paraId="22A98FC1" w14:textId="60DE5569" w:rsidR="0044070F" w:rsidRPr="00F26B97" w:rsidRDefault="0044070F" w:rsidP="0044070F">
            <w:pPr>
              <w:ind w:left="28"/>
              <w:jc w:val="center"/>
              <w:rPr>
                <w:rFonts w:ascii="Times New Roman" w:hAnsi="Times New Roman"/>
                <w:i/>
                <w:iCs/>
                <w:color w:val="000000"/>
                <w:sz w:val="18"/>
                <w:szCs w:val="18"/>
              </w:rPr>
            </w:pPr>
            <w:r w:rsidRPr="00F26B97">
              <w:rPr>
                <w:rFonts w:ascii="Times New Roman" w:hAnsi="Times New Roman"/>
                <w:i/>
                <w:iCs/>
                <w:color w:val="000000"/>
                <w:sz w:val="18"/>
                <w:szCs w:val="18"/>
              </w:rPr>
              <w:t>RW2</w:t>
            </w:r>
          </w:p>
        </w:tc>
        <w:tc>
          <w:tcPr>
            <w:tcW w:w="850" w:type="dxa"/>
            <w:tcBorders>
              <w:top w:val="nil"/>
              <w:left w:val="nil"/>
              <w:bottom w:val="nil"/>
              <w:right w:val="nil"/>
            </w:tcBorders>
            <w:shd w:val="clear" w:color="auto" w:fill="auto"/>
            <w:noWrap/>
            <w:vAlign w:val="center"/>
          </w:tcPr>
          <w:p w14:paraId="5DFC9270" w14:textId="0C99E90C" w:rsidR="0044070F" w:rsidRPr="007B3732" w:rsidRDefault="0044070F" w:rsidP="0044070F">
            <w:pPr>
              <w:ind w:left="28"/>
              <w:jc w:val="center"/>
              <w:rPr>
                <w:sz w:val="18"/>
                <w:szCs w:val="16"/>
              </w:rPr>
            </w:pPr>
            <w:r w:rsidRPr="007B3732">
              <w:rPr>
                <w:sz w:val="18"/>
                <w:szCs w:val="16"/>
              </w:rPr>
              <w:t>0.9524</w:t>
            </w:r>
          </w:p>
        </w:tc>
        <w:tc>
          <w:tcPr>
            <w:tcW w:w="850" w:type="dxa"/>
            <w:tcBorders>
              <w:top w:val="nil"/>
              <w:left w:val="nil"/>
              <w:bottom w:val="nil"/>
              <w:right w:val="nil"/>
            </w:tcBorders>
            <w:shd w:val="clear" w:color="auto" w:fill="auto"/>
            <w:noWrap/>
            <w:vAlign w:val="center"/>
          </w:tcPr>
          <w:p w14:paraId="3D8ABCC9" w14:textId="078E1E05" w:rsidR="0044070F" w:rsidRPr="007B3732" w:rsidRDefault="0044070F" w:rsidP="0044070F">
            <w:pPr>
              <w:ind w:left="28"/>
              <w:jc w:val="center"/>
              <w:rPr>
                <w:sz w:val="18"/>
                <w:szCs w:val="16"/>
              </w:rPr>
            </w:pPr>
            <w:r w:rsidRPr="007B3732">
              <w:rPr>
                <w:sz w:val="18"/>
                <w:szCs w:val="16"/>
              </w:rPr>
              <w:t>0.0476</w:t>
            </w:r>
          </w:p>
        </w:tc>
        <w:tc>
          <w:tcPr>
            <w:tcW w:w="850" w:type="dxa"/>
            <w:noWrap/>
          </w:tcPr>
          <w:p w14:paraId="0E794CA8" w14:textId="30848396" w:rsidR="0044070F" w:rsidRPr="00F26B97" w:rsidRDefault="0044070F" w:rsidP="0044070F">
            <w:pPr>
              <w:ind w:left="28"/>
              <w:jc w:val="center"/>
              <w:rPr>
                <w:rFonts w:ascii="Times New Roman" w:hAnsi="Times New Roman"/>
                <w:iCs/>
                <w:color w:val="000000"/>
                <w:sz w:val="18"/>
                <w:szCs w:val="16"/>
              </w:rPr>
            </w:pPr>
            <w:r w:rsidRPr="00F26B97">
              <w:rPr>
                <w:sz w:val="18"/>
                <w:szCs w:val="16"/>
              </w:rPr>
              <w:t>0.2381</w:t>
            </w:r>
          </w:p>
        </w:tc>
        <w:tc>
          <w:tcPr>
            <w:tcW w:w="850" w:type="dxa"/>
            <w:noWrap/>
          </w:tcPr>
          <w:p w14:paraId="5E7E7024" w14:textId="66B8E110" w:rsidR="0044070F" w:rsidRPr="00F26B97" w:rsidRDefault="0044070F" w:rsidP="0044070F">
            <w:pPr>
              <w:ind w:left="28"/>
              <w:jc w:val="center"/>
              <w:rPr>
                <w:rFonts w:ascii="Times New Roman" w:hAnsi="Times New Roman"/>
                <w:iCs/>
                <w:color w:val="000000"/>
                <w:sz w:val="18"/>
                <w:szCs w:val="16"/>
              </w:rPr>
            </w:pPr>
            <w:r w:rsidRPr="00F26B97">
              <w:rPr>
                <w:sz w:val="18"/>
                <w:szCs w:val="16"/>
              </w:rPr>
              <w:t>0.7619</w:t>
            </w:r>
          </w:p>
        </w:tc>
        <w:tc>
          <w:tcPr>
            <w:tcW w:w="850" w:type="dxa"/>
          </w:tcPr>
          <w:p w14:paraId="351F7EC4" w14:textId="62D2B38B" w:rsidR="0044070F" w:rsidRPr="00F26B97" w:rsidRDefault="0044070F" w:rsidP="0044070F">
            <w:pPr>
              <w:ind w:left="28"/>
              <w:jc w:val="center"/>
              <w:rPr>
                <w:rFonts w:ascii="Times New Roman" w:hAnsi="Times New Roman"/>
                <w:iCs/>
                <w:color w:val="000000"/>
                <w:sz w:val="18"/>
                <w:szCs w:val="16"/>
              </w:rPr>
            </w:pPr>
            <w:r w:rsidRPr="00F26B97">
              <w:rPr>
                <w:sz w:val="18"/>
                <w:szCs w:val="16"/>
              </w:rPr>
              <w:t>0.6667</w:t>
            </w:r>
          </w:p>
        </w:tc>
        <w:tc>
          <w:tcPr>
            <w:tcW w:w="850" w:type="dxa"/>
            <w:noWrap/>
          </w:tcPr>
          <w:p w14:paraId="33A10E3D" w14:textId="295AAEEF" w:rsidR="0044070F" w:rsidRPr="00F26B97" w:rsidRDefault="0044070F" w:rsidP="0044070F">
            <w:pPr>
              <w:ind w:left="28"/>
              <w:jc w:val="center"/>
              <w:rPr>
                <w:rFonts w:ascii="Times New Roman" w:hAnsi="Times New Roman"/>
                <w:iCs/>
                <w:color w:val="000000"/>
                <w:sz w:val="18"/>
                <w:szCs w:val="16"/>
              </w:rPr>
            </w:pPr>
            <w:r w:rsidRPr="00F26B97">
              <w:rPr>
                <w:sz w:val="18"/>
                <w:szCs w:val="16"/>
              </w:rPr>
              <w:t>0.3333</w:t>
            </w:r>
          </w:p>
        </w:tc>
      </w:tr>
    </w:tbl>
    <w:p w14:paraId="393E2291" w14:textId="615A05DB" w:rsidR="00987157" w:rsidRDefault="00987157" w:rsidP="00987157">
      <w:pPr>
        <w:pStyle w:val="Bodytext"/>
      </w:pPr>
    </w:p>
    <w:tbl>
      <w:tblPr>
        <w:tblW w:w="0" w:type="auto"/>
        <w:jc w:val="center"/>
        <w:tblLook w:val="01E0" w:firstRow="1" w:lastRow="1" w:firstColumn="1" w:lastColumn="1" w:noHBand="0" w:noVBand="0"/>
      </w:tblPr>
      <w:tblGrid>
        <w:gridCol w:w="6286"/>
      </w:tblGrid>
      <w:tr w:rsidR="0029289A" w:rsidRPr="00CE57CF" w14:paraId="368178F1" w14:textId="77777777" w:rsidTr="008B361E">
        <w:trPr>
          <w:jc w:val="center"/>
        </w:trPr>
        <w:tc>
          <w:tcPr>
            <w:tcW w:w="6286" w:type="dxa"/>
            <w:shd w:val="clear" w:color="auto" w:fill="auto"/>
          </w:tcPr>
          <w:p w14:paraId="065CF075" w14:textId="77777777" w:rsidR="0029289A" w:rsidRPr="00CE57CF" w:rsidRDefault="0029289A" w:rsidP="00D86643">
            <w:pPr>
              <w:pStyle w:val="BodyChar"/>
              <w:jc w:val="center"/>
              <w:rPr>
                <w:rFonts w:ascii="Times New Roman" w:hAnsi="Times New Roman"/>
              </w:rPr>
            </w:pPr>
            <w:r w:rsidRPr="00CE57CF">
              <w:rPr>
                <w:rFonts w:ascii="Times New Roman" w:hAnsi="Times New Roman"/>
                <w:noProof/>
                <w:lang w:eastAsia="en-GB"/>
              </w:rPr>
              <w:drawing>
                <wp:inline distT="0" distB="0" distL="0" distR="0" wp14:anchorId="0183A296" wp14:editId="4658ECFF">
                  <wp:extent cx="3237355" cy="1996965"/>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0" y="0"/>
                            <a:ext cx="3237355" cy="1996965"/>
                          </a:xfrm>
                          <a:prstGeom prst="rect">
                            <a:avLst/>
                          </a:prstGeom>
                          <a:noFill/>
                          <a:ln>
                            <a:noFill/>
                          </a:ln>
                        </pic:spPr>
                      </pic:pic>
                    </a:graphicData>
                  </a:graphic>
                </wp:inline>
              </w:drawing>
            </w:r>
          </w:p>
        </w:tc>
      </w:tr>
      <w:tr w:rsidR="0029289A" w:rsidRPr="00CE57CF" w14:paraId="2B053309" w14:textId="77777777" w:rsidTr="008B361E">
        <w:trPr>
          <w:jc w:val="center"/>
        </w:trPr>
        <w:tc>
          <w:tcPr>
            <w:tcW w:w="6286" w:type="dxa"/>
            <w:shd w:val="clear" w:color="auto" w:fill="auto"/>
          </w:tcPr>
          <w:p w14:paraId="2009977C" w14:textId="720E2DED" w:rsidR="0029289A" w:rsidRPr="00CE57CF" w:rsidRDefault="0029289A" w:rsidP="008B361E">
            <w:pPr>
              <w:pStyle w:val="FigureCaption"/>
              <w:spacing w:before="120"/>
              <w:jc w:val="both"/>
              <w:rPr>
                <w:rFonts w:ascii="Times New Roman" w:hAnsi="Times New Roman"/>
              </w:rPr>
            </w:pPr>
            <w:r w:rsidRPr="00CE57CF">
              <w:rPr>
                <w:rFonts w:ascii="Times New Roman" w:hAnsi="Times New Roman"/>
                <w:b/>
              </w:rPr>
              <w:t xml:space="preserve">Figure </w:t>
            </w:r>
            <w:r w:rsidR="00D86643">
              <w:rPr>
                <w:rFonts w:ascii="Times New Roman" w:hAnsi="Times New Roman"/>
                <w:b/>
              </w:rPr>
              <w:t>4</w:t>
            </w:r>
            <w:r w:rsidRPr="00CE57CF">
              <w:rPr>
                <w:rFonts w:ascii="Times New Roman" w:hAnsi="Times New Roman"/>
                <w:b/>
              </w:rPr>
              <w:t xml:space="preserve">. </w:t>
            </w:r>
            <w:r w:rsidR="000A1B0D">
              <w:rPr>
                <w:rFonts w:ascii="Times New Roman" w:hAnsi="Times New Roman"/>
              </w:rPr>
              <w:t xml:space="preserve">Probabilities </w:t>
            </w:r>
            <w:r w:rsidR="008C23D3">
              <w:rPr>
                <w:rFonts w:ascii="Times New Roman" w:hAnsi="Times New Roman"/>
              </w:rPr>
              <w:t xml:space="preserve">in each state </w:t>
            </w:r>
            <w:r w:rsidR="000A1B0D">
              <w:rPr>
                <w:rFonts w:ascii="Times New Roman" w:hAnsi="Times New Roman"/>
              </w:rPr>
              <w:t xml:space="preserve">of </w:t>
            </w:r>
            <w:r w:rsidR="008C23D3">
              <w:rPr>
                <w:rFonts w:ascii="Times New Roman" w:hAnsi="Times New Roman"/>
              </w:rPr>
              <w:t xml:space="preserve">raw materials moving to </w:t>
            </w:r>
            <w:r w:rsidR="000A1B0D">
              <w:rPr>
                <w:rFonts w:ascii="Times New Roman" w:hAnsi="Times New Roman"/>
              </w:rPr>
              <w:t>Return</w:t>
            </w:r>
            <w:r>
              <w:rPr>
                <w:rFonts w:ascii="Times New Roman" w:hAnsi="Times New Roman"/>
              </w:rPr>
              <w:t xml:space="preserve"> </w:t>
            </w:r>
            <w:r w:rsidR="008C23D3">
              <w:rPr>
                <w:rFonts w:ascii="Times New Roman" w:hAnsi="Times New Roman"/>
              </w:rPr>
              <w:t>and Pack and Store</w:t>
            </w:r>
            <w:r w:rsidRPr="00CE57CF">
              <w:rPr>
                <w:rFonts w:ascii="Times New Roman" w:hAnsi="Times New Roman"/>
              </w:rPr>
              <w:t>.</w:t>
            </w:r>
          </w:p>
        </w:tc>
      </w:tr>
    </w:tbl>
    <w:p w14:paraId="2C8EEFBE" w14:textId="0D4E94C0" w:rsidR="004750E0" w:rsidRDefault="004750E0" w:rsidP="004750E0">
      <w:pPr>
        <w:pStyle w:val="Section"/>
      </w:pPr>
      <w:r>
        <w:t>Conclusion</w:t>
      </w:r>
    </w:p>
    <w:p w14:paraId="5AAD5B1D" w14:textId="2EDF3150" w:rsidR="006527DA" w:rsidRPr="00536EC2" w:rsidRDefault="004750E0" w:rsidP="00536EC2">
      <w:pPr>
        <w:pStyle w:val="Bodytext"/>
        <w:rPr>
          <w:color w:val="000000" w:themeColor="text1"/>
        </w:rPr>
      </w:pPr>
      <w:r>
        <w:t>Th</w:t>
      </w:r>
      <w:r w:rsidR="00F82B61">
        <w:t xml:space="preserve">is paper presented </w:t>
      </w:r>
      <w:r w:rsidR="007B3732">
        <w:t>a</w:t>
      </w:r>
      <w:r w:rsidR="00407535">
        <w:t xml:space="preserve"> raw material acceptance prediction model (RMAP) developed based on the Markov analysis. The proposed RMAP model estimates the probability of </w:t>
      </w:r>
      <w:r w:rsidR="00407535" w:rsidRPr="00407535">
        <w:t>the raw material being accepted or rejected at each inspection st</w:t>
      </w:r>
      <w:r w:rsidR="00407535">
        <w:t>ation</w:t>
      </w:r>
      <w:r w:rsidR="007B3732">
        <w:t xml:space="preserve"> (Packaging Inspection, Visual Inspection, Gauge Inspection, Rework1, and Rework2)</w:t>
      </w:r>
      <w:r w:rsidR="00407535">
        <w:t xml:space="preserve">. </w:t>
      </w:r>
      <w:r w:rsidR="007B3732">
        <w:t>The accepted parts are forwarded to Pack and Store station and stored in the warehouse. The non-conforming parts are returned to the supplier.</w:t>
      </w:r>
      <w:r w:rsidR="00536EC2">
        <w:t xml:space="preserve"> </w:t>
      </w:r>
      <w:r w:rsidR="007B3732">
        <w:t xml:space="preserve">The incoming inspection process in any manufacturing plant aims to control quality, reduce manufacturing costs, eliminate scrap, and process failure downtimes due to the non-conforming raw materials. Prediction of the raw material acceptance rate can regulate the raw material supplier selection and improves the manufacturing process by filtering out non-conformities. </w:t>
      </w:r>
      <w:r w:rsidR="006527DA" w:rsidRPr="00536EC2">
        <w:rPr>
          <w:color w:val="000000" w:themeColor="text1"/>
        </w:rPr>
        <w:t>Further to the limiting matrix estimation, the trajectory of every accepted raw material flowing from Packaging Inspection to Pack and Store can be used in ranking the material into subcategories. The ranking of the materials can enable quality output.</w:t>
      </w:r>
    </w:p>
    <w:p w14:paraId="6B1BC804" w14:textId="77777777" w:rsidR="00F346C7" w:rsidRDefault="00F346C7" w:rsidP="00F82B61">
      <w:pPr>
        <w:pStyle w:val="Sectionnonumber"/>
      </w:pPr>
      <w:bookmarkStart w:id="3" w:name="_Hlk76929523"/>
    </w:p>
    <w:p w14:paraId="6C2B2E4F" w14:textId="1568A8AE" w:rsidR="00F82B61" w:rsidRDefault="00F82B61" w:rsidP="00F82B61">
      <w:pPr>
        <w:pStyle w:val="Sectionnonumber"/>
      </w:pPr>
      <w:r>
        <w:t>Acknowledgement</w:t>
      </w:r>
    </w:p>
    <w:p w14:paraId="4F9C7E11" w14:textId="22FCA5AE" w:rsidR="00F82B61" w:rsidRPr="008A01F7" w:rsidRDefault="006025E1" w:rsidP="00FD713A">
      <w:pPr>
        <w:pStyle w:val="Sectionnonumber"/>
        <w:jc w:val="both"/>
        <w:rPr>
          <w:b w:val="0"/>
          <w:bCs/>
        </w:rPr>
      </w:pPr>
      <w:bookmarkStart w:id="4" w:name="_Hlk77238154"/>
      <w:r w:rsidRPr="006025E1">
        <w:rPr>
          <w:b w:val="0"/>
          <w:bCs/>
        </w:rPr>
        <w:t>The research has been carried out under the Malaysian Technical University Network (MTUN) Research Grant by Ministry of Higher Education of Malaysia (MOHE) under a grant number of (9028-00005)</w:t>
      </w:r>
      <w:r w:rsidR="003E3A8C">
        <w:rPr>
          <w:b w:val="0"/>
          <w:bCs/>
        </w:rPr>
        <w:t xml:space="preserve"> </w:t>
      </w:r>
      <w:r w:rsidRPr="006025E1">
        <w:rPr>
          <w:b w:val="0"/>
          <w:bCs/>
        </w:rPr>
        <w:t>&amp;</w:t>
      </w:r>
      <w:r w:rsidR="003E3A8C">
        <w:rPr>
          <w:b w:val="0"/>
          <w:bCs/>
        </w:rPr>
        <w:t xml:space="preserve"> </w:t>
      </w:r>
      <w:r w:rsidRPr="006025E1">
        <w:rPr>
          <w:b w:val="0"/>
          <w:bCs/>
        </w:rPr>
        <w:t xml:space="preserve">(9002-00089) with the research collaboration with thanks to Center of Excellence Automotive &amp; Motorsport and Faculty of Mechanical Engineering Technology, </w:t>
      </w:r>
      <w:proofErr w:type="spellStart"/>
      <w:r w:rsidRPr="006025E1">
        <w:rPr>
          <w:b w:val="0"/>
          <w:bCs/>
        </w:rPr>
        <w:t>Universiti</w:t>
      </w:r>
      <w:proofErr w:type="spellEnd"/>
      <w:r w:rsidRPr="006025E1">
        <w:rPr>
          <w:b w:val="0"/>
          <w:bCs/>
        </w:rPr>
        <w:t xml:space="preserve"> Malaysia Perlis (Malaysia) for their productive discussions and input to the research</w:t>
      </w:r>
      <w:r w:rsidR="003E3A8C">
        <w:rPr>
          <w:b w:val="0"/>
          <w:bCs/>
        </w:rPr>
        <w:t>.</w:t>
      </w:r>
    </w:p>
    <w:bookmarkEnd w:id="3"/>
    <w:bookmarkEnd w:id="4"/>
    <w:p w14:paraId="452378AB" w14:textId="30093D9E" w:rsidR="009A0487" w:rsidRDefault="009A0487">
      <w:pPr>
        <w:pStyle w:val="Sectionnonumber"/>
      </w:pPr>
      <w:r>
        <w:t>References</w:t>
      </w:r>
    </w:p>
    <w:p w14:paraId="7937B72F" w14:textId="42AB8925" w:rsidR="003657DB" w:rsidRDefault="003657DB">
      <w:pPr>
        <w:pStyle w:val="Reference"/>
      </w:pPr>
      <w:r w:rsidRPr="003657DB">
        <w:t>Tersine,  R.  J.,  1994. Principles  of inventory and materials management. Englewood  Cliffs: Prentice</w:t>
      </w:r>
      <w:r w:rsidR="00C163D1">
        <w:t>-</w:t>
      </w:r>
      <w:r w:rsidRPr="003657DB">
        <w:t>Hall</w:t>
      </w:r>
    </w:p>
    <w:p w14:paraId="41121807" w14:textId="7A72D20D" w:rsidR="003657DB" w:rsidRDefault="003657DB">
      <w:pPr>
        <w:pStyle w:val="Reference"/>
      </w:pPr>
      <w:r w:rsidRPr="003657DB">
        <w:t>Wallin,  C.,  Rungtusanatham,  J.  M.  &amp;  Rabinovich,  E.,  2006.  What is the</w:t>
      </w:r>
      <w:r w:rsidR="0002099E">
        <w:t xml:space="preserve"> </w:t>
      </w:r>
      <w:r w:rsidRPr="003657DB">
        <w:t>"right"  inventory management approach for a   purchased item?. International   Journal of   Operations   &amp; Production Management, 26(1), pp. 55-68</w:t>
      </w:r>
      <w:r>
        <w:t>.</w:t>
      </w:r>
    </w:p>
    <w:p w14:paraId="069203AA" w14:textId="38AC41A8" w:rsidR="003657DB" w:rsidRDefault="00986544">
      <w:pPr>
        <w:pStyle w:val="Reference"/>
      </w:pPr>
      <w:r w:rsidRPr="00986544">
        <w:t>Goldsby, T. J., &amp; Martichenko, R. (2005). Lean six sigma logistics: Strategic development to operational success. J. Ross Publishing</w:t>
      </w:r>
      <w:r w:rsidR="003657DB" w:rsidRPr="003657DB">
        <w:t>.</w:t>
      </w:r>
    </w:p>
    <w:p w14:paraId="0B1F71BD" w14:textId="49698E43" w:rsidR="003657DB" w:rsidRDefault="00986544" w:rsidP="00B15D5C">
      <w:pPr>
        <w:pStyle w:val="Reference"/>
      </w:pPr>
      <w:r w:rsidRPr="00986544">
        <w:t>Weinstein, R. (2005). RFID: a technical overview and its application to the enterprise. IT professional, 7(3), 27-33</w:t>
      </w:r>
      <w:r w:rsidR="003657DB">
        <w:t>.</w:t>
      </w:r>
    </w:p>
    <w:p w14:paraId="09F36091" w14:textId="775175C1" w:rsidR="003657DB" w:rsidRDefault="003657DB">
      <w:pPr>
        <w:pStyle w:val="Reference"/>
      </w:pPr>
      <w:r w:rsidRPr="003657DB">
        <w:t>Rieback, M.R., Crispo, B. and Tanenbaum, A.S. 2006. The evolution of RFID security. IEEE Pervasive Computing, 5(1), pp.62-69.</w:t>
      </w:r>
    </w:p>
    <w:p w14:paraId="565433BB" w14:textId="00F1F22C" w:rsidR="003657DB" w:rsidRDefault="003657DB" w:rsidP="00FE0BB4">
      <w:pPr>
        <w:pStyle w:val="Reference"/>
      </w:pPr>
      <w:r>
        <w:t>Sharpe, R., Banwell, G., Conway, P., West, A. 2014. Sensor enabled PCBs to aid right first time manufacture through defect prediction. Presented at the 16th Electronics Packaging Technology Conference, (EPTC 2014), Singapore, 3-5th Dec., pp. 366-371.</w:t>
      </w:r>
    </w:p>
    <w:p w14:paraId="36428FDA" w14:textId="25B8C402" w:rsidR="003657DB" w:rsidRDefault="003657DB" w:rsidP="008731E7">
      <w:pPr>
        <w:pStyle w:val="Reference"/>
      </w:pPr>
      <w:r>
        <w:t>Baines, T., Mason, S., Siebers, PO., Ladbrook, J., 2004. Humans:</w:t>
      </w:r>
      <w:r w:rsidR="00C163D1">
        <w:t xml:space="preserve"> </w:t>
      </w:r>
      <w:r>
        <w:t>the missing link in manufacturing simulation?. Simulation Modelling Practice and Theory. 12(7-8): 515-536.</w:t>
      </w:r>
    </w:p>
    <w:p w14:paraId="17F09C5E" w14:textId="350A725F" w:rsidR="009A0487" w:rsidRDefault="00A6299C" w:rsidP="00A30F83">
      <w:pPr>
        <w:pStyle w:val="Reference"/>
      </w:pPr>
      <w:r w:rsidRPr="00A6299C">
        <w:t>Schmitt, J., Bönig, J., Borggräfe, T., Beitinger, G., &amp; Deuse, J. (2020). Predictive model-based quality inspection using Machine Learning and Edge Cloud Computing. Advanced engineering informatics, 45, 101101.</w:t>
      </w:r>
    </w:p>
    <w:p w14:paraId="65C81EB7" w14:textId="7CE98A47" w:rsidR="00DB692C" w:rsidRDefault="00A6299C">
      <w:pPr>
        <w:pStyle w:val="Reference"/>
      </w:pPr>
      <w:r w:rsidRPr="00A6299C">
        <w:t>Lieber, D., Stolpe, M., Konrad, B., Deuse, J., &amp; Morik, K. (2013). Quality prediction in interlinked manufacturing processes based on supervised &amp; unsupervised machine learning. Procedia Cirp, 7, 193-198.</w:t>
      </w:r>
    </w:p>
    <w:p w14:paraId="1868FD9B" w14:textId="1DE63C83" w:rsidR="00DB692C" w:rsidRDefault="00A6299C">
      <w:pPr>
        <w:pStyle w:val="Reference"/>
      </w:pPr>
      <w:r w:rsidRPr="00A6299C">
        <w:t>Escobar, C. A., Abell, J. A., Hernández-de-Menéndez, M., &amp; Morales-Menendez, R. (2018). Process-monitoring-for-quality—big models. Procedia Manufacturing, 26, 1167-1179.</w:t>
      </w:r>
    </w:p>
    <w:p w14:paraId="2C2E6405" w14:textId="53447305" w:rsidR="00DB692C" w:rsidRDefault="00986544">
      <w:pPr>
        <w:pStyle w:val="Reference"/>
      </w:pPr>
      <w:r w:rsidRPr="00986544">
        <w:t>Leigh, J. M., Jackson, L., Dunnett, S., Lugo, H., Sharpe, R., Neal, A., &amp; West, A. (2017). Modelling manufacturing processes using Markov chains.</w:t>
      </w:r>
    </w:p>
    <w:p w14:paraId="7CF2EE95" w14:textId="781D3747" w:rsidR="00DB692C" w:rsidRDefault="00986544">
      <w:pPr>
        <w:pStyle w:val="Reference"/>
      </w:pPr>
      <w:r w:rsidRPr="00986544">
        <w:t>Winston, W. L., &amp; Goldberg, J. B. (2004). Operations research: applications and algorithms (Vol. 3). Belmont: Thomson Brooks/Cole.</w:t>
      </w:r>
    </w:p>
    <w:p w14:paraId="1BFF169D" w14:textId="4E5AFBA5" w:rsidR="006F45A4" w:rsidRPr="00C05E48" w:rsidRDefault="00986544" w:rsidP="00C14EAD">
      <w:pPr>
        <w:pStyle w:val="Reference"/>
      </w:pPr>
      <w:r w:rsidRPr="00986544">
        <w:t>Khoshkangini, R., Sheikholharam Mashhadi, P., Berck, P., Gholami Shahbandi, S., Pashami, S., Nowaczyk, S., &amp; Niklasson, T. (2020). Early prediction of quality issues in automotive modern industry. Information, 11(7), 354.</w:t>
      </w:r>
    </w:p>
    <w:sectPr w:rsidR="006F45A4" w:rsidRPr="00C05E48" w:rsidSect="00DB69A7">
      <w:headerReference w:type="even" r:id="rId45"/>
      <w:headerReference w:type="default" r:id="rId46"/>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40EDD" w14:textId="77777777" w:rsidR="00C46563" w:rsidRDefault="00C46563">
      <w:r>
        <w:separator/>
      </w:r>
    </w:p>
  </w:endnote>
  <w:endnote w:type="continuationSeparator" w:id="0">
    <w:p w14:paraId="62084CD0" w14:textId="77777777" w:rsidR="00C46563" w:rsidRDefault="00C46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b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0CCCD" w14:textId="77777777" w:rsidR="00C46563" w:rsidRPr="00043761" w:rsidRDefault="00C46563">
      <w:pPr>
        <w:pStyle w:val="Bulleted"/>
        <w:numPr>
          <w:ilvl w:val="0"/>
          <w:numId w:val="0"/>
        </w:numPr>
        <w:rPr>
          <w:rFonts w:ascii="Sabon" w:hAnsi="Sabon"/>
          <w:color w:val="auto"/>
          <w:szCs w:val="20"/>
        </w:rPr>
      </w:pPr>
      <w:r>
        <w:separator/>
      </w:r>
    </w:p>
  </w:footnote>
  <w:footnote w:type="continuationSeparator" w:id="0">
    <w:p w14:paraId="3D027BE2" w14:textId="77777777" w:rsidR="00C46563" w:rsidRDefault="00C46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A7677" w14:textId="77777777" w:rsidR="009A0487" w:rsidRDefault="009A04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9728D" w14:textId="77777777" w:rsidR="009A0487" w:rsidRDefault="009A0487"/>
  <w:p w14:paraId="777C5A0B" w14:textId="77777777" w:rsidR="009A0487" w:rsidRDefault="009A0487"/>
  <w:p w14:paraId="78975B7E" w14:textId="77777777" w:rsidR="009A0487" w:rsidRDefault="009A0487"/>
  <w:p w14:paraId="619DE895" w14:textId="77777777" w:rsidR="009A0487" w:rsidRDefault="009A0487"/>
  <w:p w14:paraId="01F0870E" w14:textId="77777777" w:rsidR="009A0487" w:rsidRDefault="009A0487"/>
  <w:p w14:paraId="0379DF49" w14:textId="77777777" w:rsidR="009A0487" w:rsidRDefault="009A04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F13F4"/>
    <w:multiLevelType w:val="hybridMultilevel"/>
    <w:tmpl w:val="EA7890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3FF09B4"/>
    <w:multiLevelType w:val="multilevel"/>
    <w:tmpl w:val="3B6AAE3A"/>
    <w:lvl w:ilvl="0">
      <w:start w:val="1"/>
      <w:numFmt w:val="decimal"/>
      <w:pStyle w:val="section0"/>
      <w:suff w:val="space"/>
      <w:lvlText w:val="%1."/>
      <w:lvlJc w:val="left"/>
      <w:pPr>
        <w:ind w:left="0" w:firstLine="0"/>
      </w:pPr>
      <w:rPr>
        <w:rFonts w:hint="default"/>
        <w:sz w:val="22"/>
      </w:rPr>
    </w:lvl>
    <w:lvl w:ilvl="1">
      <w:start w:val="1"/>
      <w:numFmt w:val="decimal"/>
      <w:pStyle w:val="subsection0"/>
      <w:suff w:val="space"/>
      <w:lvlText w:val="%1.%2."/>
      <w:lvlJc w:val="left"/>
      <w:pPr>
        <w:ind w:left="0" w:firstLine="0"/>
      </w:pPr>
      <w:rPr>
        <w:rFonts w:hint="default"/>
        <w:lang w:val="en-GB"/>
      </w:rPr>
    </w:lvl>
    <w:lvl w:ilvl="2">
      <w:start w:val="1"/>
      <w:numFmt w:val="decimal"/>
      <w:pStyle w:val="subsubsection0"/>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64A4312E"/>
    <w:multiLevelType w:val="hybridMultilevel"/>
    <w:tmpl w:val="8F08C364"/>
    <w:lvl w:ilvl="0" w:tplc="835C0A46">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MY"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savePreviewPicture/>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3MjU3szA3tTS0MDdT0lEKTi0uzszPAykwqwUAGuOkniwAAAA="/>
  </w:docVars>
  <w:rsids>
    <w:rsidRoot w:val="00EF6BE4"/>
    <w:rsid w:val="00006242"/>
    <w:rsid w:val="00006EA6"/>
    <w:rsid w:val="0001772D"/>
    <w:rsid w:val="0002099E"/>
    <w:rsid w:val="00021FFD"/>
    <w:rsid w:val="0003177D"/>
    <w:rsid w:val="000451D3"/>
    <w:rsid w:val="000620D4"/>
    <w:rsid w:val="00062BC0"/>
    <w:rsid w:val="00066F6B"/>
    <w:rsid w:val="000760B0"/>
    <w:rsid w:val="00083B01"/>
    <w:rsid w:val="000954DB"/>
    <w:rsid w:val="000A1B0D"/>
    <w:rsid w:val="000A6488"/>
    <w:rsid w:val="000B6BA3"/>
    <w:rsid w:val="00121C35"/>
    <w:rsid w:val="0013636A"/>
    <w:rsid w:val="0015336C"/>
    <w:rsid w:val="00173235"/>
    <w:rsid w:val="001C2F16"/>
    <w:rsid w:val="001C5B6C"/>
    <w:rsid w:val="001E1504"/>
    <w:rsid w:val="00217A99"/>
    <w:rsid w:val="00223C13"/>
    <w:rsid w:val="00235209"/>
    <w:rsid w:val="00246CA3"/>
    <w:rsid w:val="00272D5F"/>
    <w:rsid w:val="0029289A"/>
    <w:rsid w:val="00297169"/>
    <w:rsid w:val="002A26F3"/>
    <w:rsid w:val="002B4563"/>
    <w:rsid w:val="002D49EA"/>
    <w:rsid w:val="002E4BF7"/>
    <w:rsid w:val="00301860"/>
    <w:rsid w:val="0030381C"/>
    <w:rsid w:val="00305DE6"/>
    <w:rsid w:val="003249C1"/>
    <w:rsid w:val="003377BD"/>
    <w:rsid w:val="00342ABA"/>
    <w:rsid w:val="00355F5E"/>
    <w:rsid w:val="003648A8"/>
    <w:rsid w:val="00364E14"/>
    <w:rsid w:val="003657DB"/>
    <w:rsid w:val="00373DF6"/>
    <w:rsid w:val="00374A95"/>
    <w:rsid w:val="00384955"/>
    <w:rsid w:val="003B0832"/>
    <w:rsid w:val="003B170F"/>
    <w:rsid w:val="003C53D8"/>
    <w:rsid w:val="003C653F"/>
    <w:rsid w:val="003D0157"/>
    <w:rsid w:val="003E3A8C"/>
    <w:rsid w:val="00402C43"/>
    <w:rsid w:val="00407535"/>
    <w:rsid w:val="0041581F"/>
    <w:rsid w:val="00424D1F"/>
    <w:rsid w:val="0044070F"/>
    <w:rsid w:val="0044791D"/>
    <w:rsid w:val="00455695"/>
    <w:rsid w:val="00471624"/>
    <w:rsid w:val="004750E0"/>
    <w:rsid w:val="004764C6"/>
    <w:rsid w:val="004B2230"/>
    <w:rsid w:val="004C33F7"/>
    <w:rsid w:val="004E1B98"/>
    <w:rsid w:val="004E58DE"/>
    <w:rsid w:val="00503BA0"/>
    <w:rsid w:val="005063D0"/>
    <w:rsid w:val="005158FA"/>
    <w:rsid w:val="00516B2C"/>
    <w:rsid w:val="005223AA"/>
    <w:rsid w:val="00533F2B"/>
    <w:rsid w:val="00536EC2"/>
    <w:rsid w:val="00544630"/>
    <w:rsid w:val="00546FB3"/>
    <w:rsid w:val="0055423B"/>
    <w:rsid w:val="00555D54"/>
    <w:rsid w:val="0055721D"/>
    <w:rsid w:val="005667A4"/>
    <w:rsid w:val="00576F57"/>
    <w:rsid w:val="00581C2D"/>
    <w:rsid w:val="005908C1"/>
    <w:rsid w:val="005A5B6A"/>
    <w:rsid w:val="005C3D53"/>
    <w:rsid w:val="005D2DFB"/>
    <w:rsid w:val="005E377B"/>
    <w:rsid w:val="00601883"/>
    <w:rsid w:val="00601AB6"/>
    <w:rsid w:val="006025E1"/>
    <w:rsid w:val="00641DEE"/>
    <w:rsid w:val="006527DA"/>
    <w:rsid w:val="00653603"/>
    <w:rsid w:val="00656E6A"/>
    <w:rsid w:val="00667B23"/>
    <w:rsid w:val="006A2F5B"/>
    <w:rsid w:val="006C142A"/>
    <w:rsid w:val="006C1A14"/>
    <w:rsid w:val="006E5656"/>
    <w:rsid w:val="006F1DD6"/>
    <w:rsid w:val="006F45A4"/>
    <w:rsid w:val="00713C9F"/>
    <w:rsid w:val="007242CA"/>
    <w:rsid w:val="0072459B"/>
    <w:rsid w:val="00733CB3"/>
    <w:rsid w:val="00734611"/>
    <w:rsid w:val="007478E7"/>
    <w:rsid w:val="00755D8B"/>
    <w:rsid w:val="007604AB"/>
    <w:rsid w:val="00762D48"/>
    <w:rsid w:val="00773976"/>
    <w:rsid w:val="007754F9"/>
    <w:rsid w:val="00787ECA"/>
    <w:rsid w:val="00790F8E"/>
    <w:rsid w:val="007B1C88"/>
    <w:rsid w:val="007B3732"/>
    <w:rsid w:val="007B41E1"/>
    <w:rsid w:val="007B6E24"/>
    <w:rsid w:val="007C2F69"/>
    <w:rsid w:val="007C4279"/>
    <w:rsid w:val="007F6F27"/>
    <w:rsid w:val="008417AF"/>
    <w:rsid w:val="0085092F"/>
    <w:rsid w:val="0085407F"/>
    <w:rsid w:val="00872BBE"/>
    <w:rsid w:val="008809D9"/>
    <w:rsid w:val="008B4060"/>
    <w:rsid w:val="008C23D3"/>
    <w:rsid w:val="008C2AFC"/>
    <w:rsid w:val="008D66DB"/>
    <w:rsid w:val="008F0358"/>
    <w:rsid w:val="009056C9"/>
    <w:rsid w:val="00930774"/>
    <w:rsid w:val="009528D6"/>
    <w:rsid w:val="00970565"/>
    <w:rsid w:val="00986544"/>
    <w:rsid w:val="00987157"/>
    <w:rsid w:val="00996531"/>
    <w:rsid w:val="009A0487"/>
    <w:rsid w:val="009E0E11"/>
    <w:rsid w:val="00A320AA"/>
    <w:rsid w:val="00A336AE"/>
    <w:rsid w:val="00A442C6"/>
    <w:rsid w:val="00A55CB0"/>
    <w:rsid w:val="00A61B61"/>
    <w:rsid w:val="00A6299C"/>
    <w:rsid w:val="00A76539"/>
    <w:rsid w:val="00A8077B"/>
    <w:rsid w:val="00A949F4"/>
    <w:rsid w:val="00AB3CE6"/>
    <w:rsid w:val="00AB3FA4"/>
    <w:rsid w:val="00AE0686"/>
    <w:rsid w:val="00AE168E"/>
    <w:rsid w:val="00AF7D87"/>
    <w:rsid w:val="00B05982"/>
    <w:rsid w:val="00B0732A"/>
    <w:rsid w:val="00B1425A"/>
    <w:rsid w:val="00B16D6D"/>
    <w:rsid w:val="00B5690C"/>
    <w:rsid w:val="00B64DEE"/>
    <w:rsid w:val="00B7018D"/>
    <w:rsid w:val="00B83F45"/>
    <w:rsid w:val="00B85E39"/>
    <w:rsid w:val="00B9783E"/>
    <w:rsid w:val="00BA4CF8"/>
    <w:rsid w:val="00BA5FAA"/>
    <w:rsid w:val="00BC0F30"/>
    <w:rsid w:val="00BC240A"/>
    <w:rsid w:val="00BC6741"/>
    <w:rsid w:val="00BC726A"/>
    <w:rsid w:val="00C163D1"/>
    <w:rsid w:val="00C22D22"/>
    <w:rsid w:val="00C34F37"/>
    <w:rsid w:val="00C409B9"/>
    <w:rsid w:val="00C4463C"/>
    <w:rsid w:val="00C46563"/>
    <w:rsid w:val="00C77C81"/>
    <w:rsid w:val="00C92053"/>
    <w:rsid w:val="00C929ED"/>
    <w:rsid w:val="00CA023C"/>
    <w:rsid w:val="00CB5CA3"/>
    <w:rsid w:val="00CC5972"/>
    <w:rsid w:val="00CC6D47"/>
    <w:rsid w:val="00CD3319"/>
    <w:rsid w:val="00CD3BC0"/>
    <w:rsid w:val="00CD7427"/>
    <w:rsid w:val="00CE0932"/>
    <w:rsid w:val="00CF663D"/>
    <w:rsid w:val="00CF7EA6"/>
    <w:rsid w:val="00D34A38"/>
    <w:rsid w:val="00D619B0"/>
    <w:rsid w:val="00D64A75"/>
    <w:rsid w:val="00D75CBA"/>
    <w:rsid w:val="00D86643"/>
    <w:rsid w:val="00D91158"/>
    <w:rsid w:val="00DA74C7"/>
    <w:rsid w:val="00DA7EFE"/>
    <w:rsid w:val="00DB2FD4"/>
    <w:rsid w:val="00DB692C"/>
    <w:rsid w:val="00DB69A7"/>
    <w:rsid w:val="00DC3C9E"/>
    <w:rsid w:val="00DE5BA7"/>
    <w:rsid w:val="00DE7CE3"/>
    <w:rsid w:val="00DF14D0"/>
    <w:rsid w:val="00DF4BD4"/>
    <w:rsid w:val="00E07EEA"/>
    <w:rsid w:val="00E55EB1"/>
    <w:rsid w:val="00E64F61"/>
    <w:rsid w:val="00E870DA"/>
    <w:rsid w:val="00EC2165"/>
    <w:rsid w:val="00EC3304"/>
    <w:rsid w:val="00EC5B3B"/>
    <w:rsid w:val="00EC6E82"/>
    <w:rsid w:val="00ED4EA4"/>
    <w:rsid w:val="00EE157D"/>
    <w:rsid w:val="00EF1772"/>
    <w:rsid w:val="00EF212D"/>
    <w:rsid w:val="00EF3CE6"/>
    <w:rsid w:val="00EF6BE4"/>
    <w:rsid w:val="00F00599"/>
    <w:rsid w:val="00F07DB3"/>
    <w:rsid w:val="00F169D7"/>
    <w:rsid w:val="00F26B97"/>
    <w:rsid w:val="00F273F2"/>
    <w:rsid w:val="00F32638"/>
    <w:rsid w:val="00F3428C"/>
    <w:rsid w:val="00F346C7"/>
    <w:rsid w:val="00F3629E"/>
    <w:rsid w:val="00F43ED1"/>
    <w:rsid w:val="00F82B61"/>
    <w:rsid w:val="00F86D1B"/>
    <w:rsid w:val="00F93722"/>
    <w:rsid w:val="00FB02A5"/>
    <w:rsid w:val="00FB1A26"/>
    <w:rsid w:val="00FC17C2"/>
    <w:rsid w:val="00FD2647"/>
    <w:rsid w:val="00FD7044"/>
    <w:rsid w:val="00FD713A"/>
    <w:rsid w:val="00FF57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8DD63"/>
  <w15:docId w15:val="{B8CC0562-1DB0-42AD-8D16-3D268D6D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pPr>
    <w:rPr>
      <w:rFonts w:ascii="Times" w:hAnsi="Times"/>
      <w:i/>
      <w:iCs/>
      <w:color w:val="000000"/>
      <w:sz w:val="22"/>
      <w:szCs w:val="22"/>
      <w:lang w:eastAsia="en-US"/>
    </w:rPr>
  </w:style>
  <w:style w:type="paragraph" w:customStyle="1" w:styleId="Bodytext">
    <w:name w:val="Bodytext"/>
    <w:next w:val="BodytextIndented"/>
    <w:link w:val="BodytextChar"/>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paragraph" w:customStyle="1" w:styleId="BodyChar">
    <w:name w:val="Body Char"/>
    <w:link w:val="BodyCharChar"/>
    <w:rsid w:val="009E0E11"/>
    <w:pPr>
      <w:tabs>
        <w:tab w:val="left" w:pos="567"/>
      </w:tabs>
      <w:jc w:val="both"/>
    </w:pPr>
    <w:rPr>
      <w:rFonts w:ascii="Times" w:hAnsi="Times"/>
      <w:color w:val="000000"/>
      <w:sz w:val="22"/>
      <w:szCs w:val="22"/>
      <w:lang w:eastAsia="en-US"/>
    </w:rPr>
  </w:style>
  <w:style w:type="character" w:customStyle="1" w:styleId="BodyCharChar">
    <w:name w:val="Body Char Char"/>
    <w:link w:val="BodyChar"/>
    <w:rsid w:val="009E0E11"/>
    <w:rPr>
      <w:rFonts w:ascii="Times" w:hAnsi="Times"/>
      <w:color w:val="000000"/>
      <w:sz w:val="22"/>
      <w:szCs w:val="22"/>
      <w:lang w:eastAsia="en-US"/>
    </w:rPr>
  </w:style>
  <w:style w:type="paragraph" w:customStyle="1" w:styleId="TableCaption">
    <w:name w:val="Table.Caption"/>
    <w:rsid w:val="009E0E11"/>
    <w:pPr>
      <w:spacing w:after="120"/>
      <w:jc w:val="both"/>
    </w:pPr>
    <w:rPr>
      <w:rFonts w:ascii="Times" w:hAnsi="Times"/>
      <w:color w:val="000000"/>
      <w:sz w:val="22"/>
      <w:szCs w:val="22"/>
      <w:lang w:eastAsia="en-US"/>
    </w:rPr>
  </w:style>
  <w:style w:type="paragraph" w:customStyle="1" w:styleId="subsection0">
    <w:name w:val="subsection"/>
    <w:rsid w:val="00EF1772"/>
    <w:pPr>
      <w:numPr>
        <w:ilvl w:val="1"/>
        <w:numId w:val="5"/>
      </w:numPr>
      <w:tabs>
        <w:tab w:val="left" w:pos="567"/>
      </w:tabs>
      <w:spacing w:before="240"/>
    </w:pPr>
    <w:rPr>
      <w:rFonts w:ascii="Times" w:hAnsi="Times"/>
      <w:i/>
      <w:iCs/>
      <w:color w:val="000000"/>
      <w:sz w:val="22"/>
      <w:szCs w:val="22"/>
      <w:lang w:val="en-US" w:eastAsia="en-US"/>
    </w:rPr>
  </w:style>
  <w:style w:type="paragraph" w:customStyle="1" w:styleId="section0">
    <w:name w:val="section"/>
    <w:autoRedefine/>
    <w:rsid w:val="00EF1772"/>
    <w:pPr>
      <w:numPr>
        <w:numId w:val="5"/>
      </w:numPr>
      <w:tabs>
        <w:tab w:val="left" w:pos="567"/>
      </w:tabs>
      <w:spacing w:before="240"/>
    </w:pPr>
    <w:rPr>
      <w:rFonts w:ascii="Times" w:hAnsi="Times"/>
      <w:b/>
      <w:color w:val="000000"/>
      <w:sz w:val="22"/>
      <w:szCs w:val="22"/>
      <w:lang w:eastAsia="en-US"/>
    </w:rPr>
  </w:style>
  <w:style w:type="paragraph" w:customStyle="1" w:styleId="subsubsection0">
    <w:name w:val="subsubsection"/>
    <w:link w:val="subsubsectionChar0"/>
    <w:autoRedefine/>
    <w:rsid w:val="00EF1772"/>
    <w:pPr>
      <w:numPr>
        <w:ilvl w:val="2"/>
        <w:numId w:val="5"/>
      </w:numPr>
      <w:tabs>
        <w:tab w:val="left" w:pos="567"/>
      </w:tabs>
      <w:spacing w:before="240"/>
      <w:ind w:left="0" w:firstLine="0"/>
      <w:jc w:val="both"/>
    </w:pPr>
    <w:rPr>
      <w:rFonts w:ascii="Times" w:hAnsi="Times"/>
      <w:i/>
      <w:iCs/>
      <w:color w:val="000000"/>
      <w:sz w:val="22"/>
      <w:szCs w:val="22"/>
      <w:lang w:val="en-US" w:eastAsia="en-US"/>
    </w:rPr>
  </w:style>
  <w:style w:type="paragraph" w:customStyle="1" w:styleId="TableCaptionCentred">
    <w:name w:val="Table.Caption.Centred"/>
    <w:basedOn w:val="TableCaption"/>
    <w:autoRedefine/>
    <w:rsid w:val="00EF1772"/>
    <w:pPr>
      <w:jc w:val="center"/>
    </w:pPr>
  </w:style>
  <w:style w:type="character" w:customStyle="1" w:styleId="subsubsectionChar0">
    <w:name w:val="subsubsection Char"/>
    <w:link w:val="subsubsection0"/>
    <w:rsid w:val="00EF1772"/>
    <w:rPr>
      <w:rFonts w:ascii="Times" w:hAnsi="Times"/>
      <w:i/>
      <w:iCs/>
      <w:color w:val="000000"/>
      <w:sz w:val="22"/>
      <w:szCs w:val="22"/>
      <w:lang w:val="en-US" w:eastAsia="en-US"/>
    </w:rPr>
  </w:style>
  <w:style w:type="paragraph" w:customStyle="1" w:styleId="AMDisplayEquation">
    <w:name w:val="AMDisplayEquation"/>
    <w:basedOn w:val="Bodytext"/>
    <w:next w:val="Normal"/>
    <w:link w:val="AMDisplayEquationChar"/>
    <w:rsid w:val="00CD3319"/>
    <w:pPr>
      <w:tabs>
        <w:tab w:val="center" w:pos="4540"/>
        <w:tab w:val="right" w:pos="9080"/>
      </w:tabs>
    </w:pPr>
  </w:style>
  <w:style w:type="character" w:customStyle="1" w:styleId="BodytextChar">
    <w:name w:val="Bodytext Char"/>
    <w:basedOn w:val="DefaultParagraphFont"/>
    <w:link w:val="Bodytext"/>
    <w:rsid w:val="00CD3319"/>
    <w:rPr>
      <w:rFonts w:ascii="Times" w:hAnsi="Times"/>
      <w:iCs/>
      <w:color w:val="000000"/>
      <w:sz w:val="22"/>
      <w:szCs w:val="22"/>
      <w:lang w:val="en-US" w:eastAsia="en-US"/>
    </w:rPr>
  </w:style>
  <w:style w:type="character" w:customStyle="1" w:styleId="AMDisplayEquationChar">
    <w:name w:val="AMDisplayEquation Char"/>
    <w:basedOn w:val="BodytextChar"/>
    <w:link w:val="AMDisplayEquation"/>
    <w:rsid w:val="00CD3319"/>
    <w:rPr>
      <w:rFonts w:ascii="Times" w:hAnsi="Times"/>
      <w:iCs/>
      <w:color w:val="000000"/>
      <w:sz w:val="22"/>
      <w:szCs w:val="22"/>
      <w:lang w:val="en-US" w:eastAsia="en-US"/>
    </w:rPr>
  </w:style>
  <w:style w:type="table" w:styleId="TableGrid">
    <w:name w:val="Table Grid"/>
    <w:basedOn w:val="TableNormal"/>
    <w:uiPriority w:val="39"/>
    <w:rsid w:val="00F169D7"/>
    <w:rPr>
      <w:rFonts w:asciiTheme="minorHAnsi" w:eastAsiaTheme="minorHAnsi" w:hAnsiTheme="minorHAnsi" w:cstheme="minorBidi"/>
      <w:sz w:val="22"/>
      <w:szCs w:val="22"/>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4D0"/>
    <w:rPr>
      <w:color w:val="0000FF" w:themeColor="hyperlink"/>
      <w:u w:val="single"/>
    </w:rPr>
  </w:style>
  <w:style w:type="character" w:styleId="UnresolvedMention">
    <w:name w:val="Unresolved Mention"/>
    <w:basedOn w:val="DefaultParagraphFont"/>
    <w:uiPriority w:val="99"/>
    <w:semiHidden/>
    <w:unhideWhenUsed/>
    <w:rsid w:val="00DF1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23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hriman@unimap.edu.my" TargetMode="Externa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image" Target="media/image10.wmf"/><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1.png"/><Relationship Id="rId19" Type="http://schemas.openxmlformats.org/officeDocument/2006/relationships/image" Target="media/image6.wmf"/><Relationship Id="rId31" Type="http://schemas.openxmlformats.org/officeDocument/2006/relationships/oleObject" Target="embeddings/oleObject10.bin"/><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mailto:annapoorni.pranesh@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F937FE-1553-4934-9B7E-B524386E93D6}">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C091-F326-4E50-985E-64F25D6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JPCSA4Template.dot</Template>
  <TotalTime>5360</TotalTime>
  <Pages>8</Pages>
  <Words>3015</Words>
  <Characters>17192</Characters>
  <Application>Microsoft Office Word</Application>
  <DocSecurity>0</DocSecurity>
  <Lines>143</Lines>
  <Paragraphs>40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Open Access proceedings Journal of Physics: Conference series</vt:lpstr>
      <vt:lpstr>    Incoming Inspection Case study</vt:lpstr>
      <vt:lpstr>    Finite State Machine Decomposition</vt:lpstr>
      <vt:lpstr>    Markov Process / Markov chain for incoming Inspection</vt:lpstr>
      <vt:lpstr>    Transition Matrix</vt:lpstr>
      <vt:lpstr>    Probability of the raw material being accepted or rejected at each inspection st</vt:lpstr>
    </vt:vector>
  </TitlesOfParts>
  <Company>IOP Publishing</Company>
  <LinksUpToDate>false</LinksUpToDate>
  <CharactersWithSpaces>20167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ANNAPOORNI MANI</cp:lastModifiedBy>
  <cp:revision>52</cp:revision>
  <cp:lastPrinted>2005-02-25T09:52:00Z</cp:lastPrinted>
  <dcterms:created xsi:type="dcterms:W3CDTF">2021-04-24T14:52:00Z</dcterms:created>
  <dcterms:modified xsi:type="dcterms:W3CDTF">2021-07-15T03:06:00Z</dcterms:modified>
</cp:coreProperties>
</file>