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0F370" w14:textId="43F6B02A" w:rsidR="00014F4A" w:rsidRPr="00947350" w:rsidRDefault="00227823">
      <w:r>
        <w:rPr>
          <w:lang w:val="pt-PT"/>
        </w:rPr>
        <w:t xml:space="preserve">TFG </w:t>
      </w:r>
      <w:r>
        <w:t xml:space="preserve">– </w:t>
      </w:r>
      <w:r>
        <w:rPr>
          <w:lang w:val="de-DE"/>
        </w:rPr>
        <w:t>Dise</w:t>
      </w:r>
      <w:proofErr w:type="spellStart"/>
      <w:r>
        <w:rPr>
          <w:lang w:val="es-ES_tradnl"/>
        </w:rPr>
        <w:t>ño</w:t>
      </w:r>
      <w:proofErr w:type="spellEnd"/>
      <w:r>
        <w:rPr>
          <w:lang w:val="es-ES_tradnl"/>
        </w:rPr>
        <w:t xml:space="preserve"> de un estudio: Influencia del L-PRF en la morbilidad del paciente post exodoncia</w:t>
      </w:r>
      <w:r>
        <w:t xml:space="preserve"> </w:t>
      </w:r>
      <w:r w:rsidR="00014F4A">
        <w:br w:type="page"/>
      </w:r>
    </w:p>
    <w:sdt>
      <w:sdtPr>
        <w:rPr>
          <w:rFonts w:asciiTheme="minorHAnsi" w:eastAsiaTheme="minorHAnsi" w:hAnsiTheme="minorHAnsi" w:cstheme="minorBidi"/>
          <w:color w:val="auto"/>
          <w:sz w:val="22"/>
          <w:szCs w:val="22"/>
          <w:lang w:eastAsia="en-US"/>
        </w:rPr>
        <w:id w:val="11038476"/>
        <w:docPartObj>
          <w:docPartGallery w:val="Table of Contents"/>
          <w:docPartUnique/>
        </w:docPartObj>
      </w:sdtPr>
      <w:sdtEndPr>
        <w:rPr>
          <w:b/>
          <w:bCs/>
        </w:rPr>
      </w:sdtEndPr>
      <w:sdtContent>
        <w:p w14:paraId="64756316" w14:textId="46004D3C" w:rsidR="00947350" w:rsidRPr="00547CA7" w:rsidRDefault="00947350" w:rsidP="00947350">
          <w:pPr>
            <w:pStyle w:val="TtuloTDC"/>
            <w:spacing w:after="240" w:line="360" w:lineRule="auto"/>
            <w:rPr>
              <w:color w:val="auto"/>
            </w:rPr>
          </w:pPr>
          <w:r w:rsidRPr="00547CA7">
            <w:rPr>
              <w:color w:val="auto"/>
            </w:rPr>
            <w:t>Índice</w:t>
          </w:r>
        </w:p>
        <w:p w14:paraId="43B0B48D" w14:textId="5E8FACDA" w:rsidR="008C4E97" w:rsidRDefault="00947350" w:rsidP="002C0D97">
          <w:pPr>
            <w:pStyle w:val="TDC1"/>
            <w:jc w:val="both"/>
            <w:rPr>
              <w:rFonts w:eastAsiaTheme="minorEastAsia"/>
              <w:noProof/>
              <w:lang w:eastAsia="es-ES"/>
            </w:rPr>
          </w:pPr>
          <w:r>
            <w:fldChar w:fldCharType="begin"/>
          </w:r>
          <w:r>
            <w:instrText xml:space="preserve"> TOC \o "1-3" \h \z \u </w:instrText>
          </w:r>
          <w:r>
            <w:fldChar w:fldCharType="separate"/>
          </w:r>
          <w:hyperlink w:anchor="_Toc58061709" w:history="1">
            <w:r w:rsidR="008C4E97" w:rsidRPr="0003236A">
              <w:rPr>
                <w:rStyle w:val="Hipervnculo"/>
                <w:noProof/>
              </w:rPr>
              <w:t>Introducción</w:t>
            </w:r>
            <w:r w:rsidR="008C4E97">
              <w:rPr>
                <w:noProof/>
                <w:webHidden/>
              </w:rPr>
              <w:tab/>
            </w:r>
            <w:r w:rsidR="008C4E97">
              <w:rPr>
                <w:noProof/>
                <w:webHidden/>
              </w:rPr>
              <w:fldChar w:fldCharType="begin"/>
            </w:r>
            <w:r w:rsidR="008C4E97">
              <w:rPr>
                <w:noProof/>
                <w:webHidden/>
              </w:rPr>
              <w:instrText xml:space="preserve"> PAGEREF _Toc58061709 \h </w:instrText>
            </w:r>
            <w:r w:rsidR="008C4E97">
              <w:rPr>
                <w:noProof/>
                <w:webHidden/>
              </w:rPr>
            </w:r>
            <w:r w:rsidR="008C4E97">
              <w:rPr>
                <w:noProof/>
                <w:webHidden/>
              </w:rPr>
              <w:fldChar w:fldCharType="separate"/>
            </w:r>
            <w:r w:rsidR="002C0D97">
              <w:rPr>
                <w:noProof/>
                <w:webHidden/>
              </w:rPr>
              <w:t>3</w:t>
            </w:r>
            <w:r w:rsidR="008C4E97">
              <w:rPr>
                <w:noProof/>
                <w:webHidden/>
              </w:rPr>
              <w:fldChar w:fldCharType="end"/>
            </w:r>
          </w:hyperlink>
        </w:p>
        <w:p w14:paraId="6D0B5ADD" w14:textId="60B82399" w:rsidR="008C4E97" w:rsidRDefault="008C4E97" w:rsidP="002C0D97">
          <w:pPr>
            <w:pStyle w:val="TDC2"/>
            <w:tabs>
              <w:tab w:val="right" w:leader="dot" w:pos="8494"/>
            </w:tabs>
            <w:spacing w:line="360" w:lineRule="auto"/>
            <w:jc w:val="both"/>
            <w:rPr>
              <w:rFonts w:eastAsiaTheme="minorEastAsia"/>
              <w:noProof/>
              <w:lang w:eastAsia="es-ES"/>
            </w:rPr>
          </w:pPr>
          <w:hyperlink w:anchor="_Toc58061710" w:history="1">
            <w:r w:rsidRPr="0003236A">
              <w:rPr>
                <w:rStyle w:val="Hipervnculo"/>
                <w:noProof/>
              </w:rPr>
              <w:t>Fase inflamatoria</w:t>
            </w:r>
            <w:r>
              <w:rPr>
                <w:noProof/>
                <w:webHidden/>
              </w:rPr>
              <w:tab/>
            </w:r>
            <w:r>
              <w:rPr>
                <w:noProof/>
                <w:webHidden/>
              </w:rPr>
              <w:fldChar w:fldCharType="begin"/>
            </w:r>
            <w:r>
              <w:rPr>
                <w:noProof/>
                <w:webHidden/>
              </w:rPr>
              <w:instrText xml:space="preserve"> PAGEREF _Toc58061710 \h </w:instrText>
            </w:r>
            <w:r>
              <w:rPr>
                <w:noProof/>
                <w:webHidden/>
              </w:rPr>
            </w:r>
            <w:r>
              <w:rPr>
                <w:noProof/>
                <w:webHidden/>
              </w:rPr>
              <w:fldChar w:fldCharType="separate"/>
            </w:r>
            <w:r w:rsidR="002C0D97">
              <w:rPr>
                <w:noProof/>
                <w:webHidden/>
              </w:rPr>
              <w:t>3</w:t>
            </w:r>
            <w:r>
              <w:rPr>
                <w:noProof/>
                <w:webHidden/>
              </w:rPr>
              <w:fldChar w:fldCharType="end"/>
            </w:r>
          </w:hyperlink>
        </w:p>
        <w:p w14:paraId="67A9C1B9" w14:textId="499FFDE9" w:rsidR="008C4E97" w:rsidRDefault="008C4E97" w:rsidP="002C0D97">
          <w:pPr>
            <w:pStyle w:val="TDC2"/>
            <w:tabs>
              <w:tab w:val="right" w:leader="dot" w:pos="8494"/>
            </w:tabs>
            <w:spacing w:line="360" w:lineRule="auto"/>
            <w:jc w:val="both"/>
            <w:rPr>
              <w:rFonts w:eastAsiaTheme="minorEastAsia"/>
              <w:noProof/>
              <w:lang w:eastAsia="es-ES"/>
            </w:rPr>
          </w:pPr>
          <w:hyperlink w:anchor="_Toc58061711" w:history="1">
            <w:r w:rsidRPr="0003236A">
              <w:rPr>
                <w:rStyle w:val="Hipervnculo"/>
                <w:noProof/>
              </w:rPr>
              <w:t>Fase proliferativa</w:t>
            </w:r>
            <w:r>
              <w:rPr>
                <w:noProof/>
                <w:webHidden/>
              </w:rPr>
              <w:tab/>
            </w:r>
            <w:r>
              <w:rPr>
                <w:noProof/>
                <w:webHidden/>
              </w:rPr>
              <w:fldChar w:fldCharType="begin"/>
            </w:r>
            <w:r>
              <w:rPr>
                <w:noProof/>
                <w:webHidden/>
              </w:rPr>
              <w:instrText xml:space="preserve"> PAGEREF _Toc58061711 \h </w:instrText>
            </w:r>
            <w:r>
              <w:rPr>
                <w:noProof/>
                <w:webHidden/>
              </w:rPr>
            </w:r>
            <w:r>
              <w:rPr>
                <w:noProof/>
                <w:webHidden/>
              </w:rPr>
              <w:fldChar w:fldCharType="separate"/>
            </w:r>
            <w:r w:rsidR="002C0D97">
              <w:rPr>
                <w:noProof/>
                <w:webHidden/>
              </w:rPr>
              <w:t>4</w:t>
            </w:r>
            <w:r>
              <w:rPr>
                <w:noProof/>
                <w:webHidden/>
              </w:rPr>
              <w:fldChar w:fldCharType="end"/>
            </w:r>
          </w:hyperlink>
        </w:p>
        <w:p w14:paraId="7679D6B5" w14:textId="419963FD" w:rsidR="008C4E97" w:rsidRDefault="008C4E97" w:rsidP="002C0D97">
          <w:pPr>
            <w:pStyle w:val="TDC2"/>
            <w:tabs>
              <w:tab w:val="right" w:leader="dot" w:pos="8494"/>
            </w:tabs>
            <w:spacing w:line="360" w:lineRule="auto"/>
            <w:jc w:val="both"/>
            <w:rPr>
              <w:rFonts w:eastAsiaTheme="minorEastAsia"/>
              <w:noProof/>
              <w:lang w:eastAsia="es-ES"/>
            </w:rPr>
          </w:pPr>
          <w:hyperlink w:anchor="_Toc58061712" w:history="1">
            <w:r w:rsidRPr="0003236A">
              <w:rPr>
                <w:rStyle w:val="Hipervnculo"/>
                <w:noProof/>
              </w:rPr>
              <w:t>Fase modeladora y remodeladora del hueso</w:t>
            </w:r>
            <w:r>
              <w:rPr>
                <w:noProof/>
                <w:webHidden/>
              </w:rPr>
              <w:tab/>
            </w:r>
            <w:r>
              <w:rPr>
                <w:noProof/>
                <w:webHidden/>
              </w:rPr>
              <w:fldChar w:fldCharType="begin"/>
            </w:r>
            <w:r>
              <w:rPr>
                <w:noProof/>
                <w:webHidden/>
              </w:rPr>
              <w:instrText xml:space="preserve"> PAGEREF _Toc58061712 \h </w:instrText>
            </w:r>
            <w:r>
              <w:rPr>
                <w:noProof/>
                <w:webHidden/>
              </w:rPr>
            </w:r>
            <w:r>
              <w:rPr>
                <w:noProof/>
                <w:webHidden/>
              </w:rPr>
              <w:fldChar w:fldCharType="separate"/>
            </w:r>
            <w:r w:rsidR="002C0D97">
              <w:rPr>
                <w:noProof/>
                <w:webHidden/>
              </w:rPr>
              <w:t>4</w:t>
            </w:r>
            <w:r>
              <w:rPr>
                <w:noProof/>
                <w:webHidden/>
              </w:rPr>
              <w:fldChar w:fldCharType="end"/>
            </w:r>
          </w:hyperlink>
        </w:p>
        <w:p w14:paraId="3B2ECB4D" w14:textId="1F632855" w:rsidR="008C4E97" w:rsidRDefault="008C4E97" w:rsidP="002C0D97">
          <w:pPr>
            <w:pStyle w:val="TDC1"/>
            <w:jc w:val="both"/>
            <w:rPr>
              <w:rFonts w:eastAsiaTheme="minorEastAsia"/>
              <w:noProof/>
              <w:lang w:eastAsia="es-ES"/>
            </w:rPr>
          </w:pPr>
          <w:hyperlink w:anchor="_Toc58061713" w:history="1">
            <w:r w:rsidRPr="0003236A">
              <w:rPr>
                <w:rStyle w:val="Hipervnculo"/>
                <w:noProof/>
              </w:rPr>
              <w:t>Objetivos</w:t>
            </w:r>
            <w:r>
              <w:rPr>
                <w:noProof/>
                <w:webHidden/>
              </w:rPr>
              <w:tab/>
            </w:r>
            <w:r>
              <w:rPr>
                <w:noProof/>
                <w:webHidden/>
              </w:rPr>
              <w:fldChar w:fldCharType="begin"/>
            </w:r>
            <w:r>
              <w:rPr>
                <w:noProof/>
                <w:webHidden/>
              </w:rPr>
              <w:instrText xml:space="preserve"> PAGEREF _Toc58061713 \h </w:instrText>
            </w:r>
            <w:r>
              <w:rPr>
                <w:noProof/>
                <w:webHidden/>
              </w:rPr>
            </w:r>
            <w:r>
              <w:rPr>
                <w:noProof/>
                <w:webHidden/>
              </w:rPr>
              <w:fldChar w:fldCharType="separate"/>
            </w:r>
            <w:r w:rsidR="002C0D97">
              <w:rPr>
                <w:noProof/>
                <w:webHidden/>
              </w:rPr>
              <w:t>13</w:t>
            </w:r>
            <w:r>
              <w:rPr>
                <w:noProof/>
                <w:webHidden/>
              </w:rPr>
              <w:fldChar w:fldCharType="end"/>
            </w:r>
          </w:hyperlink>
        </w:p>
        <w:p w14:paraId="0D3A1208" w14:textId="6F2900E3" w:rsidR="008C4E97" w:rsidRDefault="008C4E97" w:rsidP="002C0D97">
          <w:pPr>
            <w:pStyle w:val="TDC1"/>
            <w:jc w:val="both"/>
            <w:rPr>
              <w:rFonts w:eastAsiaTheme="minorEastAsia"/>
              <w:noProof/>
              <w:lang w:eastAsia="es-ES"/>
            </w:rPr>
          </w:pPr>
          <w:hyperlink w:anchor="_Toc58061714" w:history="1">
            <w:r w:rsidRPr="0003236A">
              <w:rPr>
                <w:rStyle w:val="Hipervnculo"/>
                <w:noProof/>
              </w:rPr>
              <w:t>Hipótesis</w:t>
            </w:r>
            <w:r>
              <w:rPr>
                <w:noProof/>
                <w:webHidden/>
              </w:rPr>
              <w:tab/>
            </w:r>
            <w:r>
              <w:rPr>
                <w:noProof/>
                <w:webHidden/>
              </w:rPr>
              <w:fldChar w:fldCharType="begin"/>
            </w:r>
            <w:r>
              <w:rPr>
                <w:noProof/>
                <w:webHidden/>
              </w:rPr>
              <w:instrText xml:space="preserve"> PAGEREF _Toc58061714 \h </w:instrText>
            </w:r>
            <w:r>
              <w:rPr>
                <w:noProof/>
                <w:webHidden/>
              </w:rPr>
            </w:r>
            <w:r>
              <w:rPr>
                <w:noProof/>
                <w:webHidden/>
              </w:rPr>
              <w:fldChar w:fldCharType="separate"/>
            </w:r>
            <w:r w:rsidR="002C0D97">
              <w:rPr>
                <w:noProof/>
                <w:webHidden/>
              </w:rPr>
              <w:t>14</w:t>
            </w:r>
            <w:r>
              <w:rPr>
                <w:noProof/>
                <w:webHidden/>
              </w:rPr>
              <w:fldChar w:fldCharType="end"/>
            </w:r>
          </w:hyperlink>
        </w:p>
        <w:p w14:paraId="07D27435" w14:textId="7F8E621D" w:rsidR="008C4E97" w:rsidRDefault="008C4E97" w:rsidP="002C0D97">
          <w:pPr>
            <w:pStyle w:val="TDC1"/>
            <w:jc w:val="both"/>
            <w:rPr>
              <w:rFonts w:eastAsiaTheme="minorEastAsia"/>
              <w:noProof/>
              <w:lang w:eastAsia="es-ES"/>
            </w:rPr>
          </w:pPr>
          <w:hyperlink w:anchor="_Toc58061715" w:history="1">
            <w:r w:rsidRPr="0003236A">
              <w:rPr>
                <w:rStyle w:val="Hipervnculo"/>
                <w:noProof/>
              </w:rPr>
              <w:t>Materiales y métodos</w:t>
            </w:r>
            <w:r>
              <w:rPr>
                <w:noProof/>
                <w:webHidden/>
              </w:rPr>
              <w:tab/>
            </w:r>
            <w:r>
              <w:rPr>
                <w:noProof/>
                <w:webHidden/>
              </w:rPr>
              <w:fldChar w:fldCharType="begin"/>
            </w:r>
            <w:r>
              <w:rPr>
                <w:noProof/>
                <w:webHidden/>
              </w:rPr>
              <w:instrText xml:space="preserve"> PAGEREF _Toc58061715 \h </w:instrText>
            </w:r>
            <w:r>
              <w:rPr>
                <w:noProof/>
                <w:webHidden/>
              </w:rPr>
            </w:r>
            <w:r>
              <w:rPr>
                <w:noProof/>
                <w:webHidden/>
              </w:rPr>
              <w:fldChar w:fldCharType="separate"/>
            </w:r>
            <w:r w:rsidR="002C0D97">
              <w:rPr>
                <w:noProof/>
                <w:webHidden/>
              </w:rPr>
              <w:t>15</w:t>
            </w:r>
            <w:r>
              <w:rPr>
                <w:noProof/>
                <w:webHidden/>
              </w:rPr>
              <w:fldChar w:fldCharType="end"/>
            </w:r>
          </w:hyperlink>
        </w:p>
        <w:p w14:paraId="2FC0CAAE" w14:textId="63DF4EAF" w:rsidR="008C4E97" w:rsidRDefault="008C4E97" w:rsidP="002C0D97">
          <w:pPr>
            <w:pStyle w:val="TDC1"/>
            <w:jc w:val="both"/>
            <w:rPr>
              <w:rFonts w:eastAsiaTheme="minorEastAsia"/>
              <w:noProof/>
              <w:lang w:eastAsia="es-ES"/>
            </w:rPr>
          </w:pPr>
          <w:hyperlink w:anchor="_Toc58061716" w:history="1">
            <w:r w:rsidRPr="0003236A">
              <w:rPr>
                <w:rStyle w:val="Hipervnculo"/>
                <w:noProof/>
              </w:rPr>
              <w:t>Referencias bibliográficas</w:t>
            </w:r>
            <w:r>
              <w:rPr>
                <w:noProof/>
                <w:webHidden/>
              </w:rPr>
              <w:tab/>
            </w:r>
            <w:r>
              <w:rPr>
                <w:noProof/>
                <w:webHidden/>
              </w:rPr>
              <w:fldChar w:fldCharType="begin"/>
            </w:r>
            <w:r>
              <w:rPr>
                <w:noProof/>
                <w:webHidden/>
              </w:rPr>
              <w:instrText xml:space="preserve"> PAGEREF _Toc58061716 \h </w:instrText>
            </w:r>
            <w:r>
              <w:rPr>
                <w:noProof/>
                <w:webHidden/>
              </w:rPr>
            </w:r>
            <w:r>
              <w:rPr>
                <w:noProof/>
                <w:webHidden/>
              </w:rPr>
              <w:fldChar w:fldCharType="separate"/>
            </w:r>
            <w:r w:rsidR="002C0D97">
              <w:rPr>
                <w:noProof/>
                <w:webHidden/>
              </w:rPr>
              <w:t>16</w:t>
            </w:r>
            <w:r>
              <w:rPr>
                <w:noProof/>
                <w:webHidden/>
              </w:rPr>
              <w:fldChar w:fldCharType="end"/>
            </w:r>
          </w:hyperlink>
        </w:p>
        <w:p w14:paraId="06673736" w14:textId="122C3C3F" w:rsidR="00947350" w:rsidRDefault="00947350">
          <w:r>
            <w:rPr>
              <w:b/>
              <w:bCs/>
            </w:rPr>
            <w:fldChar w:fldCharType="end"/>
          </w:r>
        </w:p>
      </w:sdtContent>
    </w:sdt>
    <w:p w14:paraId="53B4EBB7" w14:textId="5103408A" w:rsidR="00947350" w:rsidRDefault="00947350">
      <w:pPr>
        <w:rPr>
          <w:rFonts w:asciiTheme="majorHAnsi" w:eastAsiaTheme="majorEastAsia" w:hAnsiTheme="majorHAnsi" w:cstheme="majorBidi"/>
          <w:sz w:val="32"/>
          <w:szCs w:val="32"/>
        </w:rPr>
      </w:pPr>
      <w:r>
        <w:br w:type="page"/>
      </w:r>
    </w:p>
    <w:p w14:paraId="0BFFE3A1" w14:textId="28DD7A98" w:rsidR="00844198" w:rsidRPr="00B73344" w:rsidRDefault="00844198" w:rsidP="00B73344">
      <w:pPr>
        <w:pStyle w:val="Ttulo1"/>
        <w:spacing w:after="240" w:line="360" w:lineRule="auto"/>
        <w:rPr>
          <w:color w:val="auto"/>
        </w:rPr>
      </w:pPr>
      <w:bookmarkStart w:id="0" w:name="_Toc58061709"/>
      <w:r w:rsidRPr="00B73344">
        <w:rPr>
          <w:color w:val="auto"/>
        </w:rPr>
        <w:lastRenderedPageBreak/>
        <w:t>Introducción</w:t>
      </w:r>
      <w:bookmarkEnd w:id="0"/>
    </w:p>
    <w:p w14:paraId="4D6D56E9" w14:textId="156FCE77" w:rsidR="00FB38F7" w:rsidRPr="00FB5BBD" w:rsidRDefault="00227823" w:rsidP="00F25179">
      <w:pPr>
        <w:spacing w:line="360" w:lineRule="auto"/>
        <w:jc w:val="both"/>
        <w:rPr>
          <w:sz w:val="24"/>
          <w:szCs w:val="24"/>
        </w:rPr>
      </w:pPr>
      <w:r w:rsidRPr="00227823">
        <w:rPr>
          <w:sz w:val="24"/>
          <w:szCs w:val="24"/>
          <w:lang w:val="pt-PT"/>
        </w:rPr>
        <w:t xml:space="preserve">A día de hoy en las clínicas dentales se realizan extracciones dentales a diario como práctica común. Hay muchos motivos por el que una pieza deba ser extraída; caries, enfermedad periodontal, fracturas, colocación de implantes, etc. Para poder realizar una buena rehabilitación posterior a la extracción se espera que se promueva la formación de la cresta alveolar con un volumen suficiente tanto de tejido blando como de tejido duro </w:t>
      </w:r>
      <w:r w:rsidR="00FB38F7" w:rsidRPr="00FB5BBD">
        <w:rPr>
          <w:sz w:val="24"/>
          <w:szCs w:val="24"/>
        </w:rPr>
        <w:fldChar w:fldCharType="begin" w:fldLock="1"/>
      </w:r>
      <w:r w:rsidR="008B47F4"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FB38F7" w:rsidRPr="00FB5BBD">
        <w:rPr>
          <w:sz w:val="24"/>
          <w:szCs w:val="24"/>
        </w:rPr>
        <w:fldChar w:fldCharType="separate"/>
      </w:r>
      <w:r w:rsidR="00FB38F7" w:rsidRPr="00FB5BBD">
        <w:rPr>
          <w:noProof/>
          <w:sz w:val="24"/>
          <w:szCs w:val="24"/>
        </w:rPr>
        <w:t>(1)</w:t>
      </w:r>
      <w:r w:rsidR="00FB38F7" w:rsidRPr="00FB5BBD">
        <w:rPr>
          <w:sz w:val="24"/>
          <w:szCs w:val="24"/>
        </w:rPr>
        <w:fldChar w:fldCharType="end"/>
      </w:r>
      <w:r w:rsidR="00FB38F7" w:rsidRPr="00FB5BBD">
        <w:rPr>
          <w:sz w:val="24"/>
          <w:szCs w:val="24"/>
        </w:rPr>
        <w:t>.</w:t>
      </w:r>
    </w:p>
    <w:p w14:paraId="50DD9C00" w14:textId="08BD4CDD" w:rsidR="00036367" w:rsidRPr="00FB5BBD" w:rsidRDefault="00227823" w:rsidP="00C93B4C">
      <w:pPr>
        <w:spacing w:line="360" w:lineRule="auto"/>
        <w:jc w:val="both"/>
        <w:rPr>
          <w:sz w:val="24"/>
          <w:szCs w:val="24"/>
        </w:rPr>
      </w:pPr>
      <w:r w:rsidRPr="00227823">
        <w:rPr>
          <w:sz w:val="24"/>
          <w:szCs w:val="24"/>
          <w:lang w:val="es-ES_tradnl"/>
        </w:rPr>
        <w:t xml:space="preserve">Cuando realizamos una extracción dental se producen ciertos cambios a nivel clínico e histológico en el proceso alveolar, si bien normalmente es un procedimiento que no conlleva muchos problemas, en ciertos casos puede haber complicaciones.  Puede haber desde síntomas localizados como dolor, secreción de exudado, mal olor, o inflamación, hasta osteítis alveolar, inflamación o infección aguda del alveolo </w:t>
      </w:r>
      <w:r w:rsidR="00AA3330" w:rsidRPr="00FB5BBD">
        <w:rPr>
          <w:sz w:val="24"/>
          <w:szCs w:val="24"/>
        </w:rPr>
        <w:fldChar w:fldCharType="begin" w:fldLock="1"/>
      </w:r>
      <w:r w:rsidR="00AA3330"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AA3330" w:rsidRPr="00FB5BBD">
        <w:rPr>
          <w:sz w:val="24"/>
          <w:szCs w:val="24"/>
        </w:rPr>
        <w:fldChar w:fldCharType="separate"/>
      </w:r>
      <w:r w:rsidR="00AA3330" w:rsidRPr="00FB5BBD">
        <w:rPr>
          <w:noProof/>
          <w:sz w:val="24"/>
          <w:szCs w:val="24"/>
        </w:rPr>
        <w:t>(1)</w:t>
      </w:r>
      <w:r w:rsidR="00AA3330" w:rsidRPr="00FB5BBD">
        <w:rPr>
          <w:sz w:val="24"/>
          <w:szCs w:val="24"/>
        </w:rPr>
        <w:fldChar w:fldCharType="end"/>
      </w:r>
      <w:r w:rsidR="00B91909"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B91909" w:rsidRPr="00FB5BBD">
        <w:rPr>
          <w:sz w:val="24"/>
          <w:szCs w:val="24"/>
        </w:rPr>
        <w:fldChar w:fldCharType="separate"/>
      </w:r>
      <w:r w:rsidR="00B91909" w:rsidRPr="00FB5BBD">
        <w:rPr>
          <w:noProof/>
          <w:sz w:val="24"/>
          <w:szCs w:val="24"/>
        </w:rPr>
        <w:t>(2)</w:t>
      </w:r>
      <w:r w:rsidR="00B91909"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B91909" w:rsidRPr="00FB5BBD">
        <w:rPr>
          <w:sz w:val="24"/>
          <w:szCs w:val="24"/>
        </w:rPr>
        <w:t xml:space="preserve">. </w:t>
      </w:r>
    </w:p>
    <w:p w14:paraId="27E4B53D" w14:textId="51798CA1" w:rsidR="00046E68" w:rsidRPr="00FB5BBD" w:rsidRDefault="00227823" w:rsidP="00384369">
      <w:pPr>
        <w:spacing w:line="360" w:lineRule="auto"/>
        <w:jc w:val="both"/>
        <w:rPr>
          <w:sz w:val="24"/>
          <w:szCs w:val="24"/>
        </w:rPr>
      </w:pPr>
      <w:r w:rsidRPr="00384369">
        <w:rPr>
          <w:sz w:val="24"/>
          <w:szCs w:val="24"/>
        </w:rPr>
        <w:t xml:space="preserve">Pero para entender las complicaciones antes debemos conocer el proceso de cicatrización de un alveolo post extracción. Este proceso va desde el momento de exodoncia del diente hasta el cierre clínico de la entrada del alveolo gracias a un fuerte relleno de tejido blando </w:t>
      </w:r>
      <w:proofErr w:type="spellStart"/>
      <w:r w:rsidRPr="00384369">
        <w:rPr>
          <w:sz w:val="24"/>
          <w:szCs w:val="24"/>
        </w:rPr>
        <w:t>epitelizado</w:t>
      </w:r>
      <w:proofErr w:type="spellEnd"/>
      <w:r w:rsidR="00384369">
        <w:rPr>
          <w:sz w:val="24"/>
          <w:szCs w:val="24"/>
        </w:rPr>
        <w:t xml:space="preserve"> </w:t>
      </w:r>
      <w:r w:rsidRPr="00384369">
        <w:rPr>
          <w:sz w:val="24"/>
          <w:szCs w:val="24"/>
        </w:rPr>
        <w:t>y/o hueso radiográfico</w:t>
      </w:r>
      <w:r w:rsidR="00384369">
        <w:rPr>
          <w:sz w:val="24"/>
          <w:szCs w:val="24"/>
        </w:rPr>
        <w:t xml:space="preserve">. </w:t>
      </w:r>
      <w:r w:rsidRPr="00384369">
        <w:rPr>
          <w:sz w:val="24"/>
          <w:szCs w:val="24"/>
        </w:rPr>
        <w:t>El cierre del alveolo se puede producir entre 10 y 20 semanas, mientras que el relleno óseo se puede observar entre los 3 y 6 primeros meses después de la extracción. El índice de curación del alveolo está condicionado por las diferencias biológicas de cada individuo, el tamaño del alveolo, si es grande o</w:t>
      </w:r>
      <w:r w:rsidRPr="00227823">
        <w:rPr>
          <w:sz w:val="24"/>
          <w:szCs w:val="24"/>
        </w:rPr>
        <w:t xml:space="preserve"> pequeño, y la extensión del trauma quirúrgico recibido durante la extracción </w:t>
      </w:r>
      <w:r w:rsidR="008B47F4" w:rsidRPr="00FB5BBD">
        <w:rPr>
          <w:sz w:val="24"/>
          <w:szCs w:val="24"/>
        </w:rPr>
        <w:fldChar w:fldCharType="begin" w:fldLock="1"/>
      </w:r>
      <w:r w:rsidR="003D5B3A"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8B47F4" w:rsidRPr="00FB5BBD">
        <w:rPr>
          <w:sz w:val="24"/>
          <w:szCs w:val="24"/>
        </w:rPr>
        <w:fldChar w:fldCharType="separate"/>
      </w:r>
      <w:r w:rsidR="008B47F4" w:rsidRPr="00FB5BBD">
        <w:rPr>
          <w:noProof/>
          <w:sz w:val="24"/>
          <w:szCs w:val="24"/>
        </w:rPr>
        <w:t>(1)</w:t>
      </w:r>
      <w:r w:rsidR="008B47F4"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8B47F4" w:rsidRPr="00FB5BBD">
        <w:rPr>
          <w:sz w:val="24"/>
          <w:szCs w:val="24"/>
        </w:rPr>
        <w:t>.</w:t>
      </w:r>
      <w:r w:rsidR="00790039" w:rsidRPr="00FB5BBD">
        <w:rPr>
          <w:sz w:val="24"/>
          <w:szCs w:val="24"/>
        </w:rPr>
        <w:t xml:space="preserve"> </w:t>
      </w:r>
    </w:p>
    <w:p w14:paraId="4EE6FD6D" w14:textId="679DA2F5" w:rsidR="00017309" w:rsidRPr="00FB5BBD" w:rsidRDefault="00017309" w:rsidP="00C93B4C">
      <w:pPr>
        <w:spacing w:line="360" w:lineRule="auto"/>
        <w:jc w:val="both"/>
        <w:rPr>
          <w:sz w:val="24"/>
          <w:szCs w:val="24"/>
        </w:rPr>
      </w:pPr>
      <w:r w:rsidRPr="00FB5BBD">
        <w:rPr>
          <w:sz w:val="24"/>
          <w:szCs w:val="24"/>
        </w:rPr>
        <w:t>El proceso de cicatrización se puede dividir en 3 fases: inflamatoria, proliferativa y modeladora/remodeladora.</w:t>
      </w:r>
    </w:p>
    <w:p w14:paraId="14657109" w14:textId="0E8C51E9" w:rsidR="00017309" w:rsidRPr="00384369" w:rsidRDefault="00017309" w:rsidP="00BC2C84">
      <w:pPr>
        <w:pStyle w:val="Ttulo2"/>
        <w:spacing w:after="240" w:line="360" w:lineRule="auto"/>
        <w:jc w:val="both"/>
        <w:rPr>
          <w:color w:val="auto"/>
        </w:rPr>
      </w:pPr>
      <w:bookmarkStart w:id="1" w:name="_Toc58061710"/>
      <w:r w:rsidRPr="00384369">
        <w:rPr>
          <w:color w:val="auto"/>
        </w:rPr>
        <w:t>Fase inflamatoria</w:t>
      </w:r>
      <w:bookmarkEnd w:id="1"/>
    </w:p>
    <w:p w14:paraId="3837FD6D" w14:textId="4636C1CD" w:rsidR="00017309" w:rsidRPr="00FB5BBD" w:rsidRDefault="001876F9" w:rsidP="00F25179">
      <w:pPr>
        <w:spacing w:line="360" w:lineRule="auto"/>
        <w:jc w:val="both"/>
        <w:rPr>
          <w:sz w:val="24"/>
          <w:szCs w:val="24"/>
        </w:rPr>
      </w:pPr>
      <w:r w:rsidRPr="001876F9">
        <w:rPr>
          <w:sz w:val="24"/>
          <w:szCs w:val="24"/>
        </w:rPr>
        <w:t xml:space="preserve">Esta fase se puede dividir en dos grupos: formación del coagulo sanguíneo y migración de las células inflamatorias. Lo primero que ocurre después de una extracción es una hemorragia dentro del alveolo, donde se formará un coagulo que taponará los vasos cortados y frenará la hemorragia. Este está formado por glóbulos rojos y blancos, y se acompaña de una formación de fibrina. Durante los 2-3 primeros días, grandes </w:t>
      </w:r>
      <w:r w:rsidRPr="001876F9">
        <w:rPr>
          <w:sz w:val="24"/>
          <w:szCs w:val="24"/>
        </w:rPr>
        <w:lastRenderedPageBreak/>
        <w:t xml:space="preserve">cantidades de células inflamatorias se dirigirán a la herida para limpiarla y permitir la formación de nuevo tejido. El tejido de granulación se forma a partir de células inflamatorias, proliferación de nuevos capilares y fibroblastos inmaduros. El tejido de granulación formado se irá remplazando por una matriz de tejido conectivo provisional rica en fibras de colágeno y células, y empezará la fase proliferativa </w:t>
      </w:r>
      <w:r w:rsidR="003D5B3A" w:rsidRPr="00FB5BBD">
        <w:rPr>
          <w:sz w:val="24"/>
          <w:szCs w:val="24"/>
        </w:rPr>
        <w:fldChar w:fldCharType="begin" w:fldLock="1"/>
      </w:r>
      <w:r w:rsidR="007F6259"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5B3A" w:rsidRPr="00FB5BBD">
        <w:rPr>
          <w:sz w:val="24"/>
          <w:szCs w:val="24"/>
        </w:rPr>
        <w:fldChar w:fldCharType="separate"/>
      </w:r>
      <w:r w:rsidR="003D5B3A" w:rsidRPr="00FB5BBD">
        <w:rPr>
          <w:noProof/>
          <w:sz w:val="24"/>
          <w:szCs w:val="24"/>
        </w:rPr>
        <w:t>(1)</w:t>
      </w:r>
      <w:r w:rsidR="003D5B3A" w:rsidRPr="00FB5BBD">
        <w:rPr>
          <w:sz w:val="24"/>
          <w:szCs w:val="24"/>
        </w:rPr>
        <w:fldChar w:fldCharType="end"/>
      </w:r>
      <w:r w:rsidR="00D43E1E"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D43E1E" w:rsidRPr="00FB5BBD">
        <w:rPr>
          <w:sz w:val="24"/>
          <w:szCs w:val="24"/>
        </w:rPr>
        <w:fldChar w:fldCharType="separate"/>
      </w:r>
      <w:r w:rsidR="00D43E1E" w:rsidRPr="00FB5BBD">
        <w:rPr>
          <w:noProof/>
          <w:sz w:val="24"/>
          <w:szCs w:val="24"/>
        </w:rPr>
        <w:t>(2)</w:t>
      </w:r>
      <w:r w:rsidR="00D43E1E"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55001" w:rsidRPr="00FB5BBD">
        <w:rPr>
          <w:sz w:val="24"/>
          <w:szCs w:val="24"/>
        </w:rPr>
        <w:fldChar w:fldCharType="begin" w:fldLock="1"/>
      </w:r>
      <w:r w:rsidR="00617F40" w:rsidRPr="00FB5BBD">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(5)","plainTextFormattedCitation":"(5)","previouslyFormattedCitation":"(5)"},"properties":{"noteIndex":0},"schema":"https://github.com/citation-style-language/schema/raw/master/csl-citation.json"}</w:instrText>
      </w:r>
      <w:r w:rsidR="00055001" w:rsidRPr="00FB5BBD">
        <w:rPr>
          <w:sz w:val="24"/>
          <w:szCs w:val="24"/>
        </w:rPr>
        <w:fldChar w:fldCharType="separate"/>
      </w:r>
      <w:r w:rsidR="00617F40" w:rsidRPr="00FB5BBD">
        <w:rPr>
          <w:noProof/>
          <w:sz w:val="24"/>
          <w:szCs w:val="24"/>
        </w:rPr>
        <w:t>(5)</w:t>
      </w:r>
      <w:r w:rsidR="00055001" w:rsidRPr="00FB5BBD">
        <w:rPr>
          <w:sz w:val="24"/>
          <w:szCs w:val="24"/>
        </w:rPr>
        <w:fldChar w:fldCharType="end"/>
      </w:r>
      <w:r w:rsidR="00001EED" w:rsidRPr="00FB5BBD">
        <w:rPr>
          <w:sz w:val="24"/>
          <w:szCs w:val="24"/>
        </w:rPr>
        <w:fldChar w:fldCharType="begin" w:fldLock="1"/>
      </w:r>
      <w:r w:rsidR="00617F40" w:rsidRPr="00FB5BBD">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(6)","plainTextFormattedCitation":"(6)","previouslyFormattedCitation":"(6)"},"properties":{"noteIndex":0},"schema":"https://github.com/citation-style-language/schema/raw/master/csl-citation.json"}</w:instrText>
      </w:r>
      <w:r w:rsidR="00001EED" w:rsidRPr="00FB5BBD">
        <w:rPr>
          <w:sz w:val="24"/>
          <w:szCs w:val="24"/>
        </w:rPr>
        <w:fldChar w:fldCharType="separate"/>
      </w:r>
      <w:r w:rsidR="00617F40" w:rsidRPr="00FB5BBD">
        <w:rPr>
          <w:noProof/>
          <w:sz w:val="24"/>
          <w:szCs w:val="24"/>
        </w:rPr>
        <w:t>(6)</w:t>
      </w:r>
      <w:r w:rsidR="00001EED" w:rsidRPr="00FB5BBD">
        <w:rPr>
          <w:sz w:val="24"/>
          <w:szCs w:val="24"/>
        </w:rPr>
        <w:fldChar w:fldCharType="end"/>
      </w:r>
      <w:r w:rsidR="00117192" w:rsidRPr="00FB5BBD">
        <w:rPr>
          <w:sz w:val="24"/>
          <w:szCs w:val="24"/>
        </w:rPr>
        <w:fldChar w:fldCharType="begin" w:fldLock="1"/>
      </w:r>
      <w:r w:rsidR="00081241" w:rsidRPr="00FB5BBD">
        <w:rPr>
          <w:sz w:val="24"/>
          <w:szCs w:val="24"/>
        </w:rPr>
        <w:instrText>ADDIN CSL_CITATION {"citationItems":[{"id":"ITEM-1","itemData":{"DOI":"10.14219/jada.archive.1960.0152","ISSN":"00028177","PMID":"13793201","author":[{"dropping-particle":"","family":"AMLER","given":"M. H.","non-dropping-particle":"","parse-names":false,"suffix":""},{"dropping-particle":"","family":"JOHNSON","given":"P. L.","non-dropping-particle":"","parse-names":false,"suffix":""},{"dropping-particle":"","family":"SALMAN","given":"I.","non-dropping-particle":"","parse-names":false,"suffix":""}],"container-title":"Journal of the American Dental Association (1939)","id":"ITEM-1","issue":"1","issued":{"date-parts":[["1960"]]},"page":"32-44","title":"Histological and histochemical investigation of human alveolar socket healing in undisturbed extraction wounds.","type":"article-journal","volume":"61"},"uris":["http://www.mendeley.com/documents/?uuid=0f288769-ce78-4a25-b1ef-82491d205dd3"]}],"mendeley":{"formattedCitation":"(7)","plainTextFormattedCitation":"(7)","previouslyFormattedCitation":"(7)"},"properties":{"noteIndex":0},"schema":"https://github.com/citation-style-language/schema/raw/master/csl-citation.json"}</w:instrText>
      </w:r>
      <w:r w:rsidR="00117192" w:rsidRPr="00FB5BBD">
        <w:rPr>
          <w:sz w:val="24"/>
          <w:szCs w:val="24"/>
        </w:rPr>
        <w:fldChar w:fldCharType="separate"/>
      </w:r>
      <w:r w:rsidR="00117192" w:rsidRPr="00FB5BBD">
        <w:rPr>
          <w:noProof/>
          <w:sz w:val="24"/>
          <w:szCs w:val="24"/>
        </w:rPr>
        <w:t>(7)</w:t>
      </w:r>
      <w:r w:rsidR="00117192" w:rsidRPr="00FB5BBD">
        <w:rPr>
          <w:sz w:val="24"/>
          <w:szCs w:val="24"/>
        </w:rPr>
        <w:fldChar w:fldCharType="end"/>
      </w:r>
      <w:r w:rsidR="00184309" w:rsidRPr="00FB5BBD">
        <w:rPr>
          <w:sz w:val="24"/>
          <w:szCs w:val="24"/>
        </w:rPr>
        <w:t>.</w:t>
      </w:r>
    </w:p>
    <w:p w14:paraId="55D02DBE" w14:textId="574EEDD8" w:rsidR="00184309" w:rsidRPr="001876F9" w:rsidRDefault="00184309" w:rsidP="00BC2C84">
      <w:pPr>
        <w:pStyle w:val="Ttulo2"/>
        <w:spacing w:after="240" w:line="360" w:lineRule="auto"/>
        <w:jc w:val="both"/>
        <w:rPr>
          <w:color w:val="auto"/>
        </w:rPr>
      </w:pPr>
      <w:bookmarkStart w:id="2" w:name="_Toc58061711"/>
      <w:r w:rsidRPr="001876F9">
        <w:rPr>
          <w:color w:val="auto"/>
        </w:rPr>
        <w:t>Fase proliferativa</w:t>
      </w:r>
      <w:bookmarkEnd w:id="2"/>
    </w:p>
    <w:p w14:paraId="2249C84D" w14:textId="34195D26" w:rsidR="00184309" w:rsidRPr="00FB5BBD" w:rsidRDefault="001876F9" w:rsidP="00F25179">
      <w:pPr>
        <w:spacing w:line="360" w:lineRule="auto"/>
        <w:jc w:val="both"/>
        <w:rPr>
          <w:sz w:val="24"/>
          <w:szCs w:val="24"/>
        </w:rPr>
      </w:pPr>
      <w:r w:rsidRPr="001876F9">
        <w:rPr>
          <w:sz w:val="24"/>
          <w:szCs w:val="24"/>
        </w:rPr>
        <w:t xml:space="preserve">Esta etapa se puede dividir en dos también: fibroplasia y formación de hueso trabecular. En esta fase destaca la rápida e intensa formación de tejido. Durante la fibroplasia se produce una matriz provisional, que es penetrada por vasos y células formadoras de hueso que harán hueso trabecular. Cuando se rodea completamente el vaso se forma la osteona primaria. Podemos observar hueso trabecular a partir de la segunda semana después de la extracción, y este permanecerá ahí durante varias semanas. Este tipo de hueso es un hueso provisional ya que no tiene capacidad de soportar cargas, es por eso que debe ser reemplazado por tipos de huesos más resistentes como el hueso lamelar o hueso medular </w:t>
      </w:r>
      <w:r w:rsidR="007F6259"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7F6259" w:rsidRPr="00FB5BBD">
        <w:rPr>
          <w:sz w:val="24"/>
          <w:szCs w:val="24"/>
        </w:rPr>
        <w:fldChar w:fldCharType="separate"/>
      </w:r>
      <w:r w:rsidR="007F6259" w:rsidRPr="00FB5BBD">
        <w:rPr>
          <w:noProof/>
          <w:sz w:val="24"/>
          <w:szCs w:val="24"/>
        </w:rPr>
        <w:t>(1)</w:t>
      </w:r>
      <w:r w:rsidR="007F6259"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F25179" w:rsidRPr="00FB5BBD">
        <w:rPr>
          <w:sz w:val="24"/>
          <w:szCs w:val="24"/>
        </w:rPr>
        <w:fldChar w:fldCharType="begin" w:fldLock="1"/>
      </w:r>
      <w:r w:rsidR="00081241" w:rsidRPr="00FB5BBD">
        <w:rPr>
          <w:sz w:val="24"/>
          <w:szCs w:val="24"/>
        </w:rPr>
        <w:instrText>ADDIN CSL_CITATION {"citationItems":[{"id":"ITEM-1","itemData":{"author":[{"dropping-particle":"","family":"Lamano Carvalho","given":"Teresa Lucia","non-dropping-particle":"","parse-names":false,"suffix":""},{"dropping-particle":"","family":"Bombonato","given":"Karina Fittipaldi","non-dropping-particle":"","parse-names":false,"suffix":""},{"dropping-particle":"","family":"Brentegani","given":"Luiz Guilherme","non-dropping-particle":"","parse-names":false,"suffix":""}],"container-title":"Braz Dent J","id":"ITEM-1","issue":"1","issued":{"date-parts":[["1997"]]},"page":"9-12","title":"Histometric analysis of rat alveolar wound healing","type":"article-journal","volume":"8"},"uris":["http://www.mendeley.com/documents/?uuid=32431278-efd8-3578-88a2-12fa6cb4b271"]}],"mendeley":{"formattedCitation":"(8)","plainTextFormattedCitation":"(8)","previouslyFormattedCitation":"(8)"},"properties":{"noteIndex":0},"schema":"https://github.com/citation-style-language/schema/raw/master/csl-citation.json"}</w:instrText>
      </w:r>
      <w:r w:rsidR="00F25179" w:rsidRPr="00FB5BBD">
        <w:rPr>
          <w:sz w:val="24"/>
          <w:szCs w:val="24"/>
        </w:rPr>
        <w:fldChar w:fldCharType="separate"/>
      </w:r>
      <w:r w:rsidR="00117192" w:rsidRPr="00FB5BBD">
        <w:rPr>
          <w:noProof/>
          <w:sz w:val="24"/>
          <w:szCs w:val="24"/>
        </w:rPr>
        <w:t>(8)</w:t>
      </w:r>
      <w:r w:rsidR="00F25179" w:rsidRPr="00FB5BBD">
        <w:rPr>
          <w:sz w:val="24"/>
          <w:szCs w:val="24"/>
        </w:rPr>
        <w:fldChar w:fldCharType="end"/>
      </w:r>
      <w:r w:rsidR="007F6259" w:rsidRPr="00FB5BBD">
        <w:rPr>
          <w:sz w:val="24"/>
          <w:szCs w:val="24"/>
        </w:rPr>
        <w:t>.</w:t>
      </w:r>
    </w:p>
    <w:p w14:paraId="4EEC4D72" w14:textId="71FF27B9" w:rsidR="007F6259" w:rsidRPr="001876F9" w:rsidRDefault="007F6259" w:rsidP="00BC2C84">
      <w:pPr>
        <w:pStyle w:val="Ttulo2"/>
        <w:spacing w:after="240" w:line="360" w:lineRule="auto"/>
        <w:jc w:val="both"/>
        <w:rPr>
          <w:color w:val="auto"/>
        </w:rPr>
      </w:pPr>
      <w:bookmarkStart w:id="3" w:name="_Toc58061712"/>
      <w:r w:rsidRPr="001876F9">
        <w:rPr>
          <w:color w:val="auto"/>
        </w:rPr>
        <w:t>Fase modeladora y remodeladora del hueso</w:t>
      </w:r>
      <w:bookmarkEnd w:id="3"/>
    </w:p>
    <w:p w14:paraId="6D1A03B1" w14:textId="77157413" w:rsidR="007F6259" w:rsidRPr="00FB5BBD" w:rsidRDefault="001876F9" w:rsidP="00F25179">
      <w:pPr>
        <w:spacing w:line="360" w:lineRule="auto"/>
        <w:jc w:val="both"/>
        <w:rPr>
          <w:sz w:val="24"/>
          <w:szCs w:val="24"/>
        </w:rPr>
      </w:pPr>
      <w:r w:rsidRPr="001876F9">
        <w:rPr>
          <w:sz w:val="24"/>
          <w:szCs w:val="24"/>
        </w:rPr>
        <w:t xml:space="preserve">Por último, tenemos la fase modeladora que es el proceso de cambiar la forma y la arquitectura del hueso, y la remodeladora donde también se producen cambios, pero sin afectar la forma y arquitectura del hueso. El remodelado es la sustitución de hueso trabecular por hueso lamelar o hueso medular, mientras que la modeladora modifica las paredes dimensionalmente afectando la cresta alveolar. Esta fase puede llevar varios meses, o incluso hasta años, siempre dependiendo del individuo, como se ha mencionado anteriormente </w:t>
      </w:r>
      <w:r w:rsidR="00E445C2"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E445C2" w:rsidRPr="00FB5BBD">
        <w:rPr>
          <w:sz w:val="24"/>
          <w:szCs w:val="24"/>
        </w:rPr>
        <w:fldChar w:fldCharType="separate"/>
      </w:r>
      <w:r w:rsidR="00E445C2" w:rsidRPr="00FB5BBD">
        <w:rPr>
          <w:noProof/>
          <w:sz w:val="24"/>
          <w:szCs w:val="24"/>
        </w:rPr>
        <w:t>(1)</w:t>
      </w:r>
      <w:r w:rsidR="00E445C2"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117192"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E445C2" w:rsidRPr="00FB5BBD">
        <w:rPr>
          <w:sz w:val="24"/>
          <w:szCs w:val="24"/>
        </w:rPr>
        <w:fldChar w:fldCharType="begin" w:fldLock="1"/>
      </w:r>
      <w:r w:rsidR="00617F40" w:rsidRPr="00FB5BBD">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(5)","plainTextFormattedCitation":"(5)","previouslyFormattedCitation":"(5)"},"properties":{"noteIndex":0},"schema":"https://github.com/citation-style-language/schema/raw/master/csl-citation.json"}</w:instrText>
      </w:r>
      <w:r w:rsidR="00E445C2" w:rsidRPr="00FB5BBD">
        <w:rPr>
          <w:sz w:val="24"/>
          <w:szCs w:val="24"/>
        </w:rPr>
        <w:fldChar w:fldCharType="separate"/>
      </w:r>
      <w:r w:rsidR="00617F40" w:rsidRPr="00FB5BBD">
        <w:rPr>
          <w:noProof/>
          <w:sz w:val="24"/>
          <w:szCs w:val="24"/>
        </w:rPr>
        <w:t>(5)</w:t>
      </w:r>
      <w:r w:rsidR="00E445C2" w:rsidRPr="00FB5BBD">
        <w:rPr>
          <w:sz w:val="24"/>
          <w:szCs w:val="24"/>
        </w:rPr>
        <w:fldChar w:fldCharType="end"/>
      </w:r>
      <w:r w:rsidR="00001EED" w:rsidRPr="00FB5BBD">
        <w:rPr>
          <w:sz w:val="24"/>
          <w:szCs w:val="24"/>
        </w:rPr>
        <w:fldChar w:fldCharType="begin" w:fldLock="1"/>
      </w:r>
      <w:r w:rsidR="00617F40" w:rsidRPr="00FB5BBD">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(6)","plainTextFormattedCitation":"(6)","previouslyFormattedCitation":"(6)"},"properties":{"noteIndex":0},"schema":"https://github.com/citation-style-language/schema/raw/master/csl-citation.json"}</w:instrText>
      </w:r>
      <w:r w:rsidR="00001EED" w:rsidRPr="00FB5BBD">
        <w:rPr>
          <w:sz w:val="24"/>
          <w:szCs w:val="24"/>
        </w:rPr>
        <w:fldChar w:fldCharType="separate"/>
      </w:r>
      <w:r w:rsidR="00617F40" w:rsidRPr="00FB5BBD">
        <w:rPr>
          <w:noProof/>
          <w:sz w:val="24"/>
          <w:szCs w:val="24"/>
        </w:rPr>
        <w:t>(6)</w:t>
      </w:r>
      <w:r w:rsidR="00001EED" w:rsidRPr="00FB5BBD">
        <w:rPr>
          <w:sz w:val="24"/>
          <w:szCs w:val="24"/>
        </w:rPr>
        <w:fldChar w:fldCharType="end"/>
      </w:r>
      <w:r w:rsidR="001D747F" w:rsidRPr="00FB5BBD">
        <w:rPr>
          <w:sz w:val="24"/>
          <w:szCs w:val="24"/>
        </w:rPr>
        <w:t xml:space="preserve">. </w:t>
      </w:r>
    </w:p>
    <w:p w14:paraId="6E583FD4" w14:textId="72EE251C" w:rsidR="003D75F5" w:rsidRPr="00FB5BBD" w:rsidRDefault="001876F9" w:rsidP="00BC2C84">
      <w:pPr>
        <w:spacing w:line="360" w:lineRule="auto"/>
        <w:jc w:val="both"/>
        <w:rPr>
          <w:sz w:val="24"/>
          <w:szCs w:val="24"/>
        </w:rPr>
      </w:pPr>
      <w:r w:rsidRPr="001876F9">
        <w:rPr>
          <w:sz w:val="24"/>
          <w:szCs w:val="24"/>
        </w:rPr>
        <w:t xml:space="preserve">Aunque las exodoncias se consideran un procedimiento traumático, debido a la alteración de tejidos blandos, la destrucción de los vasos sanguíneos del ligamento periodontal, cortando sus fibras principales, podemos modificar la técnica quirúrgica minimizando al máximo el trauma. Con la ayuda de los fórceps para luxar el diente en dirección mesial y distal, y no en sentido bucal o lingual, o realizando movimientos rotacionales. Asimismo, podemos utilizar </w:t>
      </w:r>
      <w:proofErr w:type="spellStart"/>
      <w:r w:rsidRPr="001876F9">
        <w:rPr>
          <w:sz w:val="24"/>
          <w:szCs w:val="24"/>
        </w:rPr>
        <w:t>periostotomos</w:t>
      </w:r>
      <w:proofErr w:type="spellEnd"/>
      <w:r w:rsidRPr="001876F9">
        <w:rPr>
          <w:sz w:val="24"/>
          <w:szCs w:val="24"/>
        </w:rPr>
        <w:t xml:space="preserve">, puesto que tienen la finalidad </w:t>
      </w:r>
      <w:r w:rsidRPr="001876F9">
        <w:rPr>
          <w:sz w:val="24"/>
          <w:szCs w:val="24"/>
        </w:rPr>
        <w:lastRenderedPageBreak/>
        <w:t xml:space="preserve">de cortar las fibras mesiales y distales del alveolo facilitando así la eficacia de la técnica quirúrgica. Por otro lado, existen los sistemas verticales de extracciones dentales, creados para extraer raíces en la dirección vertical con el objetivo de minimizar el daño empleado a las paredes del alveolo. Gracias a estas dos técnicas no se realiza presión en la pared bucal, no obstante, solo sirve en raíces de forma cónica o recta </w:t>
      </w:r>
      <w:r w:rsidR="003D75F5" w:rsidRPr="00FB5BBD">
        <w:rPr>
          <w:sz w:val="24"/>
          <w:szCs w:val="24"/>
        </w:rPr>
        <w:fldChar w:fldCharType="begin" w:fldLock="1"/>
      </w:r>
      <w:r w:rsidR="004020BF"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75F5" w:rsidRPr="00FB5BBD">
        <w:rPr>
          <w:sz w:val="24"/>
          <w:szCs w:val="24"/>
        </w:rPr>
        <w:fldChar w:fldCharType="separate"/>
      </w:r>
      <w:r w:rsidR="003D75F5" w:rsidRPr="00FB5BBD">
        <w:rPr>
          <w:noProof/>
          <w:sz w:val="24"/>
          <w:szCs w:val="24"/>
        </w:rPr>
        <w:t>(1)</w:t>
      </w:r>
      <w:r w:rsidR="003D75F5" w:rsidRPr="00FB5BBD">
        <w:rPr>
          <w:sz w:val="24"/>
          <w:szCs w:val="24"/>
        </w:rPr>
        <w:fldChar w:fldCharType="end"/>
      </w:r>
      <w:r w:rsidR="003D75F5" w:rsidRPr="00FB5BBD">
        <w:rPr>
          <w:sz w:val="24"/>
          <w:szCs w:val="24"/>
        </w:rPr>
        <w:t>.</w:t>
      </w:r>
    </w:p>
    <w:p w14:paraId="4DBCCAC7" w14:textId="041499DF" w:rsidR="004020BF" w:rsidRPr="00FB5BBD" w:rsidRDefault="001876F9" w:rsidP="00BC2C84">
      <w:pPr>
        <w:spacing w:line="360" w:lineRule="auto"/>
        <w:jc w:val="both"/>
        <w:rPr>
          <w:sz w:val="24"/>
          <w:szCs w:val="24"/>
        </w:rPr>
      </w:pPr>
      <w:r w:rsidRPr="001876F9">
        <w:rPr>
          <w:sz w:val="24"/>
          <w:szCs w:val="24"/>
        </w:rPr>
        <w:t xml:space="preserve">Una correcta curación del alveolo se da cuando el tejido de granulación es normal y puede o no presentar dolor. Entonces, las tres formas de complicación las podemos diferenciar ya que en la osteítis se presenta un dolor persistente o ascendente que no se alivia con analgésicos suaves, este dolor se acompaña de un coagulo de sangre parcial o totalmente desintegrado o de un alveolo vacío. En esta patología podemos confirmar su diagnóstico cuando se observa hueso expuesto y de alta sensibilidad.  Entre la inflamación y la infección aguda podemos distinguirlas porque la primera se observaría tejido inflamado sin exudado, y la segunda se observa supuración, eritema y edema con o sin fiebre sistémica </w:t>
      </w:r>
      <w:r w:rsidR="004020BF"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4020BF" w:rsidRPr="00FB5BBD">
        <w:rPr>
          <w:sz w:val="24"/>
          <w:szCs w:val="24"/>
        </w:rPr>
        <w:fldChar w:fldCharType="separate"/>
      </w:r>
      <w:r w:rsidR="004020BF" w:rsidRPr="00FB5BBD">
        <w:rPr>
          <w:noProof/>
          <w:sz w:val="24"/>
          <w:szCs w:val="24"/>
        </w:rPr>
        <w:t>(2)</w:t>
      </w:r>
      <w:r w:rsidR="004020BF" w:rsidRPr="00FB5BBD">
        <w:rPr>
          <w:sz w:val="24"/>
          <w:szCs w:val="24"/>
        </w:rPr>
        <w:fldChar w:fldCharType="end"/>
      </w:r>
      <w:r w:rsidR="004020BF" w:rsidRPr="00FB5BBD">
        <w:rPr>
          <w:sz w:val="24"/>
          <w:szCs w:val="24"/>
        </w:rPr>
        <w:t>.</w:t>
      </w:r>
    </w:p>
    <w:p w14:paraId="591180C6" w14:textId="4F14B83A" w:rsidR="00F25179" w:rsidRPr="00FB5BBD" w:rsidRDefault="004020BF" w:rsidP="00BC2C84">
      <w:pPr>
        <w:spacing w:line="360" w:lineRule="auto"/>
        <w:jc w:val="both"/>
        <w:rPr>
          <w:sz w:val="24"/>
          <w:szCs w:val="24"/>
        </w:rPr>
      </w:pPr>
      <w:r w:rsidRPr="00FB5BBD">
        <w:rPr>
          <w:sz w:val="24"/>
          <w:szCs w:val="24"/>
        </w:rPr>
        <w:t xml:space="preserve">Según el estudio de W.L. </w:t>
      </w:r>
      <w:proofErr w:type="spellStart"/>
      <w:r w:rsidRPr="00FB5BBD">
        <w:rPr>
          <w:sz w:val="24"/>
          <w:szCs w:val="24"/>
        </w:rPr>
        <w:t>Adeyemo</w:t>
      </w:r>
      <w:proofErr w:type="spellEnd"/>
      <w:r w:rsidR="00F06D3F">
        <w:rPr>
          <w:sz w:val="24"/>
          <w:szCs w:val="24"/>
        </w:rPr>
        <w:t xml:space="preserve"> </w:t>
      </w:r>
      <w:r w:rsidR="00F06D3F" w:rsidRPr="00F06D3F">
        <w:rPr>
          <w:i/>
          <w:iCs/>
          <w:sz w:val="24"/>
          <w:szCs w:val="24"/>
        </w:rPr>
        <w:t>et al</w:t>
      </w:r>
      <w:r w:rsidR="00F06D3F">
        <w:rPr>
          <w:i/>
          <w:iCs/>
          <w:sz w:val="24"/>
          <w:szCs w:val="24"/>
        </w:rPr>
        <w:t>.</w:t>
      </w:r>
      <w:r w:rsidR="00F06D3F">
        <w:rPr>
          <w:sz w:val="24"/>
          <w:szCs w:val="24"/>
        </w:rPr>
        <w:t xml:space="preserve"> en 2006</w:t>
      </w:r>
      <w:r w:rsidRPr="00FB5BBD">
        <w:rPr>
          <w:sz w:val="24"/>
          <w:szCs w:val="24"/>
        </w:rPr>
        <w:t xml:space="preserve"> </w:t>
      </w:r>
      <w:r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Pr="00FB5BBD">
        <w:rPr>
          <w:sz w:val="24"/>
          <w:szCs w:val="24"/>
        </w:rPr>
        <w:fldChar w:fldCharType="separate"/>
      </w:r>
      <w:r w:rsidRPr="00FB5BBD">
        <w:rPr>
          <w:noProof/>
          <w:sz w:val="24"/>
          <w:szCs w:val="24"/>
        </w:rPr>
        <w:t>(2)</w:t>
      </w:r>
      <w:r w:rsidRPr="00FB5BBD">
        <w:rPr>
          <w:sz w:val="24"/>
          <w:szCs w:val="24"/>
        </w:rPr>
        <w:fldChar w:fldCharType="end"/>
      </w:r>
      <w:r w:rsidRPr="00FB5BBD">
        <w:rPr>
          <w:sz w:val="24"/>
          <w:szCs w:val="24"/>
        </w:rPr>
        <w:t xml:space="preserve"> </w:t>
      </w:r>
      <w:r w:rsidR="001876F9" w:rsidRPr="001876F9">
        <w:rPr>
          <w:sz w:val="24"/>
          <w:szCs w:val="24"/>
        </w:rPr>
        <w:t xml:space="preserve">donde se estudió a 311 pacientes para evaluar el patrón de complicaciones de cicatrización post extracciones no quirúrgicas, el 89% de pacientes no tuvieron ninguna complicación, mientras que el 11% si tuvo complicaciones. Entre estas complicaciones encontramos: 8.2% con alveolitis seca, 1.6% alveolo infectado, y 1.2% alveolo inflamado. Siendo osteítis alveolar la más común de las complicaciones siendo el 74.3% del total de alveolos estudiados. No solo se observó que las mujeres sufrían más complicaciones en comparación con los hombres, sino que el grupo de dientes más afectado fueron los molares, y afectando casi por igual en maxilar que en mandibular </w:t>
      </w:r>
      <w:r w:rsidR="00764CC5" w:rsidRPr="00FB5BBD">
        <w:rPr>
          <w:sz w:val="24"/>
          <w:szCs w:val="24"/>
        </w:rPr>
        <w:fldChar w:fldCharType="begin" w:fldLock="1"/>
      </w:r>
      <w:r w:rsidR="00D43E1E"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764CC5" w:rsidRPr="00FB5BBD">
        <w:rPr>
          <w:sz w:val="24"/>
          <w:szCs w:val="24"/>
        </w:rPr>
        <w:fldChar w:fldCharType="separate"/>
      </w:r>
      <w:r w:rsidR="00764CC5" w:rsidRPr="00FB5BBD">
        <w:rPr>
          <w:noProof/>
          <w:sz w:val="24"/>
          <w:szCs w:val="24"/>
        </w:rPr>
        <w:t>(2)</w:t>
      </w:r>
      <w:r w:rsidR="00764CC5" w:rsidRPr="00FB5BBD">
        <w:rPr>
          <w:sz w:val="24"/>
          <w:szCs w:val="24"/>
        </w:rPr>
        <w:fldChar w:fldCharType="end"/>
      </w:r>
      <w:r w:rsidR="00764CC5" w:rsidRPr="00FB5BBD">
        <w:rPr>
          <w:sz w:val="24"/>
          <w:szCs w:val="24"/>
        </w:rPr>
        <w:t xml:space="preserve">.  </w:t>
      </w:r>
    </w:p>
    <w:p w14:paraId="22AD510E" w14:textId="62BDF59F" w:rsidR="00081241" w:rsidRPr="00FB5BBD" w:rsidRDefault="00CE2A57" w:rsidP="00E957C7">
      <w:pPr>
        <w:spacing w:line="360" w:lineRule="auto"/>
        <w:jc w:val="both"/>
        <w:rPr>
          <w:sz w:val="24"/>
          <w:szCs w:val="24"/>
        </w:rPr>
      </w:pPr>
      <w:r w:rsidRPr="00FB5BBD">
        <w:rPr>
          <w:sz w:val="24"/>
          <w:szCs w:val="24"/>
        </w:rPr>
        <w:t xml:space="preserve">Según </w:t>
      </w:r>
      <w:r w:rsidR="00296ACD" w:rsidRPr="00FB5BBD">
        <w:rPr>
          <w:sz w:val="24"/>
          <w:szCs w:val="24"/>
        </w:rPr>
        <w:t>el</w:t>
      </w:r>
      <w:r w:rsidRPr="00FB5BBD">
        <w:rPr>
          <w:sz w:val="24"/>
          <w:szCs w:val="24"/>
        </w:rPr>
        <w:t xml:space="preserve"> estudio</w:t>
      </w:r>
      <w:r w:rsidR="00296ACD" w:rsidRPr="00FB5BBD">
        <w:rPr>
          <w:sz w:val="24"/>
          <w:szCs w:val="24"/>
        </w:rPr>
        <w:t xml:space="preserve"> que realizó</w:t>
      </w:r>
      <w:r w:rsidRPr="00FB5BBD">
        <w:rPr>
          <w:sz w:val="24"/>
          <w:szCs w:val="24"/>
        </w:rPr>
        <w:t xml:space="preserve"> M.H. </w:t>
      </w:r>
      <w:proofErr w:type="spellStart"/>
      <w:r w:rsidRPr="00FB5BBD">
        <w:rPr>
          <w:sz w:val="24"/>
          <w:szCs w:val="24"/>
        </w:rPr>
        <w:t>Amler</w:t>
      </w:r>
      <w:proofErr w:type="spellEnd"/>
      <w:r w:rsidRPr="00FB5BBD">
        <w:rPr>
          <w:sz w:val="24"/>
          <w:szCs w:val="24"/>
        </w:rPr>
        <w:t xml:space="preserve"> </w:t>
      </w:r>
      <w:r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Pr="00FB5BBD">
        <w:rPr>
          <w:sz w:val="24"/>
          <w:szCs w:val="24"/>
        </w:rPr>
        <w:fldChar w:fldCharType="separate"/>
      </w:r>
      <w:r w:rsidR="00617F40" w:rsidRPr="00FB5BBD">
        <w:rPr>
          <w:noProof/>
          <w:sz w:val="24"/>
          <w:szCs w:val="24"/>
        </w:rPr>
        <w:t>(3)</w:t>
      </w:r>
      <w:r w:rsidRPr="00FB5BBD">
        <w:rPr>
          <w:sz w:val="24"/>
          <w:szCs w:val="24"/>
        </w:rPr>
        <w:fldChar w:fldCharType="end"/>
      </w:r>
      <w:r w:rsidRPr="00FB5BBD">
        <w:rPr>
          <w:sz w:val="24"/>
          <w:szCs w:val="24"/>
        </w:rPr>
        <w:t xml:space="preserve">, </w:t>
      </w:r>
      <w:r w:rsidR="001876F9" w:rsidRPr="001876F9">
        <w:rPr>
          <w:sz w:val="24"/>
          <w:szCs w:val="24"/>
        </w:rPr>
        <w:t xml:space="preserve">las alteraciones del proceso de cicatrización dependen de la etapa en que se encuentre dicho proceso. Es decir, si se produce una alteración durante el mismo día de la extracción se producirá una hemorragia en vez de un coagulo. En los 2-3 primeros días se puede originar la alveolitis seca si se produce una alteración durante el proceso de curación entre el coagulo sanguíneo y la formación de tejido de granulación. En el cuarto día se puede ocasionar una osteítis supurativa o necrotizante si no se forma correctamente la transición entre tejido de granulación y tejido conectivo, resultando también en infección. Y, por último, en el séptimo día se </w:t>
      </w:r>
      <w:r w:rsidR="001876F9" w:rsidRPr="001876F9">
        <w:rPr>
          <w:sz w:val="24"/>
          <w:szCs w:val="24"/>
        </w:rPr>
        <w:lastRenderedPageBreak/>
        <w:t xml:space="preserve">puede producir una reparación fibrosa en lugar de una adecuada formación de hueso. Que se produzca una inflamación aguda del alveolo sugiere una alteración en la tercera fase de curación con tejido inflamado colapsando el alveolo </w:t>
      </w:r>
      <w:r w:rsidR="00081241" w:rsidRPr="00FB5BBD">
        <w:rPr>
          <w:sz w:val="24"/>
          <w:szCs w:val="24"/>
        </w:rPr>
        <w:fldChar w:fldCharType="begin" w:fldLock="1"/>
      </w:r>
      <w:r w:rsidR="005F5E40"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081241" w:rsidRPr="00FB5BBD">
        <w:rPr>
          <w:sz w:val="24"/>
          <w:szCs w:val="24"/>
        </w:rPr>
        <w:fldChar w:fldCharType="separate"/>
      </w:r>
      <w:r w:rsidR="00081241" w:rsidRPr="00FB5BBD">
        <w:rPr>
          <w:noProof/>
          <w:sz w:val="24"/>
          <w:szCs w:val="24"/>
        </w:rPr>
        <w:t>(2)</w:t>
      </w:r>
      <w:r w:rsidR="00081241" w:rsidRPr="00FB5BBD">
        <w:rPr>
          <w:sz w:val="24"/>
          <w:szCs w:val="24"/>
        </w:rPr>
        <w:fldChar w:fldCharType="end"/>
      </w:r>
      <w:r w:rsidR="001876F9" w:rsidRPr="00FB5BBD">
        <w:rPr>
          <w:sz w:val="24"/>
          <w:szCs w:val="24"/>
        </w:rPr>
        <w:fldChar w:fldCharType="begin" w:fldLock="1"/>
      </w:r>
      <w:r w:rsidR="001876F9"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1876F9" w:rsidRPr="00FB5BBD">
        <w:rPr>
          <w:sz w:val="24"/>
          <w:szCs w:val="24"/>
        </w:rPr>
        <w:fldChar w:fldCharType="separate"/>
      </w:r>
      <w:r w:rsidR="001876F9" w:rsidRPr="00FB5BBD">
        <w:rPr>
          <w:noProof/>
          <w:sz w:val="24"/>
          <w:szCs w:val="24"/>
        </w:rPr>
        <w:t>(3)</w:t>
      </w:r>
      <w:r w:rsidR="001876F9" w:rsidRPr="00FB5BBD">
        <w:rPr>
          <w:sz w:val="24"/>
          <w:szCs w:val="24"/>
        </w:rPr>
        <w:fldChar w:fldCharType="end"/>
      </w:r>
      <w:r w:rsidR="00081241" w:rsidRPr="00FB5BBD">
        <w:rPr>
          <w:sz w:val="24"/>
          <w:szCs w:val="24"/>
        </w:rPr>
        <w:t>.</w:t>
      </w:r>
    </w:p>
    <w:p w14:paraId="5118EEBF" w14:textId="76A3FEA2" w:rsidR="00D30649" w:rsidRPr="00FB5BBD" w:rsidRDefault="001876F9" w:rsidP="00BC10E0">
      <w:pPr>
        <w:spacing w:line="360" w:lineRule="auto"/>
        <w:jc w:val="both"/>
        <w:rPr>
          <w:sz w:val="24"/>
          <w:szCs w:val="24"/>
        </w:rPr>
      </w:pPr>
      <w:r w:rsidRPr="001876F9">
        <w:rPr>
          <w:sz w:val="24"/>
          <w:szCs w:val="24"/>
        </w:rPr>
        <w:t xml:space="preserve">En los últimos años se ha investigado el uso de plasma rico en plaquetas por sus muchas aplicaciones clínicas. Pero antes de hablar sobre ello, necesitamos conocer todas las características del plasma rico en plaquetas </w:t>
      </w:r>
      <w:r w:rsidR="003E58C4">
        <w:rPr>
          <w:sz w:val="24"/>
          <w:szCs w:val="24"/>
        </w:rPr>
        <w:fldChar w:fldCharType="begin" w:fldLock="1"/>
      </w:r>
      <w:r w:rsidR="008B0F7C">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3E58C4">
        <w:rPr>
          <w:sz w:val="24"/>
          <w:szCs w:val="24"/>
        </w:rPr>
        <w:fldChar w:fldCharType="separate"/>
      </w:r>
      <w:r w:rsidR="003E58C4" w:rsidRPr="003E58C4">
        <w:rPr>
          <w:noProof/>
          <w:sz w:val="24"/>
          <w:szCs w:val="24"/>
        </w:rPr>
        <w:t>(9)</w:t>
      </w:r>
      <w:r w:rsidR="003E58C4">
        <w:rPr>
          <w:sz w:val="24"/>
          <w:szCs w:val="24"/>
        </w:rPr>
        <w:fldChar w:fldCharType="end"/>
      </w:r>
      <w:r w:rsidR="00D30649" w:rsidRPr="00FB5BBD">
        <w:rPr>
          <w:sz w:val="24"/>
          <w:szCs w:val="24"/>
        </w:rPr>
        <w:t xml:space="preserve">. </w:t>
      </w:r>
    </w:p>
    <w:p w14:paraId="3D83CA11" w14:textId="076721FD" w:rsidR="000A1F2D" w:rsidRPr="00FB5BBD" w:rsidRDefault="001876F9" w:rsidP="00BC10E0">
      <w:pPr>
        <w:spacing w:line="360" w:lineRule="auto"/>
        <w:jc w:val="both"/>
        <w:rPr>
          <w:sz w:val="24"/>
          <w:szCs w:val="24"/>
        </w:rPr>
      </w:pPr>
      <w:r w:rsidRPr="001876F9">
        <w:rPr>
          <w:sz w:val="24"/>
          <w:szCs w:val="24"/>
        </w:rPr>
        <w:t xml:space="preserve">Las plaquetas son fragmentos citoplasmáticos anucleados derivados del citoplasma de los megacariocitos de la médula ósea y miden de 2 a 3 µm de diámetro. Un rango razonable de plaquetas en sangre de una persona sana es de entre 150.000 a 350.000 plaquetas/µL. Tienen papeles importantes en la hemostasia, la inflamación, la inmunidad, la progresión tumoral y la trombosis. Contienen muchos organelos, mitocondrias, </w:t>
      </w:r>
      <w:proofErr w:type="spellStart"/>
      <w:r w:rsidRPr="001876F9">
        <w:rPr>
          <w:sz w:val="24"/>
          <w:szCs w:val="24"/>
        </w:rPr>
        <w:t>roxisomas</w:t>
      </w:r>
      <w:proofErr w:type="spellEnd"/>
      <w:r w:rsidRPr="001876F9">
        <w:rPr>
          <w:sz w:val="24"/>
          <w:szCs w:val="24"/>
        </w:rPr>
        <w:t xml:space="preserve">, ribosomas, glucógeno y gránulos </w:t>
      </w:r>
      <w:r w:rsidR="003E58C4">
        <w:rPr>
          <w:sz w:val="24"/>
          <w:szCs w:val="24"/>
        </w:rPr>
        <w:fldChar w:fldCharType="begin" w:fldLock="1"/>
      </w:r>
      <w:r w:rsidR="008B0F7C">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3E58C4">
        <w:rPr>
          <w:sz w:val="24"/>
          <w:szCs w:val="24"/>
        </w:rPr>
        <w:fldChar w:fldCharType="separate"/>
      </w:r>
      <w:r w:rsidR="003E58C4" w:rsidRPr="003E58C4">
        <w:rPr>
          <w:noProof/>
          <w:sz w:val="24"/>
          <w:szCs w:val="24"/>
        </w:rPr>
        <w:t>(9)</w:t>
      </w:r>
      <w:r w:rsidR="003E58C4">
        <w:rPr>
          <w:sz w:val="24"/>
          <w:szCs w:val="24"/>
        </w:rPr>
        <w:fldChar w:fldCharType="end"/>
      </w:r>
      <w:r w:rsidR="005F5E40" w:rsidRPr="00FB5BBD">
        <w:rPr>
          <w:sz w:val="24"/>
          <w:szCs w:val="24"/>
        </w:rPr>
        <w:fldChar w:fldCharType="begin" w:fldLock="1"/>
      </w:r>
      <w:r w:rsidR="008B0F7C">
        <w:rPr>
          <w:sz w:val="24"/>
          <w:szCs w:val="24"/>
        </w:rPr>
        <w:instrText>ADDIN CSL_CITATION {"citationItems":[{"id":"ITEM-1","itemData":{"DOI":"10.1016/j.tripleo.2009.02.007","ISSN":"10792104","PMID":"19451011","abstract":"Objectives: The clinical use of platelet-rich plasma (PRP) for preprosthetic surgery has been a matter of controversy until now. Only recently, a new blood preparation has been developed which results in platelet-rich fibrin (PRF). The objective of the present investigation was to examine the growth factor release from PRP and PRF in vitro. Study design: Whole blood samples from healthy participants (n = 10) were drawn to generate PRP and PRF. Human osteoblasts (O), human fibroblasts (F), and human osteoblast-derived osteosarcoma cells (Saos-2) were used for the cell culture. Cells of each cell line were cultivated, and PRP- or PRF-preparations added for ten days. The drawn medium was pooled and the quantities of growth factors (platelet-derived growth factor isomers AB and BB, insulin-like growth factor I, and transforming growth factor (TGF) isomers β1 and β2) analyzed by enzyme-linked immunosorbent assay. Results: In osteoblast and Saos-2 cultures, cytokine concentrations were significantly higher for PRP than for PRF (P &lt; .05). In fibroblast cultures, results were the same with the exception of TGF-β2 (P &lt; .05). Conclusions: This study demonstrates that PRP application in cell cultures leads to higher levels of growth factors than PRF application. © 2009 Mosby, Inc. All rights reserved.","author":[{"dropping-particle":"","family":"Gaßling","given":"Volker L.W.","non-dropping-particle":"","parse-names":false,"suffix":""},{"dropping-particle":"","family":"Açil","given":"Yahya","non-dropping-particle":"","parse-names":false,"suffix":""},{"dropping-particle":"","family":"Springer","given":"Ingo N.","non-dropping-particle":"","parse-names":false,"suffix":""},{"dropping-particle":"","family":"Hubert","given":"Nina","non-dropping-particle":"","parse-names":false,"suffix":""},{"dropping-particle":"","family":"Wiltfang","given":"Jörg","non-dropping-particle":"","parse-names":false,"suffix":""}],"container-title":"Oral Surgery, Oral Medicine, Oral Pathology, Oral Radiology and Endodontology","id":"ITEM-1","issue":"1","issued":{"date-parts":[["2009"]]},"page":"48-55","publisher":"Mosby, Inc.","title":"Platelet-rich Plasma and Platelet-rich fibrin in human cell culture","type":"article-journal","volume":"108"},"uris":["http://www.mendeley.com/documents/?uuid=dfa70d9a-ae9d-44b7-b30f-ed05d0ef28a2"]}],"mendeley":{"formattedCitation":"(10)","plainTextFormattedCitation":"(10)","previouslyFormattedCitation":"(10)"},"properties":{"noteIndex":0},"schema":"https://github.com/citation-style-language/schema/raw/master/csl-citation.json"}</w:instrText>
      </w:r>
      <w:r w:rsidR="005F5E40" w:rsidRPr="00FB5BBD">
        <w:rPr>
          <w:sz w:val="24"/>
          <w:szCs w:val="24"/>
        </w:rPr>
        <w:fldChar w:fldCharType="separate"/>
      </w:r>
      <w:r w:rsidR="003E58C4" w:rsidRPr="003E58C4">
        <w:rPr>
          <w:noProof/>
          <w:sz w:val="24"/>
          <w:szCs w:val="24"/>
        </w:rPr>
        <w:t>(10)</w:t>
      </w:r>
      <w:r w:rsidR="005F5E40" w:rsidRPr="00FB5BBD">
        <w:rPr>
          <w:sz w:val="24"/>
          <w:szCs w:val="24"/>
        </w:rPr>
        <w:fldChar w:fldCharType="end"/>
      </w:r>
      <w:r w:rsidR="00BC10E0" w:rsidRPr="00FB5BBD">
        <w:rPr>
          <w:sz w:val="24"/>
          <w:szCs w:val="24"/>
        </w:rPr>
        <w:fldChar w:fldCharType="begin" w:fldLock="1"/>
      </w:r>
      <w:r w:rsidR="008B0F7C">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BC10E0" w:rsidRPr="00FB5BBD">
        <w:rPr>
          <w:sz w:val="24"/>
          <w:szCs w:val="24"/>
        </w:rPr>
        <w:fldChar w:fldCharType="separate"/>
      </w:r>
      <w:r w:rsidR="003E58C4" w:rsidRPr="003E58C4">
        <w:rPr>
          <w:noProof/>
          <w:sz w:val="24"/>
          <w:szCs w:val="24"/>
        </w:rPr>
        <w:t>(11)</w:t>
      </w:r>
      <w:r w:rsidR="00BC10E0" w:rsidRPr="00FB5BBD">
        <w:rPr>
          <w:sz w:val="24"/>
          <w:szCs w:val="24"/>
        </w:rPr>
        <w:fldChar w:fldCharType="end"/>
      </w:r>
      <w:r w:rsidR="00401026">
        <w:rPr>
          <w:sz w:val="24"/>
          <w:szCs w:val="24"/>
        </w:rPr>
        <w:fldChar w:fldCharType="begin" w:fldLock="1"/>
      </w:r>
      <w:r w:rsidR="00D433EE">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(12)","plainTextFormattedCitation":"(12)","previouslyFormattedCitation":"(12)"},"properties":{"noteIndex":0},"schema":"https://github.com/citation-style-language/schema/raw/master/csl-citation.json"}</w:instrText>
      </w:r>
      <w:r w:rsidR="00401026">
        <w:rPr>
          <w:sz w:val="24"/>
          <w:szCs w:val="24"/>
        </w:rPr>
        <w:fldChar w:fldCharType="separate"/>
      </w:r>
      <w:r w:rsidR="00401026" w:rsidRPr="00401026">
        <w:rPr>
          <w:noProof/>
          <w:sz w:val="24"/>
          <w:szCs w:val="24"/>
        </w:rPr>
        <w:t>(12)</w:t>
      </w:r>
      <w:r w:rsidR="00401026">
        <w:rPr>
          <w:sz w:val="24"/>
          <w:szCs w:val="24"/>
        </w:rPr>
        <w:fldChar w:fldCharType="end"/>
      </w:r>
      <w:r w:rsidR="005F5E40" w:rsidRPr="00FB5BBD">
        <w:rPr>
          <w:sz w:val="24"/>
          <w:szCs w:val="24"/>
        </w:rPr>
        <w:t>.</w:t>
      </w:r>
    </w:p>
    <w:p w14:paraId="5A5B3714" w14:textId="72A16E47" w:rsidR="00BC10E0" w:rsidRPr="00FB5BBD" w:rsidRDefault="00A4217B" w:rsidP="00707427">
      <w:pPr>
        <w:spacing w:line="360" w:lineRule="auto"/>
        <w:jc w:val="both"/>
        <w:rPr>
          <w:sz w:val="24"/>
          <w:szCs w:val="24"/>
        </w:rPr>
      </w:pPr>
      <w:r w:rsidRPr="00A4217B">
        <w:rPr>
          <w:sz w:val="24"/>
          <w:szCs w:val="24"/>
        </w:rPr>
        <w:t xml:space="preserve">Los gránulos de las plaquetas se dividen en tres grupos. En primer lugar están los Alfa: con fibrinógenos, factor de </w:t>
      </w:r>
      <w:proofErr w:type="spellStart"/>
      <w:r w:rsidRPr="00A4217B">
        <w:rPr>
          <w:sz w:val="24"/>
          <w:szCs w:val="24"/>
        </w:rPr>
        <w:t>Von</w:t>
      </w:r>
      <w:proofErr w:type="spellEnd"/>
      <w:r w:rsidRPr="00A4217B">
        <w:rPr>
          <w:sz w:val="24"/>
          <w:szCs w:val="24"/>
        </w:rPr>
        <w:t xml:space="preserve"> Willebrand, factor de crecimiento derivados de plaquetas y otros factores de crecimiento, en segundo lugar están los Delta o densos: que contienen ADP, ATP y serotonina, estos son potentes agonistas o activadores de plaquetas, y por último tenemos los Lambda: formado por lisosomas que ayudan a disolver el coagulo una vez que ha realizado su función </w:t>
      </w:r>
      <w:r w:rsidR="003E58C4">
        <w:rPr>
          <w:sz w:val="24"/>
          <w:szCs w:val="24"/>
        </w:rPr>
        <w:fldChar w:fldCharType="begin" w:fldLock="1"/>
      </w:r>
      <w:r w:rsidR="008B0F7C">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3E58C4">
        <w:rPr>
          <w:sz w:val="24"/>
          <w:szCs w:val="24"/>
        </w:rPr>
        <w:fldChar w:fldCharType="separate"/>
      </w:r>
      <w:r w:rsidR="003E58C4" w:rsidRPr="003E58C4">
        <w:rPr>
          <w:noProof/>
          <w:sz w:val="24"/>
          <w:szCs w:val="24"/>
        </w:rPr>
        <w:t>(9)</w:t>
      </w:r>
      <w:r w:rsidR="003E58C4">
        <w:rPr>
          <w:sz w:val="24"/>
          <w:szCs w:val="24"/>
        </w:rPr>
        <w:fldChar w:fldCharType="end"/>
      </w:r>
      <w:r w:rsidR="000345C5" w:rsidRPr="00FB5BBD">
        <w:rPr>
          <w:sz w:val="24"/>
          <w:szCs w:val="24"/>
        </w:rPr>
        <w:fldChar w:fldCharType="begin" w:fldLock="1"/>
      </w:r>
      <w:r w:rsidR="008B0F7C">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0345C5" w:rsidRPr="00FB5BBD">
        <w:rPr>
          <w:sz w:val="24"/>
          <w:szCs w:val="24"/>
        </w:rPr>
        <w:fldChar w:fldCharType="separate"/>
      </w:r>
      <w:r w:rsidR="003E58C4" w:rsidRPr="003E58C4">
        <w:rPr>
          <w:noProof/>
          <w:sz w:val="24"/>
          <w:szCs w:val="24"/>
        </w:rPr>
        <w:t>(11)</w:t>
      </w:r>
      <w:r w:rsidR="000345C5" w:rsidRPr="00FB5BBD">
        <w:rPr>
          <w:sz w:val="24"/>
          <w:szCs w:val="24"/>
        </w:rPr>
        <w:fldChar w:fldCharType="end"/>
      </w:r>
      <w:r w:rsidR="000345C5" w:rsidRPr="00FB5BBD">
        <w:rPr>
          <w:sz w:val="24"/>
          <w:szCs w:val="24"/>
        </w:rPr>
        <w:t xml:space="preserve">. </w:t>
      </w:r>
    </w:p>
    <w:p w14:paraId="003B57BA" w14:textId="77777777" w:rsidR="00707427" w:rsidRDefault="00A4217B" w:rsidP="00707427">
      <w:pPr>
        <w:spacing w:line="360" w:lineRule="auto"/>
        <w:jc w:val="both"/>
        <w:rPr>
          <w:sz w:val="24"/>
          <w:szCs w:val="24"/>
        </w:rPr>
      </w:pPr>
      <w:r w:rsidRPr="00A4217B">
        <w:rPr>
          <w:sz w:val="24"/>
          <w:szCs w:val="24"/>
        </w:rPr>
        <w:t xml:space="preserve">En el grupo Alfa podemos encontrar, como se ha mencionado anteriormente, los factores de crecimiento que realizan la proliferación y diferenciación celular, quimiotaxis, angiogénesis, y la síntesis de la matriz extracelular, el factor de </w:t>
      </w:r>
      <w:proofErr w:type="spellStart"/>
      <w:r w:rsidRPr="00A4217B">
        <w:rPr>
          <w:sz w:val="24"/>
          <w:szCs w:val="24"/>
        </w:rPr>
        <w:t>Von</w:t>
      </w:r>
      <w:proofErr w:type="spellEnd"/>
      <w:r w:rsidRPr="00A4217B">
        <w:rPr>
          <w:sz w:val="24"/>
          <w:szCs w:val="24"/>
        </w:rPr>
        <w:t xml:space="preserve"> Willebrand que asegura la adherencia plaquetaria al colágeno del subendotelio, y factores de coagulación V y VIII que producen trombina. También encontramos quimiocinas y citoquinas que se encargan de la regulación de la inflamación y la quimiotaxis, proteínas adhesivas que son las responsables de las interacciones celulares y la coagulación. Y, por último, encontramos las inmunoglobulinas que como su nombre indica, tienen función inmunológica, los inhibidores del activador de plasminógeno que inhibe la fibrinólisis, y la P selectina, que crea la interacción leucocito-plaqueta </w:t>
      </w:r>
      <w:r w:rsidR="003E58C4">
        <w:rPr>
          <w:sz w:val="24"/>
          <w:szCs w:val="24"/>
        </w:rPr>
        <w:fldChar w:fldCharType="begin" w:fldLock="1"/>
      </w:r>
      <w:r w:rsidR="008B0F7C">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3E58C4">
        <w:rPr>
          <w:sz w:val="24"/>
          <w:szCs w:val="24"/>
        </w:rPr>
        <w:fldChar w:fldCharType="separate"/>
      </w:r>
      <w:r w:rsidR="003E58C4" w:rsidRPr="003E58C4">
        <w:rPr>
          <w:noProof/>
          <w:sz w:val="24"/>
          <w:szCs w:val="24"/>
        </w:rPr>
        <w:t>(9)</w:t>
      </w:r>
      <w:r w:rsidR="003E58C4">
        <w:rPr>
          <w:sz w:val="24"/>
          <w:szCs w:val="24"/>
        </w:rPr>
        <w:fldChar w:fldCharType="end"/>
      </w:r>
      <w:r w:rsidR="00DB7D01" w:rsidRPr="00FB5BBD">
        <w:rPr>
          <w:sz w:val="24"/>
          <w:szCs w:val="24"/>
        </w:rPr>
        <w:fldChar w:fldCharType="begin" w:fldLock="1"/>
      </w:r>
      <w:r w:rsidR="008B0F7C">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DB7D01" w:rsidRPr="00FB5BBD">
        <w:rPr>
          <w:sz w:val="24"/>
          <w:szCs w:val="24"/>
        </w:rPr>
        <w:fldChar w:fldCharType="separate"/>
      </w:r>
      <w:r w:rsidR="003E58C4" w:rsidRPr="003E58C4">
        <w:rPr>
          <w:noProof/>
          <w:sz w:val="24"/>
          <w:szCs w:val="24"/>
        </w:rPr>
        <w:t>(11)</w:t>
      </w:r>
      <w:r w:rsidR="00DB7D01" w:rsidRPr="00FB5BBD">
        <w:rPr>
          <w:sz w:val="24"/>
          <w:szCs w:val="24"/>
        </w:rPr>
        <w:fldChar w:fldCharType="end"/>
      </w:r>
      <w:r w:rsidR="003E5458" w:rsidRPr="00FB5BBD">
        <w:rPr>
          <w:sz w:val="24"/>
          <w:szCs w:val="24"/>
        </w:rPr>
        <w:t>.</w:t>
      </w:r>
    </w:p>
    <w:p w14:paraId="2CC85464" w14:textId="4FA17611" w:rsidR="000345C5" w:rsidRPr="00FB5BBD" w:rsidRDefault="00A4217B" w:rsidP="00707427">
      <w:pPr>
        <w:spacing w:line="360" w:lineRule="auto"/>
        <w:jc w:val="both"/>
        <w:rPr>
          <w:sz w:val="24"/>
          <w:szCs w:val="24"/>
        </w:rPr>
      </w:pPr>
      <w:r w:rsidRPr="00A4217B">
        <w:rPr>
          <w:sz w:val="24"/>
          <w:szCs w:val="24"/>
        </w:rPr>
        <w:t xml:space="preserve">En los últimos estudios se ha observado que las plaquetas también tienen capacidad de sintetizar proteínas como respuesta a cambios en su ambiente. Contienen factores de </w:t>
      </w:r>
      <w:r w:rsidRPr="00A4217B">
        <w:rPr>
          <w:sz w:val="24"/>
          <w:szCs w:val="24"/>
        </w:rPr>
        <w:lastRenderedPageBreak/>
        <w:t xml:space="preserve">transcripción y se está investigando su efecto en vías de señalización, aunque carezcan de núcleo y ADN </w:t>
      </w:r>
      <w:r w:rsidR="003D55CB" w:rsidRPr="006444CE">
        <w:rPr>
          <w:sz w:val="24"/>
          <w:szCs w:val="24"/>
        </w:rPr>
        <w:fldChar w:fldCharType="begin" w:fldLock="1"/>
      </w:r>
      <w:r w:rsidR="008B0F7C" w:rsidRPr="006444CE">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3D55CB" w:rsidRPr="006444CE">
        <w:rPr>
          <w:sz w:val="24"/>
          <w:szCs w:val="24"/>
        </w:rPr>
        <w:fldChar w:fldCharType="separate"/>
      </w:r>
      <w:r w:rsidR="003E58C4" w:rsidRPr="006444CE">
        <w:rPr>
          <w:noProof/>
          <w:sz w:val="24"/>
          <w:szCs w:val="24"/>
        </w:rPr>
        <w:t>(11)</w:t>
      </w:r>
      <w:r w:rsidR="003D55CB" w:rsidRPr="006444CE">
        <w:rPr>
          <w:sz w:val="24"/>
          <w:szCs w:val="24"/>
        </w:rPr>
        <w:fldChar w:fldCharType="end"/>
      </w:r>
      <w:r w:rsidR="003D55CB" w:rsidRPr="006444CE">
        <w:rPr>
          <w:sz w:val="24"/>
          <w:szCs w:val="24"/>
        </w:rPr>
        <w:t>.</w:t>
      </w:r>
      <w:r w:rsidR="003D55CB" w:rsidRPr="00FB5BBD">
        <w:rPr>
          <w:sz w:val="24"/>
          <w:szCs w:val="24"/>
        </w:rPr>
        <w:t xml:space="preserve"> </w:t>
      </w:r>
    </w:p>
    <w:p w14:paraId="0EEBF680" w14:textId="0324D009" w:rsidR="00AE33AE" w:rsidRDefault="00A4217B" w:rsidP="00FE3A97">
      <w:pPr>
        <w:spacing w:line="360" w:lineRule="auto"/>
        <w:jc w:val="both"/>
        <w:rPr>
          <w:sz w:val="24"/>
          <w:szCs w:val="24"/>
        </w:rPr>
      </w:pPr>
      <w:r w:rsidRPr="00A4217B">
        <w:rPr>
          <w:sz w:val="24"/>
          <w:szCs w:val="24"/>
        </w:rPr>
        <w:t xml:space="preserve">Se propone el uso de plasma rico en plaquetas ya que es autólogo, por consiguiente, se elimina el riesgo de contaminación cruzada y la transmisión de enfermedades bacterianas o respuestas inmunitarias. De igual manera que por su capacidad de estimular la producción y el aumento de la concentración de factores de crecimiento, por su actividad microbicida y moduladora del proceso inflamatorio, porque ayuda a la proliferación celular y la síntesis de matriz extracelular, favoreciendo la cicatrización y la reparación. Y no solo eso, además ayuda a la vascularización de injertos, reduce la morbilidad post cirugía, y mejora la regeneración de diferentes tejidos </w:t>
      </w:r>
      <w:r w:rsidR="00AE33AE" w:rsidRPr="00AE33AE">
        <w:rPr>
          <w:sz w:val="24"/>
          <w:szCs w:val="24"/>
        </w:rPr>
        <w:fldChar w:fldCharType="begin" w:fldLock="1"/>
      </w:r>
      <w:r w:rsidR="00AE33AE" w:rsidRPr="00AE33AE">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AE33AE" w:rsidRPr="00AE33AE">
        <w:rPr>
          <w:sz w:val="24"/>
          <w:szCs w:val="24"/>
        </w:rPr>
        <w:fldChar w:fldCharType="separate"/>
      </w:r>
      <w:r w:rsidR="00AE33AE" w:rsidRPr="00AE33AE">
        <w:rPr>
          <w:noProof/>
          <w:sz w:val="24"/>
          <w:szCs w:val="24"/>
        </w:rPr>
        <w:t>(9)</w:t>
      </w:r>
      <w:r w:rsidR="00AE33AE" w:rsidRPr="00AE33AE">
        <w:rPr>
          <w:sz w:val="24"/>
          <w:szCs w:val="24"/>
        </w:rPr>
        <w:fldChar w:fldCharType="end"/>
      </w:r>
      <w:r w:rsidR="00AE33AE" w:rsidRPr="00AE33AE">
        <w:rPr>
          <w:sz w:val="24"/>
          <w:szCs w:val="24"/>
        </w:rPr>
        <w:fldChar w:fldCharType="begin" w:fldLock="1"/>
      </w:r>
      <w:r w:rsidR="00AE33AE" w:rsidRPr="00AE33AE">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AE33AE" w:rsidRPr="00AE33AE">
        <w:rPr>
          <w:sz w:val="24"/>
          <w:szCs w:val="24"/>
        </w:rPr>
        <w:fldChar w:fldCharType="separate"/>
      </w:r>
      <w:r w:rsidR="00AE33AE" w:rsidRPr="00AE33AE">
        <w:rPr>
          <w:noProof/>
          <w:sz w:val="24"/>
          <w:szCs w:val="24"/>
        </w:rPr>
        <w:t>(11)</w:t>
      </w:r>
      <w:r w:rsidR="00AE33AE" w:rsidRPr="00AE33AE">
        <w:rPr>
          <w:sz w:val="24"/>
          <w:szCs w:val="24"/>
        </w:rPr>
        <w:fldChar w:fldCharType="end"/>
      </w:r>
      <w:r w:rsidR="00AE33AE" w:rsidRPr="00AE33AE">
        <w:rPr>
          <w:sz w:val="24"/>
          <w:szCs w:val="24"/>
        </w:rPr>
        <w:t>.</w:t>
      </w:r>
      <w:r w:rsidR="00AE33AE" w:rsidRPr="00FB5BBD">
        <w:rPr>
          <w:sz w:val="24"/>
          <w:szCs w:val="24"/>
        </w:rPr>
        <w:t xml:space="preserve"> </w:t>
      </w:r>
      <w:r w:rsidR="00AE33AE">
        <w:rPr>
          <w:sz w:val="24"/>
          <w:szCs w:val="24"/>
        </w:rPr>
        <w:t xml:space="preserve"> </w:t>
      </w:r>
    </w:p>
    <w:p w14:paraId="7591C511" w14:textId="53ED9FA4" w:rsidR="00FE3A97" w:rsidRDefault="00A4217B" w:rsidP="00FE3A97">
      <w:pPr>
        <w:spacing w:line="360" w:lineRule="auto"/>
        <w:jc w:val="both"/>
        <w:rPr>
          <w:sz w:val="24"/>
          <w:szCs w:val="24"/>
        </w:rPr>
      </w:pPr>
      <w:r w:rsidRPr="00A4217B">
        <w:rPr>
          <w:sz w:val="24"/>
          <w:szCs w:val="24"/>
        </w:rPr>
        <w:t xml:space="preserve">El plasma rico en plaquetas (PRP) es considerado un volumen de plasma conteniendo plaquetas por encima de su nivel basal, en otras palabras, por encima de las 150.000 – 350.000 plaquetas/µL. Primero de todo se extrae sangre al paciente y se centrifuga por primera vez la muestra a baja fuerza, de aquí obtendremos tres productos: en la parte inferior del tubo tendremos los glóbulos rojos, en la parte media la capa leucocítica, formada por glóbulos blancos y la mayoría de plaquetas, y en la parte superior plasma pobre en plaquetas (PPP). Este se consigue a través de la separación entre sólido y líquido de la sangre mediante una técnica conocida como plasmaféresis, técnica exclusiva para obtener plasma, gracias a la centrifugación, que separa los diferentes componentes con un sistema giratorio. Este fenómeno se produce gracias al principio físico que describe que la velocidad de sedimentación de las partículas en un entorno líquido en respuesta a las fuerzas gravitacionales será aproximadamente proporcional a su diámetro. Es decir, que las partículas con mayor diámetro quedaran en la parte inferior del tubo, y en la parte superior quedaran las de menor diámetro. En este producto ya se obtendrán plaquetas en una concentración de entre 4 y 6 veces mayor que en la sangre. Pero es tras el segundo centrifugando mezclando de nuevo el plasma y los glóbulos blancos, obtendremos un aumento de la concentración de plaqueta.  Seguidamente se retira el plasma pobre y medio en plaquetas, que corresponde a los dos tercios superiores del tubo, y el resto lo mezclamos con los glóbulos rojos para obtener el PRP. Se debe usar la suspensión antes de los 7 días aproximadamente, ya que </w:t>
      </w:r>
      <w:r w:rsidRPr="00A4217B">
        <w:rPr>
          <w:sz w:val="24"/>
          <w:szCs w:val="24"/>
        </w:rPr>
        <w:lastRenderedPageBreak/>
        <w:t>este es el tiempo que las plaquetas son viables y conservan la capacidad de liberar factores de crecimiento</w:t>
      </w:r>
      <w:r w:rsidR="003E58C4">
        <w:rPr>
          <w:sz w:val="24"/>
          <w:szCs w:val="24"/>
        </w:rPr>
        <w:fldChar w:fldCharType="begin" w:fldLock="1"/>
      </w:r>
      <w:r w:rsidR="008B0F7C">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(9)","plainTextFormattedCitation":"(9)","previouslyFormattedCitation":"(9)"},"properties":{"noteIndex":0},"schema":"https://github.com/citation-style-language/schema/raw/master/csl-citation.json"}</w:instrText>
      </w:r>
      <w:r w:rsidR="003E58C4">
        <w:rPr>
          <w:sz w:val="24"/>
          <w:szCs w:val="24"/>
        </w:rPr>
        <w:fldChar w:fldCharType="separate"/>
      </w:r>
      <w:r w:rsidR="003E58C4" w:rsidRPr="003E58C4">
        <w:rPr>
          <w:noProof/>
          <w:sz w:val="24"/>
          <w:szCs w:val="24"/>
        </w:rPr>
        <w:t>(9)</w:t>
      </w:r>
      <w:r w:rsidR="003E58C4">
        <w:rPr>
          <w:sz w:val="24"/>
          <w:szCs w:val="24"/>
        </w:rPr>
        <w:fldChar w:fldCharType="end"/>
      </w:r>
      <w:r w:rsidR="0015001C" w:rsidRPr="00FB5BBD">
        <w:rPr>
          <w:sz w:val="24"/>
          <w:szCs w:val="24"/>
        </w:rPr>
        <w:fldChar w:fldCharType="begin" w:fldLock="1"/>
      </w:r>
      <w:r w:rsidR="008B0F7C">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(11)","plainTextFormattedCitation":"(11)","previouslyFormattedCitation":"(11)"},"properties":{"noteIndex":0},"schema":"https://github.com/citation-style-language/schema/raw/master/csl-citation.json"}</w:instrText>
      </w:r>
      <w:r w:rsidR="0015001C" w:rsidRPr="00FB5BBD">
        <w:rPr>
          <w:sz w:val="24"/>
          <w:szCs w:val="24"/>
        </w:rPr>
        <w:fldChar w:fldCharType="separate"/>
      </w:r>
      <w:r w:rsidR="003E58C4" w:rsidRPr="003E58C4">
        <w:rPr>
          <w:noProof/>
          <w:sz w:val="24"/>
          <w:szCs w:val="24"/>
        </w:rPr>
        <w:t>(11)</w:t>
      </w:r>
      <w:r w:rsidR="0015001C" w:rsidRPr="00FB5BBD">
        <w:rPr>
          <w:sz w:val="24"/>
          <w:szCs w:val="24"/>
        </w:rPr>
        <w:fldChar w:fldCharType="end"/>
      </w:r>
      <w:r w:rsidR="007F5FB2" w:rsidRPr="006B0987">
        <w:rPr>
          <w:sz w:val="24"/>
          <w:szCs w:val="24"/>
        </w:rPr>
        <w:fldChar w:fldCharType="begin" w:fldLock="1"/>
      </w:r>
      <w:r w:rsidR="00426EDA" w:rsidRPr="006B0987">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(12)","plainTextFormattedCitation":"(12)","previouslyFormattedCitation":"(12)"},"properties":{"noteIndex":0},"schema":"https://github.com/citation-style-language/schema/raw/master/csl-citation.json"}</w:instrText>
      </w:r>
      <w:r w:rsidR="007F5FB2" w:rsidRPr="006B0987">
        <w:rPr>
          <w:sz w:val="24"/>
          <w:szCs w:val="24"/>
        </w:rPr>
        <w:fldChar w:fldCharType="separate"/>
      </w:r>
      <w:r w:rsidR="007F5FB2" w:rsidRPr="006B0987">
        <w:rPr>
          <w:noProof/>
          <w:sz w:val="24"/>
          <w:szCs w:val="24"/>
        </w:rPr>
        <w:t>(12)</w:t>
      </w:r>
      <w:r w:rsidR="007F5FB2" w:rsidRPr="006B0987">
        <w:rPr>
          <w:sz w:val="24"/>
          <w:szCs w:val="24"/>
        </w:rPr>
        <w:fldChar w:fldCharType="end"/>
      </w:r>
      <w:r w:rsidR="007F5FB2" w:rsidRPr="006B0987">
        <w:rPr>
          <w:sz w:val="24"/>
          <w:szCs w:val="24"/>
        </w:rPr>
        <w:fldChar w:fldCharType="begin" w:fldLock="1"/>
      </w:r>
      <w:r w:rsidR="00D433EE">
        <w:rPr>
          <w:sz w:val="24"/>
          <w:szCs w:val="24"/>
        </w:rPr>
        <w:instrText>ADDIN CSL_CITATION {"citationItems":[{"id":"ITEM-1","itemData":{"abstract":"RESUMEN La plasmaféresis trata procedimientos extracorpóreos cuya fi nalidad es la remoción de plasma, elementos formes de la sangre o bien de sustancias de alto peso molecular con-sideradas como responsables de procesos patológicos. En el caso del recambio plasmático, se trata de una técnica de reciente introducción cuyos benefi cios han sido documen-tados en diversos trabajos; sin embargo, su elevado costo la hace inaccesible sobre todo en países subdesarrollados y en aquéllos en vías de desarrollo. El presente artículo es una revisión del tema. ABSTRACT Are extracorporeal procedures whose purpose is the removal of plasm, elements form of the blood or of substances of high molecular weight, considered as responsible of pathological processes. In the case of the plasma replacement , it is a technique of recent introduction whose benefi ts have been documented in diverse works; however their high cost makes it inaccessible mainly in underdeveloped countries and in those developing. The present article is a revision of the topic. Palabras clave: Plasmaféresis, aféresis, recambio plasmático terapéutico. INTRODUCCIÓN L a palabra aféresis proviene del griego «aphaíresis» y significa «separar» o «remo-ver» por la fuerza. Este tipo de procedimientos puede ser utilizado para: a. La eliminación de plasma o recolección de componentes destinados como apoyo en la terapia transfusional sustitutiva, por lo cual y, de acuerdo con necesidades específicas, puede obtenerse plasma (plasmaféresis), leucocitos (leucoaféresis), hematíes (eritro-aféresis), plaquetas (plaquetoaféresis) e in-cluso células progenitoras hematopoyéticas de sangre periférica. Este procedimiento se caracteriza por la extracción de menor can-tidad de plasma (600 mL) sin reposición de volumen, la cual se realiza en menor tiempo y con técnicas de separación más simples en comparación con el recambio plasmático. 1,2 b. Se usa para la remoción de una proporción grande de plasma (1.2 veces del volumen circulante) con fines terapéuticos, o bien, para la eliminación (de 63 a 72%) por medio de transporte colectivo a través de una mem-brana semipermeable separadora o columna de aquellas sustancias de alto peso molecular presentes en el plasma como: autoanticuer-pos, complejos inmunes, cadenas ligeras de inmunoglobulinas, endotoxinas, crioglobu-linas, lipoproteínas, etc., causantes de una determinada patología. Las columnas más empleadas son las que se utilizan para elimi-nar los anticuerpos tipo IgG en enfer…","author":[{"dropping-particle":"","family":"Roberto","given":"José","non-dropping-particle":"","parse-names":false,"suffix":""},{"dropping-particle":"","family":"Evia","given":"Barba","non-dropping-particle":"","parse-names":false,"suffix":""}],"container-title":"Rev Latinoam Patol Clin Med Lab","id":"ITEM-1","issue":"3","issued":{"date-parts":[["2014"]]},"page":"163-174","title":"Plasmaféresis y recambio plasmático","type":"article-magazine","volume":"61"},"uris":["http://www.mendeley.com/documents/?uuid=78eb4a24-3dab-3c32-b1e7-8caac9838d7a"]}],"mendeley":{"formattedCitation":"(13)","plainTextFormattedCitation":"(13)","previouslyFormattedCitation":"(13)"},"properties":{"noteIndex":0},"schema":"https://github.com/citation-style-language/schema/raw/master/csl-citation.json"}</w:instrText>
      </w:r>
      <w:r w:rsidR="007F5FB2" w:rsidRPr="006B0987">
        <w:rPr>
          <w:sz w:val="24"/>
          <w:szCs w:val="24"/>
        </w:rPr>
        <w:fldChar w:fldCharType="separate"/>
      </w:r>
      <w:r w:rsidR="007F5FB2" w:rsidRPr="006B0987">
        <w:rPr>
          <w:noProof/>
          <w:sz w:val="24"/>
          <w:szCs w:val="24"/>
        </w:rPr>
        <w:t>(13)</w:t>
      </w:r>
      <w:r w:rsidR="007F5FB2" w:rsidRPr="006B0987">
        <w:rPr>
          <w:sz w:val="24"/>
          <w:szCs w:val="24"/>
        </w:rPr>
        <w:fldChar w:fldCharType="end"/>
      </w:r>
      <w:r w:rsidR="00313A51" w:rsidRPr="006B0987">
        <w:rPr>
          <w:sz w:val="24"/>
          <w:szCs w:val="24"/>
        </w:rPr>
        <w:t xml:space="preserve">. </w:t>
      </w:r>
    </w:p>
    <w:p w14:paraId="49C79C62" w14:textId="1FF17106" w:rsidR="00AE33AE" w:rsidRDefault="00A4217B" w:rsidP="00FE3A97">
      <w:pPr>
        <w:spacing w:line="360" w:lineRule="auto"/>
        <w:jc w:val="both"/>
        <w:rPr>
          <w:sz w:val="24"/>
          <w:szCs w:val="24"/>
        </w:rPr>
      </w:pPr>
      <w:r w:rsidRPr="00A4217B">
        <w:rPr>
          <w:sz w:val="24"/>
          <w:szCs w:val="24"/>
        </w:rPr>
        <w:t xml:space="preserve">En el año 2018 en España, gracias a la Organización Colegial de Dentistas, después de una lucha de largos años, y muchas negociaciones con los servicios jurídicos del Ministerio de Sanidad, Servicios Sociales e Igualdad, se les brindo a los odontólogos con la atribución de la venopunción. Desde esa fecha hasta día de hoy, ya no se requiere de una persona con titulación de enfermería para la extracción sanguínea en el consultorio dental, es el propio odontólogo quien habrá sido formado previamente quien puede realizar dichas tareas. Este hito beneficiará tanto al odontólogo, como al paciente, como a la sociedad en general visto que esta técnica mejora la eficacia de los tratamientos y la calidad de vida, acelerando el proceso de cicatrización de tejidos duros como blandos, menor dolor y menor inflamación. Este proceso no tiene inconvenientes en ser realizado, siempre y cuando el paciente este sano y no sufra de ninguna coagulopatía o trastornos sanguíneos, se deberá excluir a los pacientes con problemas hepáticos, toma de determinados medicamentos y alteraciones genéticas </w:t>
      </w:r>
      <w:r w:rsidR="008305D7">
        <w:rPr>
          <w:sz w:val="24"/>
          <w:szCs w:val="24"/>
        </w:rPr>
        <w:fldChar w:fldCharType="begin" w:fldLock="1"/>
      </w:r>
      <w:r w:rsidR="00174004">
        <w:rPr>
          <w:sz w:val="24"/>
          <w:szCs w:val="24"/>
        </w:rPr>
        <w:instrText>ADDIN CSL_CITATION {"citationItems":[{"id":"ITEM-1","itemData":{"container-title":"Revista del Consejo General de Dentistas de España","id":"ITEM-1","issued":{"date-parts":[["2018"]]},"page":"6-10","title":"Dentistas","type":"article-journal","volume":"29"},"uris":["http://www.mendeley.com/documents/?uuid=be50728f-5458-4e43-9186-de2c1d2fb608"]}],"mendeley":{"formattedCitation":"(14)","plainTextFormattedCitation":"(14)","previouslyFormattedCitation":"(14)"},"properties":{"noteIndex":0},"schema":"https://github.com/citation-style-language/schema/raw/master/csl-citation.json"}</w:instrText>
      </w:r>
      <w:r w:rsidR="008305D7">
        <w:rPr>
          <w:sz w:val="24"/>
          <w:szCs w:val="24"/>
        </w:rPr>
        <w:fldChar w:fldCharType="separate"/>
      </w:r>
      <w:r w:rsidR="008305D7" w:rsidRPr="008305D7">
        <w:rPr>
          <w:noProof/>
          <w:sz w:val="24"/>
          <w:szCs w:val="24"/>
        </w:rPr>
        <w:t>(14)</w:t>
      </w:r>
      <w:r w:rsidR="008305D7">
        <w:rPr>
          <w:sz w:val="24"/>
          <w:szCs w:val="24"/>
        </w:rPr>
        <w:fldChar w:fldCharType="end"/>
      </w:r>
      <w:r w:rsidR="00A57FDC">
        <w:rPr>
          <w:sz w:val="24"/>
          <w:szCs w:val="24"/>
        </w:rPr>
        <w:t xml:space="preserve">. </w:t>
      </w:r>
    </w:p>
    <w:p w14:paraId="2D40ECAF" w14:textId="06641E55" w:rsidR="00AE33AE" w:rsidRDefault="00A4217B" w:rsidP="00FE3A97">
      <w:pPr>
        <w:spacing w:line="360" w:lineRule="auto"/>
        <w:jc w:val="both"/>
        <w:rPr>
          <w:sz w:val="24"/>
          <w:szCs w:val="24"/>
        </w:rPr>
      </w:pPr>
      <w:r w:rsidRPr="00A4217B">
        <w:rPr>
          <w:sz w:val="24"/>
          <w:szCs w:val="24"/>
        </w:rPr>
        <w:t xml:space="preserve">En la siguiente ilustración podemos observar el proceso de extracción de sangre y centrifugación y como se aprecian las 3 capas explicadas anteriormente, más el segundo centrifugado necesario para obtener el PRP </w:t>
      </w:r>
      <w:r w:rsidR="00005BF4">
        <w:rPr>
          <w:sz w:val="24"/>
          <w:szCs w:val="24"/>
        </w:rPr>
        <w:t xml:space="preserve">(Ilustración 1). </w:t>
      </w:r>
    </w:p>
    <w:p w14:paraId="49EC578E" w14:textId="77777777" w:rsidR="00707427" w:rsidRDefault="00707427" w:rsidP="00FE3A97">
      <w:pPr>
        <w:spacing w:line="360" w:lineRule="auto"/>
        <w:jc w:val="both"/>
        <w:rPr>
          <w:sz w:val="24"/>
          <w:szCs w:val="24"/>
        </w:rPr>
      </w:pPr>
    </w:p>
    <w:p w14:paraId="6D5A1E76" w14:textId="77777777" w:rsidR="008A6E6D" w:rsidRDefault="00FE1D6C" w:rsidP="008A6E6D">
      <w:pPr>
        <w:keepNext/>
        <w:spacing w:line="360" w:lineRule="auto"/>
        <w:jc w:val="center"/>
      </w:pPr>
      <w:r w:rsidRPr="000B7365">
        <w:rPr>
          <w:noProof/>
          <w:sz w:val="24"/>
          <w:szCs w:val="24"/>
        </w:rPr>
        <w:drawing>
          <wp:inline distT="0" distB="0" distL="0" distR="0" wp14:anchorId="203FCD48" wp14:editId="31531311">
            <wp:extent cx="3776400" cy="2520000"/>
            <wp:effectExtent l="0" t="0" r="0" b="0"/>
            <wp:docPr id="1" name="Imagen 1" descr="Figura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10;">
                      <a:extLst>
                        <a:ext uri="{C183D7F6-B498-43B3-948B-1728B52AA6E4}">
                          <adec:decorative xmlns:adec="http://schemas.microsoft.com/office/drawing/2017/decorative" val="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a:ln>
                      <a:noFill/>
                    </a:ln>
                  </pic:spPr>
                </pic:pic>
              </a:graphicData>
            </a:graphic>
          </wp:inline>
        </w:drawing>
      </w:r>
    </w:p>
    <w:p w14:paraId="28FEAF19" w14:textId="67838D94" w:rsidR="00183E0B" w:rsidRPr="007E7796" w:rsidRDefault="008A6E6D" w:rsidP="008A6E6D">
      <w:pPr>
        <w:pStyle w:val="Descripcin"/>
        <w:jc w:val="center"/>
        <w:rPr>
          <w:color w:val="auto"/>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1</w:t>
      </w:r>
      <w:r w:rsidRPr="007E7796">
        <w:rPr>
          <w:color w:val="auto"/>
        </w:rPr>
        <w:fldChar w:fldCharType="end"/>
      </w:r>
      <w:r w:rsidRPr="007E7796">
        <w:rPr>
          <w:color w:val="auto"/>
        </w:rPr>
        <w:t xml:space="preserve"> </w:t>
      </w:r>
      <w:r w:rsidRPr="007E7796">
        <w:rPr>
          <w:i w:val="0"/>
          <w:iCs w:val="0"/>
          <w:color w:val="auto"/>
        </w:rPr>
        <w:t>(9)</w:t>
      </w:r>
    </w:p>
    <w:p w14:paraId="464CA840" w14:textId="1E89EA8B" w:rsidR="00E1710C" w:rsidRDefault="00A4217B" w:rsidP="00707427">
      <w:pPr>
        <w:spacing w:before="240" w:line="360" w:lineRule="auto"/>
        <w:jc w:val="both"/>
        <w:rPr>
          <w:sz w:val="24"/>
          <w:szCs w:val="24"/>
        </w:rPr>
      </w:pPr>
      <w:r w:rsidRPr="00A4217B">
        <w:rPr>
          <w:rFonts w:ascii="Calibri" w:hAnsi="Calibri" w:cs="Calibri"/>
          <w:sz w:val="24"/>
          <w:szCs w:val="24"/>
        </w:rPr>
        <w:lastRenderedPageBreak/>
        <w:t xml:space="preserve">Sin embargo, al tener una gran variedad de técnicas para obtener PRP se obtiene de igual modo una gran variedad de sus productos. Estos pueden divergir según el volumen de la muestra sanguínea recogida, ya que al recoger una muestra de sangre mayor tendrá más cantidad de plaquetas. Hay que tener en cuenta la inclusión o exclusión de glóbulos blancos puesto que se ha visto que el preparado que contiene glóbulos blancos puede inhibir la curación e inducir mayor dolor local. La activación de trombina exógena plaquetaria, en consecuencia, a que sí hay niveles demasiado altos de trombina exógena se reduce el efecto biológico del PRP activado por trombina, en comparación al PRP no activado. Y, por último, la formación de una matriz de fibrina. Incluso, dependiendo de la fuerza y duración de la centrifugación puede afectar a la concentración y composición de las plaquetas </w:t>
      </w:r>
      <w:r w:rsidR="00E1710C" w:rsidRPr="006B0987">
        <w:rPr>
          <w:sz w:val="24"/>
          <w:szCs w:val="24"/>
        </w:rPr>
        <w:fldChar w:fldCharType="begin" w:fldLock="1"/>
      </w:r>
      <w:r w:rsidR="00E1710C">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(12)","plainTextFormattedCitation":"(12)","previouslyFormattedCitation":"(12)"},"properties":{"noteIndex":0},"schema":"https://github.com/citation-style-language/schema/raw/master/csl-citation.json"}</w:instrText>
      </w:r>
      <w:r w:rsidR="00E1710C" w:rsidRPr="006B0987">
        <w:rPr>
          <w:sz w:val="24"/>
          <w:szCs w:val="24"/>
        </w:rPr>
        <w:fldChar w:fldCharType="separate"/>
      </w:r>
      <w:r w:rsidR="00E1710C" w:rsidRPr="006B0987">
        <w:rPr>
          <w:noProof/>
          <w:sz w:val="24"/>
          <w:szCs w:val="24"/>
        </w:rPr>
        <w:t>(12)</w:t>
      </w:r>
      <w:r w:rsidR="00E1710C" w:rsidRPr="006B0987">
        <w:rPr>
          <w:sz w:val="24"/>
          <w:szCs w:val="24"/>
        </w:rPr>
        <w:fldChar w:fldCharType="end"/>
      </w:r>
      <w:r w:rsidR="00E1710C" w:rsidRPr="006B0987">
        <w:rPr>
          <w:sz w:val="24"/>
          <w:szCs w:val="24"/>
        </w:rPr>
        <w:t>.</w:t>
      </w:r>
    </w:p>
    <w:p w14:paraId="7D5848AD" w14:textId="04F5F205" w:rsidR="00D433EE" w:rsidRDefault="00A4217B" w:rsidP="00E1710C">
      <w:pPr>
        <w:spacing w:line="360" w:lineRule="auto"/>
        <w:jc w:val="both"/>
        <w:rPr>
          <w:sz w:val="24"/>
          <w:szCs w:val="24"/>
        </w:rPr>
      </w:pPr>
      <w:r w:rsidRPr="00A4217B">
        <w:rPr>
          <w:sz w:val="24"/>
          <w:szCs w:val="24"/>
        </w:rPr>
        <w:t xml:space="preserve">Se reconocen cuatro categorías de preparados de plaquetas: Plasma Rico en Plaquetas puro (P-PRP), Plasma Rico en Plaquetas y Leucocitos (L-PRP), Fibrina Rica en Plaquetas puro (P-PRF), y Fibrina Rica en Plaquetas y Leucocitos (L-PRF) </w:t>
      </w:r>
      <w:r w:rsidR="00FE3A97">
        <w:rPr>
          <w:sz w:val="24"/>
          <w:szCs w:val="24"/>
        </w:rPr>
        <w:fldChar w:fldCharType="begin" w:fldLock="1"/>
      </w:r>
      <w:r w:rsidR="00FE3A97">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(12)","plainTextFormattedCitation":"(12)","previouslyFormattedCitation":"(12)"},"properties":{"noteIndex":0},"schema":"https://github.com/citation-style-language/schema/raw/master/csl-citation.json"}</w:instrText>
      </w:r>
      <w:r w:rsidR="00FE3A97">
        <w:rPr>
          <w:sz w:val="24"/>
          <w:szCs w:val="24"/>
        </w:rPr>
        <w:fldChar w:fldCharType="separate"/>
      </w:r>
      <w:r w:rsidR="00FE3A97" w:rsidRPr="00D433EE">
        <w:rPr>
          <w:noProof/>
          <w:sz w:val="24"/>
          <w:szCs w:val="24"/>
        </w:rPr>
        <w:t>(12)</w:t>
      </w:r>
      <w:r w:rsidR="00FE3A97">
        <w:rPr>
          <w:sz w:val="24"/>
          <w:szCs w:val="24"/>
        </w:rPr>
        <w:fldChar w:fldCharType="end"/>
      </w:r>
      <w:r w:rsidR="00E1710C">
        <w:rPr>
          <w:sz w:val="24"/>
          <w:szCs w:val="24"/>
        </w:rPr>
        <w:fldChar w:fldCharType="begin" w:fldLock="1"/>
      </w:r>
      <w:r w:rsidR="00174004">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(15)","plainTextFormattedCitation":"(15)","previouslyFormattedCitation":"(15)"},"properties":{"noteIndex":0},"schema":"https://github.com/citation-style-language/schema/raw/master/csl-citation.json"}</w:instrText>
      </w:r>
      <w:r w:rsidR="00E1710C">
        <w:rPr>
          <w:sz w:val="24"/>
          <w:szCs w:val="24"/>
        </w:rPr>
        <w:fldChar w:fldCharType="separate"/>
      </w:r>
      <w:r w:rsidR="008305D7" w:rsidRPr="008305D7">
        <w:rPr>
          <w:noProof/>
          <w:sz w:val="24"/>
          <w:szCs w:val="24"/>
        </w:rPr>
        <w:t>(15)</w:t>
      </w:r>
      <w:r w:rsidR="00E1710C">
        <w:rPr>
          <w:sz w:val="24"/>
          <w:szCs w:val="24"/>
        </w:rPr>
        <w:fldChar w:fldCharType="end"/>
      </w:r>
      <w:r w:rsidR="00FE3A97">
        <w:rPr>
          <w:sz w:val="24"/>
          <w:szCs w:val="24"/>
        </w:rPr>
        <w:t xml:space="preserve">. </w:t>
      </w:r>
    </w:p>
    <w:p w14:paraId="6FA28DA1" w14:textId="4675A5A7" w:rsidR="00FE1D6C" w:rsidRDefault="00A4217B" w:rsidP="00E1710C">
      <w:pPr>
        <w:spacing w:line="360" w:lineRule="auto"/>
        <w:jc w:val="both"/>
        <w:rPr>
          <w:sz w:val="24"/>
          <w:szCs w:val="24"/>
        </w:rPr>
      </w:pPr>
      <w:r w:rsidRPr="00A4217B">
        <w:rPr>
          <w:sz w:val="24"/>
          <w:szCs w:val="24"/>
        </w:rPr>
        <w:t xml:space="preserve">P-PRP se desarrolló como una aplicación adicional al PRP en cirugías maxilofaciales, aun así, es raro ver este protocolo en el día a día ya que es complicado y requiere de un trabajo intenso y laborioso, e incluso se puede necesitar la ayuda de un hematólogo, aunque no deja de ser uno de los sistemas más precisos </w:t>
      </w:r>
      <w:r w:rsidR="008E2B74">
        <w:rPr>
          <w:sz w:val="24"/>
          <w:szCs w:val="24"/>
        </w:rPr>
        <w:fldChar w:fldCharType="begin" w:fldLock="1"/>
      </w:r>
      <w:r w:rsidR="00174004">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(15)","plainTextFormattedCitation":"(15)","previouslyFormattedCitation":"(15)"},"properties":{"noteIndex":0},"schema":"https://github.com/citation-style-language/schema/raw/master/csl-citation.json"}</w:instrText>
      </w:r>
      <w:r w:rsidR="008E2B74">
        <w:rPr>
          <w:sz w:val="24"/>
          <w:szCs w:val="24"/>
        </w:rPr>
        <w:fldChar w:fldCharType="separate"/>
      </w:r>
      <w:r w:rsidR="008305D7" w:rsidRPr="008305D7">
        <w:rPr>
          <w:noProof/>
          <w:sz w:val="24"/>
          <w:szCs w:val="24"/>
        </w:rPr>
        <w:t>(15)</w:t>
      </w:r>
      <w:r w:rsidR="008E2B74">
        <w:rPr>
          <w:sz w:val="24"/>
          <w:szCs w:val="24"/>
        </w:rPr>
        <w:fldChar w:fldCharType="end"/>
      </w:r>
      <w:r w:rsidR="008E2B74">
        <w:rPr>
          <w:sz w:val="24"/>
          <w:szCs w:val="24"/>
        </w:rPr>
        <w:t xml:space="preserve">. </w:t>
      </w:r>
    </w:p>
    <w:p w14:paraId="687AB7AC" w14:textId="2682A7AC" w:rsidR="008E7F6C" w:rsidRDefault="00A4217B" w:rsidP="00E1710C">
      <w:pPr>
        <w:spacing w:line="360" w:lineRule="auto"/>
        <w:jc w:val="both"/>
        <w:rPr>
          <w:sz w:val="24"/>
          <w:szCs w:val="24"/>
        </w:rPr>
      </w:pPr>
      <w:r w:rsidRPr="00A4217B">
        <w:rPr>
          <w:sz w:val="24"/>
          <w:szCs w:val="24"/>
        </w:rPr>
        <w:t xml:space="preserve">Como el sistema anterior requiere de un trabajo meticuloso y costoso, se propuso el L-PRP con la finalidad de hacer posible el uso en la práctica diaria sin la necesidad de un laboratorio o un hematólogo. A pesar de intentarlo, se vio que el proceso de preparación requería invertir demasiado tiempo y resultaba en volúmenes limitados de L-PRP. Además, si la capa leucocitaria no es recolectada correctamente se puede obtener P-PRP antes que L-PRP </w:t>
      </w:r>
      <w:r w:rsidR="008E7F6C">
        <w:rPr>
          <w:sz w:val="24"/>
          <w:szCs w:val="24"/>
        </w:rPr>
        <w:fldChar w:fldCharType="begin" w:fldLock="1"/>
      </w:r>
      <w:r w:rsidR="00174004">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(15)","plainTextFormattedCitation":"(15)","previouslyFormattedCitation":"(15)"},"properties":{"noteIndex":0},"schema":"https://github.com/citation-style-language/schema/raw/master/csl-citation.json"}</w:instrText>
      </w:r>
      <w:r w:rsidR="008E7F6C">
        <w:rPr>
          <w:sz w:val="24"/>
          <w:szCs w:val="24"/>
        </w:rPr>
        <w:fldChar w:fldCharType="separate"/>
      </w:r>
      <w:r w:rsidR="008305D7" w:rsidRPr="008305D7">
        <w:rPr>
          <w:noProof/>
          <w:sz w:val="24"/>
          <w:szCs w:val="24"/>
        </w:rPr>
        <w:t>(15)</w:t>
      </w:r>
      <w:r w:rsidR="008E7F6C">
        <w:rPr>
          <w:sz w:val="24"/>
          <w:szCs w:val="24"/>
        </w:rPr>
        <w:fldChar w:fldCharType="end"/>
      </w:r>
      <w:r w:rsidR="008E7F6C">
        <w:rPr>
          <w:sz w:val="24"/>
          <w:szCs w:val="24"/>
        </w:rPr>
        <w:t>.</w:t>
      </w:r>
    </w:p>
    <w:p w14:paraId="3279E21B" w14:textId="6D753A08" w:rsidR="008E2B74" w:rsidRDefault="00A4217B" w:rsidP="000C084C">
      <w:pPr>
        <w:spacing w:line="360" w:lineRule="auto"/>
        <w:jc w:val="both"/>
        <w:rPr>
          <w:sz w:val="24"/>
          <w:szCs w:val="24"/>
        </w:rPr>
      </w:pPr>
      <w:r w:rsidRPr="00A4217B">
        <w:rPr>
          <w:sz w:val="24"/>
          <w:szCs w:val="24"/>
        </w:rPr>
        <w:t xml:space="preserve">Para la obtención del P-PRF solo hay un método disponible, y si bien el protocolo es muy parecido al de L-PRP, la principal diferencia es que en este producto se recogen cantidades muy bajas de leucocitos. Al solo haber un método para obtener P-PRF este es costoso y difícil de aplicar en la práctica diaria </w:t>
      </w:r>
      <w:r w:rsidR="00EF2789">
        <w:rPr>
          <w:sz w:val="24"/>
          <w:szCs w:val="24"/>
        </w:rPr>
        <w:fldChar w:fldCharType="begin" w:fldLock="1"/>
      </w:r>
      <w:r w:rsidR="00174004">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(15)","plainTextFormattedCitation":"(15)","previouslyFormattedCitation":"(15)"},"properties":{"noteIndex":0},"schema":"https://github.com/citation-style-language/schema/raw/master/csl-citation.json"}</w:instrText>
      </w:r>
      <w:r w:rsidR="00EF2789">
        <w:rPr>
          <w:sz w:val="24"/>
          <w:szCs w:val="24"/>
        </w:rPr>
        <w:fldChar w:fldCharType="separate"/>
      </w:r>
      <w:r w:rsidR="008305D7" w:rsidRPr="008305D7">
        <w:rPr>
          <w:noProof/>
          <w:sz w:val="24"/>
          <w:szCs w:val="24"/>
        </w:rPr>
        <w:t>(15)</w:t>
      </w:r>
      <w:r w:rsidR="00EF2789">
        <w:rPr>
          <w:sz w:val="24"/>
          <w:szCs w:val="24"/>
        </w:rPr>
        <w:fldChar w:fldCharType="end"/>
      </w:r>
      <w:r w:rsidR="00EF2789">
        <w:rPr>
          <w:sz w:val="24"/>
          <w:szCs w:val="24"/>
        </w:rPr>
        <w:t>.</w:t>
      </w:r>
    </w:p>
    <w:p w14:paraId="6B7E04EA" w14:textId="5C8F776C" w:rsidR="00A4217B" w:rsidRDefault="00A4217B" w:rsidP="00A4217B">
      <w:pPr>
        <w:keepNext/>
        <w:spacing w:line="360" w:lineRule="auto"/>
        <w:jc w:val="both"/>
        <w:rPr>
          <w:sz w:val="24"/>
          <w:szCs w:val="24"/>
        </w:rPr>
      </w:pPr>
      <w:r w:rsidRPr="00A4217B">
        <w:rPr>
          <w:sz w:val="24"/>
          <w:szCs w:val="24"/>
        </w:rPr>
        <w:t xml:space="preserve">En la Ilustración 2 podemos diferenciar con claridad los diferentes procesos de centrifugación. Se empieza con la extracción de sangre con anticoagulantes y un </w:t>
      </w:r>
      <w:r w:rsidRPr="00A4217B">
        <w:rPr>
          <w:sz w:val="24"/>
          <w:szCs w:val="24"/>
        </w:rPr>
        <w:lastRenderedPageBreak/>
        <w:t>centrifugado a baja fuerza, así obtendremos las 3 capas principales: glóbulos rojos, capa leucocítica y PPP, desde la parte más baja del tubo a la más alta, respectivamente. Dependiendo de los productos mezclados en el segundo centrifugado podemos lograr dos productos finales; obtendremos PRP Puro si mezclamos la capa leucocitaria y el PPP, o, por otro lado, produciremos L-PRP si combinamos PPP, la capa leucocítica y glóbulos rojos residuales</w:t>
      </w:r>
      <w:r>
        <w:rPr>
          <w:sz w:val="24"/>
          <w:szCs w:val="24"/>
        </w:rPr>
        <w:t>.</w:t>
      </w:r>
    </w:p>
    <w:p w14:paraId="764A30FD" w14:textId="73750642" w:rsidR="008A6E6D" w:rsidRDefault="008A6E6D" w:rsidP="008A6E6D">
      <w:pPr>
        <w:keepNext/>
        <w:spacing w:line="360" w:lineRule="auto"/>
        <w:jc w:val="center"/>
      </w:pPr>
      <w:r w:rsidRPr="006444CE">
        <w:rPr>
          <w:noProof/>
          <w:sz w:val="24"/>
          <w:szCs w:val="24"/>
        </w:rPr>
        <w:drawing>
          <wp:inline distT="0" distB="0" distL="0" distR="0" wp14:anchorId="23D4BAEA" wp14:editId="33135D74">
            <wp:extent cx="43092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200" cy="2520000"/>
                    </a:xfrm>
                    <a:prstGeom prst="rect">
                      <a:avLst/>
                    </a:prstGeom>
                    <a:noFill/>
                    <a:ln>
                      <a:noFill/>
                    </a:ln>
                  </pic:spPr>
                </pic:pic>
              </a:graphicData>
            </a:graphic>
          </wp:inline>
        </w:drawing>
      </w:r>
    </w:p>
    <w:p w14:paraId="78D6A87C" w14:textId="6EE6DF95" w:rsidR="008A6E6D" w:rsidRPr="007E7796" w:rsidRDefault="008A6E6D" w:rsidP="008A6E6D">
      <w:pPr>
        <w:pStyle w:val="Descripcin"/>
        <w:jc w:val="center"/>
        <w:rPr>
          <w:color w:val="auto"/>
          <w:sz w:val="24"/>
          <w:szCs w:val="24"/>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2</w:t>
      </w:r>
      <w:r w:rsidRPr="007E7796">
        <w:rPr>
          <w:color w:val="auto"/>
        </w:rPr>
        <w:fldChar w:fldCharType="end"/>
      </w:r>
      <w:r w:rsidRPr="007E7796">
        <w:rPr>
          <w:color w:val="auto"/>
        </w:rPr>
        <w:t xml:space="preserve"> </w:t>
      </w:r>
      <w:r w:rsidRPr="007E7796">
        <w:rPr>
          <w:i w:val="0"/>
          <w:iCs w:val="0"/>
          <w:color w:val="auto"/>
        </w:rPr>
        <w:t>(15)</w:t>
      </w:r>
    </w:p>
    <w:p w14:paraId="6442E2DE" w14:textId="7128D431" w:rsidR="00AC14EF" w:rsidRDefault="00FA028D" w:rsidP="00FA028D">
      <w:pPr>
        <w:spacing w:line="360" w:lineRule="auto"/>
        <w:jc w:val="both"/>
        <w:rPr>
          <w:sz w:val="24"/>
          <w:szCs w:val="24"/>
        </w:rPr>
      </w:pPr>
      <w:r w:rsidRPr="00FA028D">
        <w:rPr>
          <w:sz w:val="24"/>
          <w:szCs w:val="24"/>
        </w:rPr>
        <w:t xml:space="preserve">Pero en este trabajo nos queremos centrar en el L-PRF concretamente. Este se obtiene mediante el protocolo de PRF del francés </w:t>
      </w:r>
      <w:proofErr w:type="spellStart"/>
      <w:r w:rsidRPr="00FA028D">
        <w:rPr>
          <w:sz w:val="24"/>
          <w:szCs w:val="24"/>
        </w:rPr>
        <w:t>Choukroun</w:t>
      </w:r>
      <w:proofErr w:type="spellEnd"/>
      <w:r w:rsidRPr="00FA028D">
        <w:rPr>
          <w:sz w:val="24"/>
          <w:szCs w:val="24"/>
        </w:rPr>
        <w:t xml:space="preserve"> quien fue el pionero de la preparación de PRF a principios de este siglo, el L-PRF se considera la segunda generación de concentrado plaquetario. Esta técnica es sencilla y económica, ya que no requiere ni de anticoagulantes</w:t>
      </w:r>
      <w:r w:rsidR="009A16A4">
        <w:rPr>
          <w:sz w:val="24"/>
          <w:szCs w:val="24"/>
        </w:rPr>
        <w:t>,</w:t>
      </w:r>
      <w:r w:rsidRPr="00FA028D">
        <w:rPr>
          <w:sz w:val="24"/>
          <w:szCs w:val="24"/>
        </w:rPr>
        <w:t xml:space="preserve"> ni de trombina bovina</w:t>
      </w:r>
      <w:r w:rsidR="009A16A4">
        <w:rPr>
          <w:sz w:val="24"/>
          <w:szCs w:val="24"/>
        </w:rPr>
        <w:t xml:space="preserve">, ni de </w:t>
      </w:r>
      <w:r w:rsidR="00E93760">
        <w:rPr>
          <w:sz w:val="24"/>
          <w:szCs w:val="24"/>
        </w:rPr>
        <w:t>cloruro cálcico</w:t>
      </w:r>
      <w:r w:rsidRPr="00FA028D">
        <w:rPr>
          <w:sz w:val="24"/>
          <w:szCs w:val="24"/>
        </w:rPr>
        <w:t>, simplemente se extrae unos 10 ml de sangre al paciente y se centrifuga inmediatamente a 3.000 rpm, aproximadamente unos 400 g, durante 10 minutos. Al no añadir ningún anticoagulante, la muestra de sangre empezará la cascada de coagulación cuando entre en contacto con las paredes del tubo de muestra. En la parte superior del tubo podemos encontrar fibrinógeno sin activar, pero al interactuar con la trombina, esta se transforma en fibrina, por ese motivo, se formará un coagulo de fibrina en la zona media del tubo. En la Ilustración 2 y 3 podemos observar la separación entre las 3 capas y como se ha formado un coagulo de fibrina entre el plasma acelular y los glóbulos rojos</w:t>
      </w:r>
      <w:r>
        <w:rPr>
          <w:sz w:val="24"/>
          <w:szCs w:val="24"/>
        </w:rPr>
        <w:t xml:space="preserve"> </w:t>
      </w:r>
      <w:r w:rsidR="00D31958">
        <w:rPr>
          <w:sz w:val="24"/>
          <w:szCs w:val="24"/>
        </w:rPr>
        <w:fldChar w:fldCharType="begin" w:fldLock="1"/>
      </w:r>
      <w:r w:rsidR="00174004">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(16)","plainTextFormattedCitation":"(16)","previouslyFormattedCitation":"(16)"},"properties":{"noteIndex":0},"schema":"https://github.com/citation-style-language/schema/raw/master/csl-citation.json"}</w:instrText>
      </w:r>
      <w:r w:rsidR="00D31958">
        <w:rPr>
          <w:sz w:val="24"/>
          <w:szCs w:val="24"/>
        </w:rPr>
        <w:fldChar w:fldCharType="separate"/>
      </w:r>
      <w:r w:rsidR="008305D7" w:rsidRPr="008305D7">
        <w:rPr>
          <w:noProof/>
          <w:sz w:val="24"/>
          <w:szCs w:val="24"/>
        </w:rPr>
        <w:t>(16)</w:t>
      </w:r>
      <w:r w:rsidR="00D31958">
        <w:rPr>
          <w:sz w:val="24"/>
          <w:szCs w:val="24"/>
        </w:rPr>
        <w:fldChar w:fldCharType="end"/>
      </w:r>
      <w:r w:rsidR="000209CD">
        <w:rPr>
          <w:sz w:val="24"/>
          <w:szCs w:val="24"/>
        </w:rPr>
        <w:fldChar w:fldCharType="begin" w:fldLock="1"/>
      </w:r>
      <w:r w:rsidR="009D2F47">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(17)","plainTextFormattedCitation":"(17)","previouslyFormattedCitation":"(17)"},"properties":{"noteIndex":0},"schema":"https://github.com/citation-style-language/schema/raw/master/csl-citation.json"}</w:instrText>
      </w:r>
      <w:r w:rsidR="000209CD">
        <w:rPr>
          <w:sz w:val="24"/>
          <w:szCs w:val="24"/>
        </w:rPr>
        <w:fldChar w:fldCharType="separate"/>
      </w:r>
      <w:r w:rsidR="000209CD" w:rsidRPr="000209CD">
        <w:rPr>
          <w:noProof/>
          <w:sz w:val="24"/>
          <w:szCs w:val="24"/>
        </w:rPr>
        <w:t>(17)</w:t>
      </w:r>
      <w:r w:rsidR="000209CD">
        <w:rPr>
          <w:sz w:val="24"/>
          <w:szCs w:val="24"/>
        </w:rPr>
        <w:fldChar w:fldCharType="end"/>
      </w:r>
      <w:r w:rsidR="00E93760">
        <w:rPr>
          <w:sz w:val="24"/>
          <w:szCs w:val="24"/>
        </w:rPr>
        <w:fldChar w:fldCharType="begin" w:fldLock="1"/>
      </w:r>
      <w:r w:rsidR="008609E3">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(18)","plainTextFormattedCitation":"(18)","previouslyFormattedCitation":"(18)"},"properties":{"noteIndex":0},"schema":"https://github.com/citation-style-language/schema/raw/master/csl-citation.json"}</w:instrText>
      </w:r>
      <w:r w:rsidR="00E93760">
        <w:rPr>
          <w:sz w:val="24"/>
          <w:szCs w:val="24"/>
        </w:rPr>
        <w:fldChar w:fldCharType="separate"/>
      </w:r>
      <w:r w:rsidR="00E93760" w:rsidRPr="00E93760">
        <w:rPr>
          <w:noProof/>
          <w:sz w:val="24"/>
          <w:szCs w:val="24"/>
        </w:rPr>
        <w:t>(18)</w:t>
      </w:r>
      <w:r w:rsidR="00E93760">
        <w:rPr>
          <w:sz w:val="24"/>
          <w:szCs w:val="24"/>
        </w:rPr>
        <w:fldChar w:fldCharType="end"/>
      </w:r>
      <w:r w:rsidR="00D31958">
        <w:rPr>
          <w:sz w:val="24"/>
          <w:szCs w:val="24"/>
        </w:rPr>
        <w:t>.</w:t>
      </w:r>
    </w:p>
    <w:p w14:paraId="60A1C83B" w14:textId="77777777" w:rsidR="00867B48" w:rsidRPr="00174004" w:rsidRDefault="00867B48" w:rsidP="00FA028D">
      <w:pPr>
        <w:spacing w:line="360" w:lineRule="auto"/>
        <w:jc w:val="both"/>
        <w:rPr>
          <w:sz w:val="24"/>
          <w:szCs w:val="24"/>
        </w:rPr>
      </w:pPr>
    </w:p>
    <w:p w14:paraId="5600B6A2" w14:textId="52929123" w:rsidR="00174004" w:rsidRDefault="00174004" w:rsidP="00174004">
      <w:pPr>
        <w:keepNext/>
        <w:spacing w:line="360" w:lineRule="auto"/>
        <w:jc w:val="both"/>
      </w:pPr>
      <w:r>
        <w:rPr>
          <w:noProof/>
        </w:rPr>
        <w:lastRenderedPageBreak/>
        <mc:AlternateContent>
          <mc:Choice Requires="wps">
            <w:drawing>
              <wp:anchor distT="0" distB="0" distL="114300" distR="114300" simplePos="0" relativeHeight="251660288" behindDoc="1" locked="0" layoutInCell="1" allowOverlap="1" wp14:anchorId="5BD6E001" wp14:editId="70B0B2E1">
                <wp:simplePos x="0" y="0"/>
                <wp:positionH relativeFrom="column">
                  <wp:posOffset>2419350</wp:posOffset>
                </wp:positionH>
                <wp:positionV relativeFrom="paragraph">
                  <wp:posOffset>2593340</wp:posOffset>
                </wp:positionV>
                <wp:extent cx="334073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45B1D704" w14:textId="53EEC843" w:rsidR="004050B6" w:rsidRPr="007E7796" w:rsidRDefault="004050B6" w:rsidP="007E7796">
                            <w:pPr>
                              <w:pStyle w:val="Descripcin"/>
                              <w:jc w:val="center"/>
                              <w:rPr>
                                <w:noProof/>
                                <w:color w:val="auto"/>
                                <w:sz w:val="24"/>
                                <w:szCs w:val="24"/>
                              </w:rPr>
                            </w:pPr>
                            <w:r w:rsidRPr="007E7796">
                              <w:rPr>
                                <w:color w:val="auto"/>
                              </w:rPr>
                              <w:t xml:space="preserve">Ilustración 3 </w:t>
                            </w:r>
                            <w:r w:rsidRPr="007E7796">
                              <w:rPr>
                                <w:i w:val="0"/>
                                <w:iCs w:val="0"/>
                                <w:color w:val="auto"/>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D6E001" id="_x0000_t202" coordsize="21600,21600" o:spt="202" path="m,l,21600r21600,l21600,xe">
                <v:stroke joinstyle="miter"/>
                <v:path gradientshapeok="t" o:connecttype="rect"/>
              </v:shapetype>
              <v:shape id="Cuadro de texto 6" o:spid="_x0000_s1026" type="#_x0000_t202" style="position:absolute;left:0;text-align:left;margin-left:190.5pt;margin-top:204.2pt;width:26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" stroked="f">
                <v:textbox style="mso-fit-shape-to-text:t" inset="0,0,0,0">
                  <w:txbxContent>
                    <w:p w14:paraId="45B1D704" w14:textId="53EEC843" w:rsidR="004050B6" w:rsidRPr="007E7796" w:rsidRDefault="004050B6" w:rsidP="007E7796">
                      <w:pPr>
                        <w:pStyle w:val="Descripcin"/>
                        <w:jc w:val="center"/>
                        <w:rPr>
                          <w:noProof/>
                          <w:color w:val="auto"/>
                          <w:sz w:val="24"/>
                          <w:szCs w:val="24"/>
                        </w:rPr>
                      </w:pPr>
                      <w:r w:rsidRPr="007E7796">
                        <w:rPr>
                          <w:color w:val="auto"/>
                        </w:rPr>
                        <w:t xml:space="preserve">Ilustración 3 </w:t>
                      </w:r>
                      <w:r w:rsidRPr="007E7796">
                        <w:rPr>
                          <w:i w:val="0"/>
                          <w:iCs w:val="0"/>
                          <w:color w:val="auto"/>
                        </w:rPr>
                        <w:t>(16)</w:t>
                      </w:r>
                    </w:p>
                  </w:txbxContent>
                </v:textbox>
              </v:shape>
            </w:pict>
          </mc:Fallback>
        </mc:AlternateContent>
      </w:r>
      <w:r w:rsidRPr="00D17D42">
        <w:rPr>
          <w:noProof/>
          <w:sz w:val="24"/>
          <w:szCs w:val="24"/>
        </w:rPr>
        <w:drawing>
          <wp:anchor distT="0" distB="0" distL="114300" distR="114300" simplePos="0" relativeHeight="251658240" behindDoc="1" locked="0" layoutInCell="1" allowOverlap="1" wp14:anchorId="580ED62D" wp14:editId="22F1F51C">
            <wp:simplePos x="0" y="0"/>
            <wp:positionH relativeFrom="margin">
              <wp:posOffset>2419985</wp:posOffset>
            </wp:positionH>
            <wp:positionV relativeFrom="paragraph">
              <wp:posOffset>14605</wp:posOffset>
            </wp:positionV>
            <wp:extent cx="3340735" cy="2519680"/>
            <wp:effectExtent l="0" t="0" r="0" b="0"/>
            <wp:wrapThrough wrapText="bothSides">
              <wp:wrapPolygon edited="0">
                <wp:start x="0" y="0"/>
                <wp:lineTo x="0" y="21393"/>
                <wp:lineTo x="21432" y="21393"/>
                <wp:lineTo x="214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0447" b="50172"/>
                    <a:stretch/>
                  </pic:blipFill>
                  <pic:spPr bwMode="auto">
                    <a:xfrm>
                      <a:off x="0" y="0"/>
                      <a:ext cx="334073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4EF" w:rsidRPr="00D17D42">
        <w:rPr>
          <w:noProof/>
          <w:sz w:val="24"/>
          <w:szCs w:val="24"/>
        </w:rPr>
        <w:drawing>
          <wp:inline distT="0" distB="0" distL="0" distR="0" wp14:anchorId="2C1C8E7C" wp14:editId="78F2EEEF">
            <wp:extent cx="1663200"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200" cy="2520000"/>
                    </a:xfrm>
                    <a:prstGeom prst="rect">
                      <a:avLst/>
                    </a:prstGeom>
                    <a:noFill/>
                    <a:ln>
                      <a:noFill/>
                    </a:ln>
                  </pic:spPr>
                </pic:pic>
              </a:graphicData>
            </a:graphic>
          </wp:inline>
        </w:drawing>
      </w:r>
    </w:p>
    <w:p w14:paraId="4AC7A751" w14:textId="398B6616" w:rsidR="00FA028D" w:rsidRPr="00867B48" w:rsidRDefault="00174004" w:rsidP="00867B48">
      <w:pPr>
        <w:pStyle w:val="Descripcin"/>
        <w:rPr>
          <w:color w:val="auto"/>
          <w:sz w:val="22"/>
          <w:szCs w:val="22"/>
        </w:rPr>
      </w:pPr>
      <w:r w:rsidRPr="007E7796">
        <w:rPr>
          <w:color w:val="auto"/>
        </w:rPr>
        <w:t xml:space="preserve">Ilustración 2 </w:t>
      </w:r>
      <w:r w:rsidRPr="007E7796">
        <w:rPr>
          <w:color w:val="auto"/>
        </w:rPr>
        <w:fldChar w:fldCharType="begin" w:fldLock="1"/>
      </w:r>
      <w:r w:rsidR="00227823">
        <w:rPr>
          <w:color w:val="auto"/>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(16)","plainTextFormattedCitation":"(16)","previouslyFormattedCitation":"(16)"},"properties":{"noteIndex":0},"schema":"https://github.com/citation-style-language/schema/raw/master/csl-citation.json"}</w:instrText>
      </w:r>
      <w:r w:rsidRPr="007E7796">
        <w:rPr>
          <w:color w:val="auto"/>
        </w:rPr>
        <w:fldChar w:fldCharType="separate"/>
      </w:r>
      <w:r w:rsidRPr="007E7796">
        <w:rPr>
          <w:i w:val="0"/>
          <w:noProof/>
          <w:color w:val="auto"/>
        </w:rPr>
        <w:t>(16)</w:t>
      </w:r>
      <w:r w:rsidRPr="007E7796">
        <w:rPr>
          <w:color w:val="auto"/>
        </w:rPr>
        <w:fldChar w:fldCharType="end"/>
      </w:r>
    </w:p>
    <w:p w14:paraId="07690E24" w14:textId="77777777" w:rsidR="00867B48" w:rsidRDefault="00867B48" w:rsidP="000C084C">
      <w:pPr>
        <w:spacing w:line="360" w:lineRule="auto"/>
        <w:jc w:val="both"/>
        <w:rPr>
          <w:sz w:val="24"/>
          <w:szCs w:val="24"/>
        </w:rPr>
      </w:pPr>
    </w:p>
    <w:p w14:paraId="32B157A4" w14:textId="33D82DFD" w:rsidR="00D31958" w:rsidRDefault="00FA028D" w:rsidP="000C084C">
      <w:pPr>
        <w:spacing w:line="360" w:lineRule="auto"/>
        <w:jc w:val="both"/>
        <w:rPr>
          <w:sz w:val="24"/>
          <w:szCs w:val="24"/>
        </w:rPr>
      </w:pPr>
      <w:r w:rsidRPr="00FA028D">
        <w:rPr>
          <w:sz w:val="24"/>
          <w:szCs w:val="24"/>
        </w:rPr>
        <w:t xml:space="preserve">Esta sencilla y modesta técnica depende, esencialmente, del tiempo que se tarda entre la recolección de la muestra de sangre y llevarla a la centrifugadora, dado que, sin ningún anticoagulante añadido previamente, la muestra empezará a coagular en el momento que entre en contacto con las paredes del tubo de muestra </w:t>
      </w:r>
      <w:r w:rsidR="0021772C">
        <w:rPr>
          <w:sz w:val="24"/>
          <w:szCs w:val="24"/>
        </w:rPr>
        <w:fldChar w:fldCharType="begin" w:fldLock="1"/>
      </w:r>
      <w:r w:rsidR="00174004">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(16)","plainTextFormattedCitation":"(16)","previouslyFormattedCitation":"(16)"},"properties":{"noteIndex":0},"schema":"https://github.com/citation-style-language/schema/raw/master/csl-citation.json"}</w:instrText>
      </w:r>
      <w:r w:rsidR="0021772C">
        <w:rPr>
          <w:sz w:val="24"/>
          <w:szCs w:val="24"/>
        </w:rPr>
        <w:fldChar w:fldCharType="separate"/>
      </w:r>
      <w:r w:rsidR="008305D7" w:rsidRPr="008305D7">
        <w:rPr>
          <w:noProof/>
          <w:sz w:val="24"/>
          <w:szCs w:val="24"/>
        </w:rPr>
        <w:t>(16)</w:t>
      </w:r>
      <w:r w:rsidR="0021772C">
        <w:rPr>
          <w:sz w:val="24"/>
          <w:szCs w:val="24"/>
        </w:rPr>
        <w:fldChar w:fldCharType="end"/>
      </w:r>
      <w:r w:rsidR="0021772C">
        <w:rPr>
          <w:sz w:val="24"/>
          <w:szCs w:val="24"/>
        </w:rPr>
        <w:t xml:space="preserve">. </w:t>
      </w:r>
    </w:p>
    <w:p w14:paraId="24D873D0" w14:textId="1EDFB9D2" w:rsidR="00BA5642" w:rsidRDefault="001566C5" w:rsidP="00FA028D">
      <w:pPr>
        <w:spacing w:line="360" w:lineRule="auto"/>
        <w:jc w:val="both"/>
        <w:rPr>
          <w:sz w:val="24"/>
          <w:szCs w:val="24"/>
        </w:rPr>
      </w:pPr>
      <w:r>
        <w:rPr>
          <w:sz w:val="24"/>
          <w:szCs w:val="24"/>
        </w:rPr>
        <w:t>La estructura trimolecular</w:t>
      </w:r>
      <w:r w:rsidR="009D2CB7">
        <w:rPr>
          <w:sz w:val="24"/>
          <w:szCs w:val="24"/>
        </w:rPr>
        <w:t xml:space="preserve"> L-PRF est</w:t>
      </w:r>
      <w:r w:rsidR="00A36D40">
        <w:rPr>
          <w:sz w:val="24"/>
          <w:szCs w:val="24"/>
        </w:rPr>
        <w:t>á</w:t>
      </w:r>
      <w:r w:rsidR="009D2CB7">
        <w:rPr>
          <w:sz w:val="24"/>
          <w:szCs w:val="24"/>
        </w:rPr>
        <w:t xml:space="preserve"> compuest</w:t>
      </w:r>
      <w:r>
        <w:rPr>
          <w:sz w:val="24"/>
          <w:szCs w:val="24"/>
        </w:rPr>
        <w:t>a</w:t>
      </w:r>
      <w:r w:rsidR="009D2CB7">
        <w:rPr>
          <w:sz w:val="24"/>
          <w:szCs w:val="24"/>
        </w:rPr>
        <w:t xml:space="preserve"> mayoritariamente de una </w:t>
      </w:r>
      <w:r w:rsidR="00CD13A6">
        <w:rPr>
          <w:sz w:val="24"/>
          <w:szCs w:val="24"/>
        </w:rPr>
        <w:t xml:space="preserve">densa </w:t>
      </w:r>
      <w:r w:rsidR="0059249C">
        <w:rPr>
          <w:sz w:val="24"/>
          <w:szCs w:val="24"/>
        </w:rPr>
        <w:t>matriz de fibrina</w:t>
      </w:r>
      <w:r w:rsidR="009D2CB7">
        <w:rPr>
          <w:sz w:val="24"/>
          <w:szCs w:val="24"/>
        </w:rPr>
        <w:t xml:space="preserve"> que permite un entramado de plaquetas</w:t>
      </w:r>
      <w:r>
        <w:rPr>
          <w:sz w:val="24"/>
          <w:szCs w:val="24"/>
        </w:rPr>
        <w:t>,</w:t>
      </w:r>
      <w:r w:rsidR="009D2CB7">
        <w:rPr>
          <w:sz w:val="24"/>
          <w:szCs w:val="24"/>
        </w:rPr>
        <w:t xml:space="preserve"> leucocitos</w:t>
      </w:r>
      <w:r>
        <w:rPr>
          <w:sz w:val="24"/>
          <w:szCs w:val="24"/>
        </w:rPr>
        <w:t>, y células madre</w:t>
      </w:r>
      <w:r w:rsidR="00CD13A6">
        <w:rPr>
          <w:sz w:val="24"/>
          <w:szCs w:val="24"/>
        </w:rPr>
        <w:t xml:space="preserve">. Estas liberaran proteínas tales como proteínas adhesivas, </w:t>
      </w:r>
      <w:r w:rsidR="009D2F47">
        <w:rPr>
          <w:sz w:val="24"/>
          <w:szCs w:val="24"/>
        </w:rPr>
        <w:t>citoquinas</w:t>
      </w:r>
      <w:r w:rsidR="00CD13A6">
        <w:rPr>
          <w:sz w:val="24"/>
          <w:szCs w:val="24"/>
        </w:rPr>
        <w:t xml:space="preserve">, quimiocinas, factores de la </w:t>
      </w:r>
      <w:r w:rsidR="00E623CD">
        <w:rPr>
          <w:sz w:val="24"/>
          <w:szCs w:val="24"/>
        </w:rPr>
        <w:t>coagulación</w:t>
      </w:r>
      <w:r w:rsidR="00CD13A6">
        <w:rPr>
          <w:sz w:val="24"/>
          <w:szCs w:val="24"/>
        </w:rPr>
        <w:t xml:space="preserve">, proteínas antimicrobianas, glicoproteínas (fibronectina y </w:t>
      </w:r>
      <w:proofErr w:type="spellStart"/>
      <w:r w:rsidR="00CD13A6">
        <w:rPr>
          <w:sz w:val="24"/>
          <w:szCs w:val="24"/>
        </w:rPr>
        <w:t>vitronectina</w:t>
      </w:r>
      <w:proofErr w:type="spellEnd"/>
      <w:r w:rsidR="00CD13A6">
        <w:rPr>
          <w:sz w:val="24"/>
          <w:szCs w:val="24"/>
        </w:rPr>
        <w:t xml:space="preserve">), proteasas y </w:t>
      </w:r>
      <w:proofErr w:type="spellStart"/>
      <w:r w:rsidR="00CD13A6">
        <w:rPr>
          <w:sz w:val="24"/>
          <w:szCs w:val="24"/>
        </w:rPr>
        <w:t>antiproteasas</w:t>
      </w:r>
      <w:proofErr w:type="spellEnd"/>
      <w:r w:rsidR="00CD13A6">
        <w:rPr>
          <w:sz w:val="24"/>
          <w:szCs w:val="24"/>
        </w:rPr>
        <w:t xml:space="preserve">, condroitina, albumina, inmunoglobulinas, factor plaquetario, la </w:t>
      </w:r>
      <w:r w:rsidR="00E623CD">
        <w:rPr>
          <w:rFonts w:cstheme="minorHAnsi"/>
          <w:sz w:val="24"/>
          <w:szCs w:val="24"/>
        </w:rPr>
        <w:t>β</w:t>
      </w:r>
      <w:r w:rsidR="00E623CD">
        <w:rPr>
          <w:sz w:val="24"/>
          <w:szCs w:val="24"/>
        </w:rPr>
        <w:t xml:space="preserve"> </w:t>
      </w:r>
      <w:proofErr w:type="spellStart"/>
      <w:r w:rsidR="00E623CD">
        <w:rPr>
          <w:sz w:val="24"/>
          <w:szCs w:val="24"/>
        </w:rPr>
        <w:t>tromboglobulina</w:t>
      </w:r>
      <w:proofErr w:type="spellEnd"/>
      <w:r w:rsidR="00E623CD">
        <w:rPr>
          <w:sz w:val="24"/>
          <w:szCs w:val="24"/>
        </w:rPr>
        <w:t xml:space="preserve"> y </w:t>
      </w:r>
      <w:proofErr w:type="spellStart"/>
      <w:r w:rsidR="00E623CD">
        <w:rPr>
          <w:sz w:val="24"/>
          <w:szCs w:val="24"/>
        </w:rPr>
        <w:t>endostatinas</w:t>
      </w:r>
      <w:proofErr w:type="spellEnd"/>
      <w:r w:rsidR="00E623CD">
        <w:rPr>
          <w:sz w:val="24"/>
          <w:szCs w:val="24"/>
        </w:rPr>
        <w:t xml:space="preserve">. </w:t>
      </w:r>
      <w:r w:rsidR="009D2F47">
        <w:rPr>
          <w:sz w:val="24"/>
          <w:szCs w:val="24"/>
        </w:rPr>
        <w:t xml:space="preserve"> </w:t>
      </w:r>
      <w:r w:rsidR="00E623CD">
        <w:rPr>
          <w:sz w:val="24"/>
          <w:szCs w:val="24"/>
        </w:rPr>
        <w:t>Sin olvidar también</w:t>
      </w:r>
      <w:r w:rsidR="009D2F47">
        <w:rPr>
          <w:sz w:val="24"/>
          <w:szCs w:val="24"/>
        </w:rPr>
        <w:t xml:space="preserve"> factores de crecimiento</w:t>
      </w:r>
      <w:r w:rsidR="00E623CD">
        <w:rPr>
          <w:sz w:val="24"/>
          <w:szCs w:val="24"/>
        </w:rPr>
        <w:t xml:space="preserve"> derivad</w:t>
      </w:r>
      <w:r w:rsidR="0064655F">
        <w:rPr>
          <w:sz w:val="24"/>
          <w:szCs w:val="24"/>
        </w:rPr>
        <w:t xml:space="preserve">os de las plaquetas, factor de crecimiento transformante </w:t>
      </w:r>
      <w:r w:rsidR="0064655F">
        <w:rPr>
          <w:rFonts w:cstheme="minorHAnsi"/>
          <w:sz w:val="24"/>
          <w:szCs w:val="24"/>
        </w:rPr>
        <w:t>β</w:t>
      </w:r>
      <w:r w:rsidR="0064655F">
        <w:rPr>
          <w:rFonts w:cstheme="minorHAnsi"/>
          <w:sz w:val="24"/>
          <w:szCs w:val="24"/>
        </w:rPr>
        <w:t>1</w:t>
      </w:r>
      <w:r w:rsidR="008609E3">
        <w:rPr>
          <w:sz w:val="24"/>
          <w:szCs w:val="24"/>
        </w:rPr>
        <w:t xml:space="preserve">, </w:t>
      </w:r>
      <w:r w:rsidR="0064655F">
        <w:rPr>
          <w:sz w:val="24"/>
          <w:szCs w:val="24"/>
        </w:rPr>
        <w:t>y factores de crecimiento endotelial vascular</w:t>
      </w:r>
      <w:r w:rsidR="008609E3">
        <w:rPr>
          <w:sz w:val="24"/>
          <w:szCs w:val="24"/>
        </w:rPr>
        <w:t>,</w:t>
      </w:r>
      <w:r w:rsidR="009D2F47">
        <w:rPr>
          <w:sz w:val="24"/>
          <w:szCs w:val="24"/>
        </w:rPr>
        <w:t xml:space="preserve"> que ayudan a la cicatrización gracias a que promueve la angiogénesis y la proliferación celular </w:t>
      </w:r>
      <w:r w:rsidR="008609E3">
        <w:rPr>
          <w:sz w:val="24"/>
          <w:szCs w:val="24"/>
        </w:rPr>
        <w:t xml:space="preserve">de diferentes células como fibroblastos, osteoblastos, adipocitos y queratinocitos. Estos elementos son liberados lentamente en un periodo de 7 días aproximadamente </w:t>
      </w:r>
      <w:r w:rsidR="008609E3">
        <w:rPr>
          <w:sz w:val="24"/>
          <w:szCs w:val="24"/>
        </w:rPr>
        <w:fldChar w:fldCharType="begin" w:fldLock="1"/>
      </w:r>
      <w:r>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(18)","plainTextFormattedCitation":"(18)","previouslyFormattedCitation":"(18)"},"properties":{"noteIndex":0},"schema":"https://github.com/citation-style-language/schema/raw/master/csl-citation.json"}</w:instrText>
      </w:r>
      <w:r w:rsidR="008609E3">
        <w:rPr>
          <w:sz w:val="24"/>
          <w:szCs w:val="24"/>
        </w:rPr>
        <w:fldChar w:fldCharType="separate"/>
      </w:r>
      <w:r w:rsidR="008609E3" w:rsidRPr="008609E3">
        <w:rPr>
          <w:noProof/>
          <w:sz w:val="24"/>
          <w:szCs w:val="24"/>
        </w:rPr>
        <w:t>(18)</w:t>
      </w:r>
      <w:r w:rsidR="008609E3">
        <w:rPr>
          <w:sz w:val="24"/>
          <w:szCs w:val="24"/>
        </w:rPr>
        <w:fldChar w:fldCharType="end"/>
      </w:r>
      <w:r w:rsidR="009D2F47">
        <w:rPr>
          <w:sz w:val="24"/>
          <w:szCs w:val="24"/>
        </w:rPr>
        <w:fldChar w:fldCharType="begin" w:fldLock="1"/>
      </w:r>
      <w:r w:rsidR="008609E3">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(19)","plainTextFormattedCitation":"(19)","previouslyFormattedCitation":"(19)"},"properties":{"noteIndex":0},"schema":"https://github.com/citation-style-language/schema/raw/master/csl-citation.json"}</w:instrText>
      </w:r>
      <w:r w:rsidR="009D2F47">
        <w:rPr>
          <w:sz w:val="24"/>
          <w:szCs w:val="24"/>
        </w:rPr>
        <w:fldChar w:fldCharType="separate"/>
      </w:r>
      <w:r w:rsidR="00E93760" w:rsidRPr="00E93760">
        <w:rPr>
          <w:noProof/>
          <w:sz w:val="24"/>
          <w:szCs w:val="24"/>
        </w:rPr>
        <w:t>(19)</w:t>
      </w:r>
      <w:r w:rsidR="009D2F47">
        <w:rPr>
          <w:sz w:val="24"/>
          <w:szCs w:val="24"/>
        </w:rPr>
        <w:fldChar w:fldCharType="end"/>
      </w:r>
      <w:r>
        <w:rPr>
          <w:sz w:val="24"/>
          <w:szCs w:val="24"/>
        </w:rPr>
        <w:fldChar w:fldCharType="begin" w:fldLock="1"/>
      </w:r>
      <w:r w:rsidR="0064655F">
        <w:rPr>
          <w:sz w:val="24"/>
          <w:szCs w:val="24"/>
        </w:rPr>
        <w:instrText>ADDIN CSL_CITATION {"citationItems":[{"id":"ITEM-1","itemData":{"abstract":"RESUMEN Introducción: múltiples han sido las aplicaciones de los concentrados plaquetarios; recientemente se destacan sus beneficios como sustratos básicos para la obtención de biomateriales, por lo que resulta prometedor este nuevo uso que exige, de forma razonable, la delimitación de sus indicaciones y una mejor comprensión de los procesos biológicos que conducen a la regeneración. Objetivo: exponer las ventajas que, desde la evidencia, muestra la fibrina rica en plaquetas y leucocitos, biomaterial autólogo utilizado en la regeneración tisular. Método: la búsqueda especializada de la bibliografía se realizó entre los meses de octubre y noviembre de 2017; se seleccionaron los artículos más destacados en prestigiosas bases de datos, de los cuales el 90 %, fueron publicados en los últimos cinco años. Conclusiones: la regeneración tisular tiene en la fibrina rica en plaquetas y leucocitos, un biomaterial que está mostrando, desde la evidencia, su pertinencia de aplicación multidisciplinaria. Sus ventajas abarcan desde su esencia autóloga, hasta las sencillas y rápidas vías para su obtención. El estado actual del conocimiento en este campo transdisciplinario sugiere el diseño de nuevas investigaciones que permitan reforzar su cuerpo de evidencias, y establecer un adecuado marco regulatorio para su uso. ABSTRACT Introduction: platelet concentrates have had multiple uses; their benefits are recently highlighted as basic substrates for obtaining biomaterials that is why this new use results promising as they require, in a reasonable way, the delimitation of their indications, as well as, a better comprehension of the biological processes that lead to regeneration. Objective: to present the advantages that, based on the evidence, show leukocyte-and platelet-rich fibrin, as an autologous biomaterial used in tissue regeneration. Methods: the specialized bibliographic search was conducted between October and November 2017 where the most outstanding articles from prestigious databases were selected; 90 % of them were published in the last five years.","author":[{"dropping-particle":"","family":"Antonio","given":"Manuel","non-dropping-particle":"","parse-names":false,"suffix":""},{"dropping-particle":"","family":"González","given":"Arce","non-dropping-particle":"","parse-names":false,"suffix":""},{"dropping-particle":"","family":"Marina","given":"Alba","non-dropping-particle":"","parse-names":false,"suffix":""},{"dropping-particle":"","family":"Suárez","given":"Díaz","non-dropping-particle":"","parse-names":false,"suffix":""},{"dropping-particle":"","family":"Hernández","given":"Mireisy Díaz","non-dropping-particle":"","parse-names":false,"suffix":""},{"dropping-particle":"","family":"José","given":"Vicente","non-dropping-particle":"","parse-names":false,"suffix":""}],"container-title":"Medicentro Electrónica","id":"ITEM-1","issue":"1","issued":{"date-parts":[["2018"]]},"page":"19-26","title":"Fibrina rica en plaquetas y leucocitos: biomaterial autólogo excelente para la regeneración tisular","type":"article-journal","volume":"22"},"uris":["http://www.mendeley.com/documents/?uuid=9a2a91b5-eaa8-4257-9216-a6fd70bc31a2"]}],"mendeley":{"formattedCitation":"(20)","plainTextFormattedCitation":"(20)","previouslyFormattedCitation":"(20)"},"properties":{"noteIndex":0},"schema":"https://github.com/citation-style-language/schema/raw/master/csl-citation.json"}</w:instrText>
      </w:r>
      <w:r>
        <w:rPr>
          <w:sz w:val="24"/>
          <w:szCs w:val="24"/>
        </w:rPr>
        <w:fldChar w:fldCharType="separate"/>
      </w:r>
      <w:r w:rsidRPr="001566C5">
        <w:rPr>
          <w:noProof/>
          <w:sz w:val="24"/>
          <w:szCs w:val="24"/>
        </w:rPr>
        <w:t>(20)</w:t>
      </w:r>
      <w:r>
        <w:rPr>
          <w:sz w:val="24"/>
          <w:szCs w:val="24"/>
        </w:rPr>
        <w:fldChar w:fldCharType="end"/>
      </w:r>
      <w:r w:rsidR="009D2F47">
        <w:rPr>
          <w:sz w:val="24"/>
          <w:szCs w:val="24"/>
        </w:rPr>
        <w:t>.</w:t>
      </w:r>
    </w:p>
    <w:p w14:paraId="04005063" w14:textId="797C7B75" w:rsidR="00FA028D" w:rsidRPr="00FA028D" w:rsidRDefault="00FA028D" w:rsidP="00FA028D">
      <w:pPr>
        <w:spacing w:line="360" w:lineRule="auto"/>
        <w:jc w:val="both"/>
        <w:rPr>
          <w:sz w:val="24"/>
          <w:szCs w:val="24"/>
        </w:rPr>
      </w:pPr>
      <w:r w:rsidRPr="00FA028D">
        <w:rPr>
          <w:sz w:val="24"/>
          <w:szCs w:val="24"/>
        </w:rPr>
        <w:t xml:space="preserve">Se ha podido comprobar que mejora la curación de los tejidos blandos en </w:t>
      </w:r>
      <w:r w:rsidR="00525C08">
        <w:rPr>
          <w:sz w:val="24"/>
          <w:szCs w:val="24"/>
        </w:rPr>
        <w:t>elevaciones</w:t>
      </w:r>
      <w:r w:rsidRPr="00FA028D">
        <w:rPr>
          <w:sz w:val="24"/>
          <w:szCs w:val="24"/>
        </w:rPr>
        <w:t xml:space="preserve"> de senos y preservación alveolar, ayuda a reducir la inflamación postoperatoria y la sensación de dolor del paciente.</w:t>
      </w:r>
      <w:r w:rsidR="000209CD">
        <w:rPr>
          <w:sz w:val="24"/>
          <w:szCs w:val="24"/>
        </w:rPr>
        <w:t xml:space="preserve"> Se utiliza en tratamientos como afectaciones de </w:t>
      </w:r>
      <w:proofErr w:type="spellStart"/>
      <w:r w:rsidR="000209CD">
        <w:rPr>
          <w:sz w:val="24"/>
          <w:szCs w:val="24"/>
        </w:rPr>
        <w:t>furca</w:t>
      </w:r>
      <w:proofErr w:type="spellEnd"/>
      <w:r w:rsidR="0059249C">
        <w:rPr>
          <w:sz w:val="24"/>
          <w:szCs w:val="24"/>
        </w:rPr>
        <w:t xml:space="preserve">, </w:t>
      </w:r>
      <w:r w:rsidR="000209CD">
        <w:rPr>
          <w:sz w:val="24"/>
          <w:szCs w:val="24"/>
        </w:rPr>
        <w:t xml:space="preserve">defectos intraóseos </w:t>
      </w:r>
      <w:r w:rsidR="006722C9">
        <w:rPr>
          <w:sz w:val="24"/>
          <w:szCs w:val="24"/>
        </w:rPr>
        <w:t xml:space="preserve">y recesiones </w:t>
      </w:r>
      <w:r w:rsidR="000209CD">
        <w:rPr>
          <w:sz w:val="24"/>
          <w:szCs w:val="24"/>
        </w:rPr>
        <w:t>periodontales</w:t>
      </w:r>
      <w:r w:rsidR="0059249C">
        <w:rPr>
          <w:sz w:val="24"/>
          <w:szCs w:val="24"/>
        </w:rPr>
        <w:t xml:space="preserve">, </w:t>
      </w:r>
      <w:r w:rsidR="00525C08">
        <w:rPr>
          <w:sz w:val="24"/>
          <w:szCs w:val="24"/>
        </w:rPr>
        <w:t xml:space="preserve">cierre de </w:t>
      </w:r>
      <w:r w:rsidR="0059249C">
        <w:rPr>
          <w:sz w:val="24"/>
          <w:szCs w:val="24"/>
        </w:rPr>
        <w:t xml:space="preserve">comunicaciones oro-sinusales, </w:t>
      </w:r>
      <w:r w:rsidR="008217C0">
        <w:rPr>
          <w:sz w:val="24"/>
          <w:szCs w:val="24"/>
        </w:rPr>
        <w:lastRenderedPageBreak/>
        <w:t>como membrana en implantología</w:t>
      </w:r>
      <w:r w:rsidR="0059249C">
        <w:rPr>
          <w:sz w:val="24"/>
          <w:szCs w:val="24"/>
        </w:rPr>
        <w:t xml:space="preserve"> o simplemente en exodoncias</w:t>
      </w:r>
      <w:r w:rsidR="000209CD">
        <w:rPr>
          <w:sz w:val="24"/>
          <w:szCs w:val="24"/>
        </w:rPr>
        <w:t>. Ayuda a prevenir el riesgo de infección g</w:t>
      </w:r>
      <w:r w:rsidR="00867B48">
        <w:rPr>
          <w:sz w:val="24"/>
          <w:szCs w:val="24"/>
        </w:rPr>
        <w:t>racias a su habilidad de modular l</w:t>
      </w:r>
      <w:r w:rsidR="00867B48" w:rsidRPr="00867B48">
        <w:rPr>
          <w:sz w:val="24"/>
          <w:szCs w:val="24"/>
        </w:rPr>
        <w:t>a fagocitosis y la degradación enzimática de los neutrófilos</w:t>
      </w:r>
      <w:r w:rsidR="009D2F47">
        <w:rPr>
          <w:sz w:val="24"/>
          <w:szCs w:val="24"/>
        </w:rPr>
        <w:t>, que junto con los macrófagos eliminan bacterias y tejido necrótico</w:t>
      </w:r>
      <w:r w:rsidR="00867B48">
        <w:rPr>
          <w:sz w:val="24"/>
          <w:szCs w:val="24"/>
        </w:rPr>
        <w:t>.</w:t>
      </w:r>
      <w:r w:rsidR="000209CD">
        <w:rPr>
          <w:sz w:val="24"/>
          <w:szCs w:val="24"/>
        </w:rPr>
        <w:t xml:space="preserve"> </w:t>
      </w:r>
      <w:r w:rsidRPr="00FA028D">
        <w:rPr>
          <w:sz w:val="24"/>
          <w:szCs w:val="24"/>
        </w:rPr>
        <w:t>Sin embargo, también se cree que la evidencia científica es aún limitada y se debería seguir investigando</w:t>
      </w:r>
      <w:r>
        <w:rPr>
          <w:sz w:val="24"/>
          <w:szCs w:val="24"/>
        </w:rPr>
        <w:t xml:space="preserve"> </w:t>
      </w:r>
      <w:r w:rsidR="000209CD">
        <w:rPr>
          <w:sz w:val="24"/>
          <w:szCs w:val="24"/>
        </w:rPr>
        <w:fldChar w:fldCharType="begin" w:fldLock="1"/>
      </w:r>
      <w:r w:rsidR="009D2F47">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(17)","plainTextFormattedCitation":"(17)","previouslyFormattedCitation":"(17)"},"properties":{"noteIndex":0},"schema":"https://github.com/citation-style-language/schema/raw/master/csl-citation.json"}</w:instrText>
      </w:r>
      <w:r w:rsidR="000209CD">
        <w:rPr>
          <w:sz w:val="24"/>
          <w:szCs w:val="24"/>
        </w:rPr>
        <w:fldChar w:fldCharType="separate"/>
      </w:r>
      <w:r w:rsidR="000209CD" w:rsidRPr="000209CD">
        <w:rPr>
          <w:noProof/>
          <w:sz w:val="24"/>
          <w:szCs w:val="24"/>
        </w:rPr>
        <w:t>(17)</w:t>
      </w:r>
      <w:r w:rsidR="000209CD">
        <w:rPr>
          <w:sz w:val="24"/>
          <w:szCs w:val="24"/>
        </w:rPr>
        <w:fldChar w:fldCharType="end"/>
      </w:r>
      <w:r>
        <w:rPr>
          <w:sz w:val="24"/>
          <w:szCs w:val="24"/>
        </w:rPr>
        <w:fldChar w:fldCharType="begin" w:fldLock="1"/>
      </w:r>
      <w:r w:rsidR="008609E3">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(19)","plainTextFormattedCitation":"(19)","previouslyFormattedCitation":"(19)"},"properties":{"noteIndex":0},"schema":"https://github.com/citation-style-language/schema/raw/master/csl-citation.json"}</w:instrText>
      </w:r>
      <w:r>
        <w:rPr>
          <w:sz w:val="24"/>
          <w:szCs w:val="24"/>
        </w:rPr>
        <w:fldChar w:fldCharType="separate"/>
      </w:r>
      <w:r w:rsidR="00E93760" w:rsidRPr="00E93760">
        <w:rPr>
          <w:noProof/>
          <w:sz w:val="24"/>
          <w:szCs w:val="24"/>
        </w:rPr>
        <w:t>(19)</w:t>
      </w:r>
      <w:r>
        <w:rPr>
          <w:sz w:val="24"/>
          <w:szCs w:val="24"/>
        </w:rPr>
        <w:fldChar w:fldCharType="end"/>
      </w:r>
      <w:r w:rsidR="0059249C">
        <w:rPr>
          <w:sz w:val="24"/>
          <w:szCs w:val="24"/>
        </w:rPr>
        <w:fldChar w:fldCharType="begin" w:fldLock="1"/>
      </w:r>
      <w:r w:rsidR="0064655F">
        <w:rPr>
          <w:sz w:val="24"/>
          <w:szCs w:val="24"/>
        </w:rPr>
        <w:instrText>ADDIN CSL_CITATION {"citationItems":[{"id":"ITEM-1","itemData":{"DOI":"10.1016/j.cden.2019.12.012","ISSN":"15580512","PMID":"32111269","abstract":"Platelet-rich fibrin (PRF) is an autogenous material that is derived from a person's own platelets and is used to enhance wound healing and tissue regeneration. Platelet concentrates have been applied in dermatology, pain management, sports medicine, plastic surgery, cardiac surgery, urology, and also dentistry. PRF has garnered significant interest in the dental community because of its proposed regenerative properties and its ability to aid in wound healing. PRF is proposed to have a direct effect on enhancing a patient's wound healing by suprasaturating the wound with growth factors that promote tissue healing. Clinically, PRF is easily produced chairside from the patient's own blood. The autologous nature of PRF makes it preferred over a variety of allografts used in dentistry today. Therefore, PRF has significant potential in being applicable to all areas of dentistry, including oral and maxillofacial surgeries.","author":[{"dropping-particle":"","family":"Fan","given":"Yijao","non-dropping-particle":"","parse-names":false,"suffix":""},{"dropping-particle":"","family":"Perez","given":"Karla","non-dropping-particle":"","parse-names":false,"suffix":""},{"dropping-particle":"","family":"Dym","given":"Harry","non-dropping-particle":"","parse-names":false,"suffix":""}],"container-title":"Dental Clinics of North America","id":"ITEM-1","issue":"2","issued":{"date-parts":[["2020"]]},"page":"291-303","publisher":"Elsevier Inc","title":"Clinical Uses of Platelet-Rich Fibrin in Oral and Maxillofacial Surgery","type":"article-journal","volume":"64"},"uris":["http://www.mendeley.com/documents/?uuid=efe46a58-1f10-4d32-9f68-1c9e53013f94"]}],"mendeley":{"formattedCitation":"(21)","plainTextFormattedCitation":"(21)","previouslyFormattedCitation":"(21)"},"properties":{"noteIndex":0},"schema":"https://github.com/citation-style-language/schema/raw/master/csl-citation.json"}</w:instrText>
      </w:r>
      <w:r w:rsidR="0059249C">
        <w:rPr>
          <w:sz w:val="24"/>
          <w:szCs w:val="24"/>
        </w:rPr>
        <w:fldChar w:fldCharType="separate"/>
      </w:r>
      <w:r w:rsidR="001566C5" w:rsidRPr="001566C5">
        <w:rPr>
          <w:noProof/>
          <w:sz w:val="24"/>
          <w:szCs w:val="24"/>
        </w:rPr>
        <w:t>(21)</w:t>
      </w:r>
      <w:r w:rsidR="0059249C">
        <w:rPr>
          <w:sz w:val="24"/>
          <w:szCs w:val="24"/>
        </w:rPr>
        <w:fldChar w:fldCharType="end"/>
      </w:r>
      <w:r w:rsidRPr="00FA028D">
        <w:rPr>
          <w:sz w:val="24"/>
          <w:szCs w:val="24"/>
        </w:rPr>
        <w:t>.</w:t>
      </w:r>
    </w:p>
    <w:p w14:paraId="55340D7F" w14:textId="3854F09D" w:rsidR="00D17D42" w:rsidRDefault="000640A6" w:rsidP="00FA028D">
      <w:pPr>
        <w:spacing w:line="360" w:lineRule="auto"/>
        <w:jc w:val="both"/>
        <w:rPr>
          <w:sz w:val="24"/>
          <w:szCs w:val="24"/>
        </w:rPr>
      </w:pPr>
      <w:r>
        <w:rPr>
          <w:sz w:val="24"/>
          <w:szCs w:val="24"/>
        </w:rPr>
        <w:t>Es por e</w:t>
      </w:r>
      <w:r w:rsidR="00A36D40">
        <w:rPr>
          <w:sz w:val="24"/>
          <w:szCs w:val="24"/>
        </w:rPr>
        <w:t>llo que, c</w:t>
      </w:r>
      <w:r w:rsidR="00FA028D" w:rsidRPr="00FA028D">
        <w:rPr>
          <w:sz w:val="24"/>
          <w:szCs w:val="24"/>
        </w:rPr>
        <w:t>on este trabajo</w:t>
      </w:r>
      <w:r w:rsidR="00A36D40">
        <w:rPr>
          <w:sz w:val="24"/>
          <w:szCs w:val="24"/>
        </w:rPr>
        <w:t>,</w:t>
      </w:r>
      <w:r w:rsidR="00FA028D" w:rsidRPr="00FA028D">
        <w:rPr>
          <w:sz w:val="24"/>
          <w:szCs w:val="24"/>
        </w:rPr>
        <w:t xml:space="preserve"> se pretense diseñar un protocolo de estudio para evaluar la influencia en la morbilidad </w:t>
      </w:r>
      <w:r w:rsidR="008217C0">
        <w:rPr>
          <w:sz w:val="24"/>
          <w:szCs w:val="24"/>
        </w:rPr>
        <w:t>después de</w:t>
      </w:r>
      <w:r w:rsidR="00FA028D" w:rsidRPr="00FA028D">
        <w:rPr>
          <w:sz w:val="24"/>
          <w:szCs w:val="24"/>
        </w:rPr>
        <w:t xml:space="preserve"> la utilización de un coagulo de L-PRF en el alveolo en los pacientes tras una extracción dental en vista de todo lo mencionado anteriormente.</w:t>
      </w:r>
    </w:p>
    <w:p w14:paraId="1BB655AB" w14:textId="37B59812" w:rsidR="00E1710C" w:rsidRDefault="00E1710C" w:rsidP="000C084C">
      <w:pPr>
        <w:spacing w:line="360" w:lineRule="auto"/>
        <w:jc w:val="both"/>
        <w:rPr>
          <w:sz w:val="24"/>
          <w:szCs w:val="24"/>
        </w:rPr>
      </w:pPr>
    </w:p>
    <w:p w14:paraId="35E9D153" w14:textId="2C241918" w:rsidR="00DF4F0B" w:rsidRPr="00DC63DA" w:rsidRDefault="00DF4F0B" w:rsidP="00DC63DA">
      <w:pPr>
        <w:rPr>
          <w:sz w:val="24"/>
          <w:szCs w:val="24"/>
        </w:rPr>
      </w:pPr>
      <w:r w:rsidRPr="00DC63DA">
        <w:rPr>
          <w:sz w:val="24"/>
          <w:szCs w:val="24"/>
        </w:rPr>
        <w:br w:type="page"/>
      </w:r>
    </w:p>
    <w:p w14:paraId="649D247F" w14:textId="1E35A1BC" w:rsidR="00BF59CE" w:rsidRPr="00B73344" w:rsidRDefault="00BF59CE" w:rsidP="00B73344">
      <w:pPr>
        <w:pStyle w:val="Ttulo1"/>
        <w:spacing w:after="240" w:line="360" w:lineRule="auto"/>
        <w:rPr>
          <w:color w:val="auto"/>
        </w:rPr>
      </w:pPr>
      <w:bookmarkStart w:id="4" w:name="_Toc58061713"/>
      <w:r w:rsidRPr="00B73344">
        <w:rPr>
          <w:color w:val="auto"/>
        </w:rPr>
        <w:lastRenderedPageBreak/>
        <w:t>Objetivos</w:t>
      </w:r>
      <w:bookmarkEnd w:id="4"/>
    </w:p>
    <w:p w14:paraId="645965DD" w14:textId="46CF5E14" w:rsidR="00BF59CE" w:rsidRPr="00FB5BBD" w:rsidRDefault="00D74229" w:rsidP="00FA028D">
      <w:pPr>
        <w:spacing w:before="240" w:line="360" w:lineRule="auto"/>
        <w:jc w:val="both"/>
        <w:rPr>
          <w:sz w:val="24"/>
          <w:szCs w:val="24"/>
        </w:rPr>
      </w:pPr>
      <w:r w:rsidRPr="00FB5BBD">
        <w:rPr>
          <w:sz w:val="24"/>
          <w:szCs w:val="24"/>
        </w:rPr>
        <w:t xml:space="preserve">Este trabajo de final de carrera tiene como objetivo principal diseñar un estudio para </w:t>
      </w:r>
      <w:r w:rsidR="00576C78" w:rsidRPr="00FB5BBD">
        <w:rPr>
          <w:sz w:val="24"/>
          <w:szCs w:val="24"/>
        </w:rPr>
        <w:t>evaluar</w:t>
      </w:r>
      <w:r w:rsidRPr="00FB5BBD">
        <w:rPr>
          <w:sz w:val="24"/>
          <w:szCs w:val="24"/>
        </w:rPr>
        <w:t xml:space="preserve"> la morbilidad de los pacientes </w:t>
      </w:r>
      <w:r w:rsidR="00576C78" w:rsidRPr="00FB5BBD">
        <w:rPr>
          <w:sz w:val="24"/>
          <w:szCs w:val="24"/>
        </w:rPr>
        <w:t>después de una</w:t>
      </w:r>
      <w:r w:rsidRPr="00FB5BBD">
        <w:rPr>
          <w:sz w:val="24"/>
          <w:szCs w:val="24"/>
        </w:rPr>
        <w:t xml:space="preserve"> extracción sencilla habiendo aplicado </w:t>
      </w:r>
      <w:r w:rsidR="00B73344">
        <w:rPr>
          <w:sz w:val="24"/>
          <w:szCs w:val="24"/>
        </w:rPr>
        <w:t>Fibrina Rica en Plaquetas y Leucocitos (L-PRF)</w:t>
      </w:r>
      <w:r w:rsidRPr="00FB5BBD">
        <w:rPr>
          <w:sz w:val="24"/>
          <w:szCs w:val="24"/>
        </w:rPr>
        <w:t>.</w:t>
      </w:r>
    </w:p>
    <w:p w14:paraId="6FD22599" w14:textId="7A7E1069" w:rsidR="00D74229" w:rsidRPr="00FB5BBD" w:rsidRDefault="00D74229" w:rsidP="00FA028D">
      <w:pPr>
        <w:spacing w:before="240" w:line="360" w:lineRule="auto"/>
        <w:jc w:val="both"/>
        <w:rPr>
          <w:sz w:val="24"/>
          <w:szCs w:val="24"/>
        </w:rPr>
      </w:pPr>
      <w:r w:rsidRPr="00FB5BBD">
        <w:rPr>
          <w:sz w:val="24"/>
          <w:szCs w:val="24"/>
        </w:rPr>
        <w:t>Como objetivos específicos:</w:t>
      </w:r>
    </w:p>
    <w:p w14:paraId="0C09F6D7" w14:textId="0975E2E9" w:rsidR="00334C83" w:rsidRPr="00334C83" w:rsidRDefault="00D74229" w:rsidP="0059249C">
      <w:pPr>
        <w:pStyle w:val="Prrafodelista"/>
        <w:numPr>
          <w:ilvl w:val="0"/>
          <w:numId w:val="2"/>
        </w:numPr>
        <w:spacing w:line="360" w:lineRule="auto"/>
        <w:jc w:val="both"/>
        <w:rPr>
          <w:sz w:val="24"/>
          <w:szCs w:val="24"/>
        </w:rPr>
      </w:pPr>
      <w:r w:rsidRPr="00FB5BBD">
        <w:rPr>
          <w:sz w:val="24"/>
          <w:szCs w:val="24"/>
        </w:rPr>
        <w:t>Aprender sobre el plasma rico en plaquetas y sus utilidades clínicas</w:t>
      </w:r>
      <w:r w:rsidR="00334C83">
        <w:rPr>
          <w:sz w:val="24"/>
          <w:szCs w:val="24"/>
        </w:rPr>
        <w:t>.</w:t>
      </w:r>
    </w:p>
    <w:p w14:paraId="1B3FD781" w14:textId="0E6B8E3E" w:rsidR="00B73344" w:rsidRPr="00FB5BBD" w:rsidRDefault="00B73344" w:rsidP="0059249C">
      <w:pPr>
        <w:pStyle w:val="Prrafodelista"/>
        <w:numPr>
          <w:ilvl w:val="0"/>
          <w:numId w:val="2"/>
        </w:numPr>
        <w:spacing w:line="360" w:lineRule="auto"/>
        <w:jc w:val="both"/>
        <w:rPr>
          <w:sz w:val="24"/>
          <w:szCs w:val="24"/>
        </w:rPr>
      </w:pPr>
      <w:r w:rsidRPr="00FB5BBD">
        <w:rPr>
          <w:sz w:val="24"/>
          <w:szCs w:val="24"/>
        </w:rPr>
        <w:t xml:space="preserve">Aprender sobre </w:t>
      </w:r>
      <w:r>
        <w:rPr>
          <w:sz w:val="24"/>
          <w:szCs w:val="24"/>
        </w:rPr>
        <w:t xml:space="preserve">la fibrina </w:t>
      </w:r>
      <w:r w:rsidRPr="00FB5BBD">
        <w:rPr>
          <w:sz w:val="24"/>
          <w:szCs w:val="24"/>
        </w:rPr>
        <w:t>ric</w:t>
      </w:r>
      <w:r>
        <w:rPr>
          <w:sz w:val="24"/>
          <w:szCs w:val="24"/>
        </w:rPr>
        <w:t>a</w:t>
      </w:r>
      <w:r w:rsidRPr="00FB5BBD">
        <w:rPr>
          <w:sz w:val="24"/>
          <w:szCs w:val="24"/>
        </w:rPr>
        <w:t xml:space="preserve"> en plaquetas y sus utilidades clínicas</w:t>
      </w:r>
      <w:r w:rsidR="00334C83">
        <w:rPr>
          <w:sz w:val="24"/>
          <w:szCs w:val="24"/>
        </w:rPr>
        <w:t>.</w:t>
      </w:r>
    </w:p>
    <w:p w14:paraId="48034731" w14:textId="4F3C999E" w:rsidR="00D74229" w:rsidRPr="00FB5BBD" w:rsidRDefault="00D74229" w:rsidP="0059249C">
      <w:pPr>
        <w:pStyle w:val="Prrafodelista"/>
        <w:numPr>
          <w:ilvl w:val="0"/>
          <w:numId w:val="2"/>
        </w:numPr>
        <w:spacing w:line="360" w:lineRule="auto"/>
        <w:jc w:val="both"/>
        <w:rPr>
          <w:sz w:val="24"/>
          <w:szCs w:val="24"/>
        </w:rPr>
      </w:pPr>
      <w:r w:rsidRPr="00FB5BBD">
        <w:rPr>
          <w:sz w:val="24"/>
          <w:szCs w:val="24"/>
        </w:rPr>
        <w:t>Diferenciar entre PRP y PRFC</w:t>
      </w:r>
      <w:r w:rsidR="00334C83">
        <w:rPr>
          <w:sz w:val="24"/>
          <w:szCs w:val="24"/>
        </w:rPr>
        <w:t>.</w:t>
      </w:r>
    </w:p>
    <w:p w14:paraId="16D5794F" w14:textId="77777777" w:rsidR="0059249C" w:rsidRDefault="005A614F" w:rsidP="0059249C">
      <w:pPr>
        <w:pStyle w:val="Prrafodelista"/>
        <w:numPr>
          <w:ilvl w:val="0"/>
          <w:numId w:val="2"/>
        </w:numPr>
        <w:spacing w:line="360" w:lineRule="auto"/>
        <w:jc w:val="both"/>
        <w:rPr>
          <w:sz w:val="24"/>
          <w:szCs w:val="24"/>
        </w:rPr>
      </w:pPr>
      <w:r w:rsidRPr="00FB5BBD">
        <w:rPr>
          <w:sz w:val="24"/>
          <w:szCs w:val="24"/>
        </w:rPr>
        <w:t>Estudiar el proceso de cicatrización de un alveolo después de una extracción</w:t>
      </w:r>
      <w:r w:rsidR="00334C83">
        <w:rPr>
          <w:sz w:val="24"/>
          <w:szCs w:val="24"/>
        </w:rPr>
        <w:t>.</w:t>
      </w:r>
    </w:p>
    <w:p w14:paraId="0F980551" w14:textId="6F1BC15A" w:rsidR="005A614F" w:rsidRPr="0059249C" w:rsidRDefault="005A614F" w:rsidP="0059249C">
      <w:pPr>
        <w:pStyle w:val="Prrafodelista"/>
        <w:numPr>
          <w:ilvl w:val="0"/>
          <w:numId w:val="2"/>
        </w:numPr>
        <w:spacing w:line="360" w:lineRule="auto"/>
        <w:jc w:val="both"/>
        <w:rPr>
          <w:sz w:val="24"/>
          <w:szCs w:val="24"/>
        </w:rPr>
      </w:pPr>
      <w:r w:rsidRPr="0059249C">
        <w:rPr>
          <w:sz w:val="24"/>
          <w:szCs w:val="24"/>
        </w:rPr>
        <w:t xml:space="preserve">Conocer </w:t>
      </w:r>
      <w:r w:rsidR="005C78B4" w:rsidRPr="0059249C">
        <w:rPr>
          <w:sz w:val="24"/>
          <w:szCs w:val="24"/>
        </w:rPr>
        <w:t>la evolución clínica del alveolo post extracción</w:t>
      </w:r>
      <w:r w:rsidR="00334C83" w:rsidRPr="0059249C">
        <w:rPr>
          <w:sz w:val="24"/>
          <w:szCs w:val="24"/>
        </w:rPr>
        <w:t>.</w:t>
      </w:r>
    </w:p>
    <w:p w14:paraId="186F98C6" w14:textId="7863D044" w:rsidR="00BF59CE" w:rsidRDefault="00BF59CE"/>
    <w:p w14:paraId="2839B585" w14:textId="48F569AF" w:rsidR="00BF59CE" w:rsidRDefault="00BF59CE">
      <w:r>
        <w:br w:type="page"/>
      </w:r>
    </w:p>
    <w:p w14:paraId="3F06B70B" w14:textId="0416CB0D" w:rsidR="004105D3" w:rsidRPr="004105D3" w:rsidRDefault="004105D3" w:rsidP="004105D3">
      <w:pPr>
        <w:pStyle w:val="Ttulo1"/>
        <w:spacing w:after="240" w:line="360" w:lineRule="auto"/>
        <w:rPr>
          <w:color w:val="auto"/>
        </w:rPr>
      </w:pPr>
      <w:bookmarkStart w:id="5" w:name="_Toc58061714"/>
      <w:r w:rsidRPr="004105D3">
        <w:rPr>
          <w:color w:val="auto"/>
        </w:rPr>
        <w:lastRenderedPageBreak/>
        <w:t>Hipótesis</w:t>
      </w:r>
      <w:bookmarkEnd w:id="5"/>
    </w:p>
    <w:p w14:paraId="209523BB" w14:textId="29579ECF"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El L-PRF post extracción ayuda a disminuir la morbilidad del paciente</w:t>
      </w:r>
      <w:r w:rsidR="00334C83">
        <w:rPr>
          <w:sz w:val="24"/>
          <w:szCs w:val="24"/>
        </w:rPr>
        <w:t>.</w:t>
      </w:r>
    </w:p>
    <w:p w14:paraId="30AC5EF6" w14:textId="21743B60"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 xml:space="preserve">El L-PRF post extracción </w:t>
      </w:r>
      <w:r w:rsidR="00DE1160">
        <w:rPr>
          <w:sz w:val="24"/>
          <w:szCs w:val="24"/>
        </w:rPr>
        <w:t>no</w:t>
      </w:r>
      <w:r w:rsidRPr="00DC63DA">
        <w:rPr>
          <w:sz w:val="24"/>
          <w:szCs w:val="24"/>
        </w:rPr>
        <w:t xml:space="preserve"> ayuda a disminuir la morbilidad del paciente</w:t>
      </w:r>
      <w:r w:rsidR="00334C83">
        <w:rPr>
          <w:sz w:val="24"/>
          <w:szCs w:val="24"/>
        </w:rPr>
        <w:t>.</w:t>
      </w:r>
    </w:p>
    <w:p w14:paraId="1D15FC66" w14:textId="77777777" w:rsidR="004105D3" w:rsidRPr="00DC63DA" w:rsidRDefault="004105D3" w:rsidP="00DC63DA">
      <w:pPr>
        <w:spacing w:line="360" w:lineRule="auto"/>
        <w:jc w:val="both"/>
        <w:rPr>
          <w:rFonts w:asciiTheme="majorHAnsi" w:eastAsiaTheme="majorEastAsia" w:hAnsiTheme="majorHAnsi" w:cstheme="majorBidi"/>
          <w:sz w:val="24"/>
          <w:szCs w:val="24"/>
        </w:rPr>
      </w:pPr>
    </w:p>
    <w:p w14:paraId="19EEFCA3" w14:textId="77777777" w:rsidR="004105D3" w:rsidRDefault="004105D3">
      <w:pPr>
        <w:rPr>
          <w:rFonts w:asciiTheme="majorHAnsi" w:eastAsiaTheme="majorEastAsia" w:hAnsiTheme="majorHAnsi" w:cstheme="majorBidi"/>
          <w:sz w:val="32"/>
          <w:szCs w:val="32"/>
        </w:rPr>
      </w:pPr>
      <w:r>
        <w:br w:type="page"/>
      </w:r>
    </w:p>
    <w:p w14:paraId="09E44B86" w14:textId="37718B04" w:rsidR="00BF59CE" w:rsidRPr="00BC2C84" w:rsidRDefault="00BF59CE" w:rsidP="00BC2C84">
      <w:pPr>
        <w:pStyle w:val="Ttulo1"/>
        <w:spacing w:after="240" w:line="360" w:lineRule="auto"/>
        <w:jc w:val="both"/>
        <w:rPr>
          <w:color w:val="auto"/>
        </w:rPr>
      </w:pPr>
      <w:bookmarkStart w:id="6" w:name="_Toc58061715"/>
      <w:r w:rsidRPr="00BC2C84">
        <w:rPr>
          <w:color w:val="auto"/>
        </w:rPr>
        <w:lastRenderedPageBreak/>
        <w:t>Materiales y métodos</w:t>
      </w:r>
      <w:bookmarkEnd w:id="6"/>
    </w:p>
    <w:p w14:paraId="5A25062B" w14:textId="77777777" w:rsidR="00DE1160" w:rsidRPr="00DE1160" w:rsidRDefault="00DE1160" w:rsidP="00DE1160">
      <w:p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 xml:space="preserve">Se utilizaron las siguientes bases de datos para preparar el trabajo: </w:t>
      </w:r>
      <w:proofErr w:type="spellStart"/>
      <w:r w:rsidRPr="00DE1160">
        <w:rPr>
          <w:rFonts w:ascii="Calibri" w:eastAsia="Arial Unicode MS" w:hAnsi="Calibri" w:cs="Arial Unicode MS"/>
          <w:color w:val="000000"/>
          <w:sz w:val="24"/>
          <w:szCs w:val="24"/>
          <w:u w:color="000000"/>
          <w:bdr w:val="nil"/>
          <w:lang w:val="es-ES_tradnl" w:eastAsia="es-ES"/>
        </w:rPr>
        <w:t>Pubmed</w:t>
      </w:r>
      <w:proofErr w:type="spellEnd"/>
      <w:r w:rsidRPr="00DE1160">
        <w:rPr>
          <w:rFonts w:ascii="Calibri" w:eastAsia="Arial Unicode MS" w:hAnsi="Calibri" w:cs="Arial Unicode MS"/>
          <w:color w:val="000000"/>
          <w:sz w:val="24"/>
          <w:szCs w:val="24"/>
          <w:u w:color="000000"/>
          <w:bdr w:val="nil"/>
          <w:lang w:val="es-ES_tradnl" w:eastAsia="es-ES"/>
        </w:rPr>
        <w:t xml:space="preserve">, Google Académico, </w:t>
      </w:r>
      <w:proofErr w:type="spellStart"/>
      <w:r w:rsidRPr="00DE1160">
        <w:rPr>
          <w:rFonts w:ascii="Calibri" w:eastAsia="Arial Unicode MS" w:hAnsi="Calibri" w:cs="Arial Unicode MS"/>
          <w:color w:val="000000"/>
          <w:sz w:val="24"/>
          <w:szCs w:val="24"/>
          <w:u w:color="000000"/>
          <w:bdr w:val="nil"/>
          <w:lang w:val="es-ES_tradnl" w:eastAsia="es-ES"/>
        </w:rPr>
        <w:t>ScienceDirect</w:t>
      </w:r>
      <w:proofErr w:type="spellEnd"/>
      <w:r w:rsidRPr="00DE1160">
        <w:rPr>
          <w:rFonts w:ascii="Calibri" w:eastAsia="Arial Unicode MS" w:hAnsi="Calibri" w:cs="Arial Unicode MS"/>
          <w:color w:val="000000"/>
          <w:sz w:val="24"/>
          <w:szCs w:val="24"/>
          <w:u w:color="000000"/>
          <w:bdr w:val="nil"/>
          <w:lang w:val="es-ES_tradnl" w:eastAsia="es-ES"/>
        </w:rPr>
        <w:t xml:space="preserve">, SciELO, Base de datos de Universidad Internacional de Cataluña (UIC), ProQuest y Web </w:t>
      </w:r>
      <w:proofErr w:type="spellStart"/>
      <w:r w:rsidRPr="00DE1160">
        <w:rPr>
          <w:rFonts w:ascii="Calibri" w:eastAsia="Arial Unicode MS" w:hAnsi="Calibri" w:cs="Arial Unicode MS"/>
          <w:color w:val="000000"/>
          <w:sz w:val="24"/>
          <w:szCs w:val="24"/>
          <w:u w:color="000000"/>
          <w:bdr w:val="nil"/>
          <w:lang w:val="es-ES_tradnl" w:eastAsia="es-ES"/>
        </w:rPr>
        <w:t>of</w:t>
      </w:r>
      <w:proofErr w:type="spellEnd"/>
      <w:r w:rsidRPr="00DE1160">
        <w:rPr>
          <w:rFonts w:ascii="Calibri" w:eastAsia="Arial Unicode MS" w:hAnsi="Calibri" w:cs="Arial Unicode MS"/>
          <w:color w:val="000000"/>
          <w:sz w:val="24"/>
          <w:szCs w:val="24"/>
          <w:u w:color="000000"/>
          <w:bdr w:val="nil"/>
          <w:lang w:val="es-ES_tradnl" w:eastAsia="es-ES"/>
        </w:rPr>
        <w:t xml:space="preserve"> </w:t>
      </w:r>
      <w:proofErr w:type="spellStart"/>
      <w:r w:rsidRPr="00DE1160">
        <w:rPr>
          <w:rFonts w:ascii="Calibri" w:eastAsia="Arial Unicode MS" w:hAnsi="Calibri" w:cs="Arial Unicode MS"/>
          <w:color w:val="000000"/>
          <w:sz w:val="24"/>
          <w:szCs w:val="24"/>
          <w:u w:color="000000"/>
          <w:bdr w:val="nil"/>
          <w:lang w:val="es-ES_tradnl" w:eastAsia="es-ES"/>
        </w:rPr>
        <w:t>Science</w:t>
      </w:r>
      <w:proofErr w:type="spellEnd"/>
      <w:r w:rsidRPr="00DE1160">
        <w:rPr>
          <w:rFonts w:ascii="Calibri" w:eastAsia="Arial Unicode MS" w:hAnsi="Calibri" w:cs="Arial Unicode MS"/>
          <w:color w:val="000000"/>
          <w:sz w:val="24"/>
          <w:szCs w:val="24"/>
          <w:u w:color="000000"/>
          <w:bdr w:val="nil"/>
          <w:lang w:val="es-ES_tradnl" w:eastAsia="es-ES"/>
        </w:rPr>
        <w:t xml:space="preserve">. </w:t>
      </w:r>
    </w:p>
    <w:p w14:paraId="596A90C3" w14:textId="7FA11D1C" w:rsidR="00DE1160" w:rsidRPr="00DE1160" w:rsidRDefault="00DE1160" w:rsidP="00DE1160">
      <w:p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Palabras clave utilizadas para la búsqueda: “</w:t>
      </w:r>
      <w:r w:rsidRPr="00DE1160">
        <w:rPr>
          <w:rFonts w:ascii="Calibri" w:eastAsia="Arial Unicode MS" w:hAnsi="Calibri" w:cs="Arial Unicode MS"/>
          <w:i/>
          <w:iCs/>
          <w:color w:val="000000"/>
          <w:sz w:val="24"/>
          <w:szCs w:val="24"/>
          <w:u w:color="000000"/>
          <w:bdr w:val="nil"/>
          <w:lang w:val="es-ES_tradnl" w:eastAsia="es-ES"/>
        </w:rPr>
        <w:t>plasma rico en plaquetas”, “PRP”, “</w:t>
      </w:r>
      <w:proofErr w:type="spellStart"/>
      <w:r w:rsidRPr="00DE1160">
        <w:rPr>
          <w:rFonts w:ascii="Calibri" w:eastAsia="Arial Unicode MS" w:hAnsi="Calibri" w:cs="Arial Unicode MS"/>
          <w:i/>
          <w:iCs/>
          <w:color w:val="000000"/>
          <w:sz w:val="24"/>
          <w:szCs w:val="24"/>
          <w:u w:color="000000"/>
          <w:bdr w:val="nil"/>
          <w:lang w:val="es-ES_tradnl" w:eastAsia="es-ES"/>
        </w:rPr>
        <w:t>platelets</w:t>
      </w:r>
      <w:proofErr w:type="spellEnd"/>
      <w:r w:rsidRPr="00DE1160">
        <w:rPr>
          <w:rFonts w:ascii="Calibri" w:eastAsia="Arial Unicode MS" w:hAnsi="Calibri" w:cs="Arial Unicode MS"/>
          <w:i/>
          <w:iCs/>
          <w:color w:val="000000"/>
          <w:sz w:val="24"/>
          <w:szCs w:val="24"/>
          <w:u w:color="000000"/>
          <w:bdr w:val="nil"/>
          <w:lang w:val="es-ES_tradnl" w:eastAsia="es-ES"/>
        </w:rPr>
        <w:t xml:space="preserve"> </w:t>
      </w:r>
      <w:proofErr w:type="spellStart"/>
      <w:r w:rsidRPr="00DE1160">
        <w:rPr>
          <w:rFonts w:ascii="Calibri" w:eastAsia="Arial Unicode MS" w:hAnsi="Calibri" w:cs="Arial Unicode MS"/>
          <w:i/>
          <w:iCs/>
          <w:color w:val="000000"/>
          <w:sz w:val="24"/>
          <w:szCs w:val="24"/>
          <w:u w:color="000000"/>
          <w:bdr w:val="nil"/>
          <w:lang w:val="es-ES_tradnl" w:eastAsia="es-ES"/>
        </w:rPr>
        <w:t>rich</w:t>
      </w:r>
      <w:proofErr w:type="spellEnd"/>
      <w:r w:rsidRPr="00DE1160">
        <w:rPr>
          <w:rFonts w:ascii="Calibri" w:eastAsia="Arial Unicode MS" w:hAnsi="Calibri" w:cs="Arial Unicode MS"/>
          <w:i/>
          <w:iCs/>
          <w:color w:val="000000"/>
          <w:sz w:val="24"/>
          <w:szCs w:val="24"/>
          <w:u w:color="000000"/>
          <w:bdr w:val="nil"/>
          <w:lang w:val="es-ES_tradnl" w:eastAsia="es-ES"/>
        </w:rPr>
        <w:t xml:space="preserve"> plasma”, “</w:t>
      </w:r>
      <w:proofErr w:type="spellStart"/>
      <w:r w:rsidRPr="00DE1160">
        <w:rPr>
          <w:rFonts w:ascii="Calibri" w:eastAsia="Arial Unicode MS" w:hAnsi="Calibri" w:cs="Arial Unicode MS"/>
          <w:i/>
          <w:iCs/>
          <w:color w:val="000000"/>
          <w:sz w:val="24"/>
          <w:szCs w:val="24"/>
          <w:u w:color="000000"/>
          <w:bdr w:val="nil"/>
          <w:lang w:val="es-ES_tradnl" w:eastAsia="es-ES"/>
        </w:rPr>
        <w:t>platelets</w:t>
      </w:r>
      <w:proofErr w:type="spellEnd"/>
      <w:r w:rsidRPr="00DE1160">
        <w:rPr>
          <w:rFonts w:ascii="Calibri" w:eastAsia="Arial Unicode MS" w:hAnsi="Calibri" w:cs="Arial Unicode MS"/>
          <w:i/>
          <w:iCs/>
          <w:color w:val="000000"/>
          <w:sz w:val="24"/>
          <w:szCs w:val="24"/>
          <w:u w:color="000000"/>
          <w:bdr w:val="nil"/>
          <w:lang w:val="es-ES_tradnl" w:eastAsia="es-ES"/>
        </w:rPr>
        <w:t>”, “</w:t>
      </w:r>
      <w:proofErr w:type="spellStart"/>
      <w:r w:rsidRPr="00DE1160">
        <w:rPr>
          <w:rFonts w:ascii="Calibri" w:eastAsia="Arial Unicode MS" w:hAnsi="Calibri" w:cs="Arial Unicode MS"/>
          <w:i/>
          <w:iCs/>
          <w:color w:val="000000"/>
          <w:sz w:val="24"/>
          <w:szCs w:val="24"/>
          <w:u w:color="000000"/>
          <w:bdr w:val="nil"/>
          <w:lang w:val="es-ES_tradnl" w:eastAsia="es-ES"/>
        </w:rPr>
        <w:t>mouth</w:t>
      </w:r>
      <w:proofErr w:type="spellEnd"/>
      <w:r w:rsidRPr="00DE1160">
        <w:rPr>
          <w:rFonts w:ascii="Calibri" w:eastAsia="Arial Unicode MS" w:hAnsi="Calibri" w:cs="Arial Unicode MS"/>
          <w:i/>
          <w:iCs/>
          <w:color w:val="000000"/>
          <w:sz w:val="24"/>
          <w:szCs w:val="24"/>
          <w:u w:color="000000"/>
          <w:bdr w:val="nil"/>
          <w:lang w:val="es-ES_tradnl" w:eastAsia="es-ES"/>
        </w:rPr>
        <w:t>”, “odontología”, “</w:t>
      </w:r>
      <w:proofErr w:type="spellStart"/>
      <w:r w:rsidRPr="00DE1160">
        <w:rPr>
          <w:rFonts w:ascii="Calibri" w:eastAsia="Arial Unicode MS" w:hAnsi="Calibri" w:cs="Arial Unicode MS"/>
          <w:i/>
          <w:iCs/>
          <w:color w:val="000000"/>
          <w:sz w:val="24"/>
          <w:szCs w:val="24"/>
          <w:u w:color="000000"/>
          <w:bdr w:val="nil"/>
          <w:lang w:val="es-ES_tradnl" w:eastAsia="es-ES"/>
        </w:rPr>
        <w:t>dentistry</w:t>
      </w:r>
      <w:proofErr w:type="spellEnd"/>
      <w:r w:rsidRPr="00DE1160">
        <w:rPr>
          <w:rFonts w:ascii="Calibri" w:eastAsia="Arial Unicode MS" w:hAnsi="Calibri" w:cs="Arial Unicode MS"/>
          <w:i/>
          <w:iCs/>
          <w:color w:val="000000"/>
          <w:sz w:val="24"/>
          <w:szCs w:val="24"/>
          <w:u w:color="000000"/>
          <w:bdr w:val="nil"/>
          <w:lang w:val="es-ES_tradnl" w:eastAsia="es-ES"/>
        </w:rPr>
        <w:t>”, “extracción”, “extracción dental”, “</w:t>
      </w:r>
      <w:proofErr w:type="spellStart"/>
      <w:r w:rsidRPr="00DE1160">
        <w:rPr>
          <w:rFonts w:ascii="Calibri" w:eastAsia="Arial Unicode MS" w:hAnsi="Calibri" w:cs="Arial Unicode MS"/>
          <w:i/>
          <w:iCs/>
          <w:color w:val="000000"/>
          <w:sz w:val="24"/>
          <w:szCs w:val="24"/>
          <w:u w:color="000000"/>
          <w:bdr w:val="nil"/>
          <w:lang w:val="es-ES_tradnl" w:eastAsia="es-ES"/>
        </w:rPr>
        <w:t>extraction</w:t>
      </w:r>
      <w:proofErr w:type="spellEnd"/>
      <w:r w:rsidRPr="00DE1160">
        <w:rPr>
          <w:rFonts w:ascii="Calibri" w:eastAsia="Arial Unicode MS" w:hAnsi="Calibri" w:cs="Arial Unicode MS"/>
          <w:i/>
          <w:iCs/>
          <w:color w:val="000000"/>
          <w:sz w:val="24"/>
          <w:szCs w:val="24"/>
          <w:u w:color="000000"/>
          <w:bdr w:val="nil"/>
          <w:lang w:val="es-ES_tradnl" w:eastAsia="es-ES"/>
        </w:rPr>
        <w:t xml:space="preserve">”, “dental </w:t>
      </w:r>
      <w:proofErr w:type="spellStart"/>
      <w:r w:rsidRPr="00DE1160">
        <w:rPr>
          <w:rFonts w:ascii="Calibri" w:eastAsia="Arial Unicode MS" w:hAnsi="Calibri" w:cs="Arial Unicode MS"/>
          <w:i/>
          <w:iCs/>
          <w:color w:val="000000"/>
          <w:sz w:val="24"/>
          <w:szCs w:val="24"/>
          <w:u w:color="000000"/>
          <w:bdr w:val="nil"/>
          <w:lang w:val="es-ES_tradnl" w:eastAsia="es-ES"/>
        </w:rPr>
        <w:t>extraction</w:t>
      </w:r>
      <w:proofErr w:type="spellEnd"/>
      <w:r w:rsidRPr="00DE1160">
        <w:rPr>
          <w:rFonts w:ascii="Calibri" w:eastAsia="Arial Unicode MS" w:hAnsi="Calibri" w:cs="Arial Unicode MS"/>
          <w:i/>
          <w:iCs/>
          <w:color w:val="000000"/>
          <w:sz w:val="24"/>
          <w:szCs w:val="24"/>
          <w:u w:color="000000"/>
          <w:bdr w:val="nil"/>
          <w:lang w:val="es-ES_tradnl" w:eastAsia="es-ES"/>
        </w:rPr>
        <w:t>”, “cicatrización”, “</w:t>
      </w:r>
      <w:proofErr w:type="spellStart"/>
      <w:r w:rsidRPr="00DE1160">
        <w:rPr>
          <w:rFonts w:ascii="Calibri" w:eastAsia="Arial Unicode MS" w:hAnsi="Calibri" w:cs="Arial Unicode MS"/>
          <w:i/>
          <w:iCs/>
          <w:color w:val="000000"/>
          <w:sz w:val="24"/>
          <w:szCs w:val="24"/>
          <w:u w:color="000000"/>
          <w:bdr w:val="nil"/>
          <w:lang w:val="es-ES_tradnl" w:eastAsia="es-ES"/>
        </w:rPr>
        <w:t>healing</w:t>
      </w:r>
      <w:proofErr w:type="spellEnd"/>
      <w:r w:rsidRPr="00DE1160">
        <w:rPr>
          <w:rFonts w:ascii="Calibri" w:eastAsia="Arial Unicode MS" w:hAnsi="Calibri" w:cs="Arial Unicode MS"/>
          <w:i/>
          <w:iCs/>
          <w:color w:val="000000"/>
          <w:sz w:val="24"/>
          <w:szCs w:val="24"/>
          <w:u w:color="000000"/>
          <w:bdr w:val="nil"/>
          <w:lang w:val="es-ES_tradnl" w:eastAsia="es-ES"/>
        </w:rPr>
        <w:t>”, “</w:t>
      </w:r>
      <w:proofErr w:type="spellStart"/>
      <w:r w:rsidRPr="00DE1160">
        <w:rPr>
          <w:rFonts w:ascii="Calibri" w:eastAsia="Arial Unicode MS" w:hAnsi="Calibri" w:cs="Arial Unicode MS"/>
          <w:i/>
          <w:iCs/>
          <w:color w:val="000000"/>
          <w:sz w:val="24"/>
          <w:szCs w:val="24"/>
          <w:u w:color="000000"/>
          <w:bdr w:val="nil"/>
          <w:lang w:val="es-ES_tradnl" w:eastAsia="es-ES"/>
        </w:rPr>
        <w:t>wound</w:t>
      </w:r>
      <w:proofErr w:type="spellEnd"/>
      <w:r w:rsidRPr="00DE1160">
        <w:rPr>
          <w:rFonts w:ascii="Calibri" w:eastAsia="Arial Unicode MS" w:hAnsi="Calibri" w:cs="Arial Unicode MS"/>
          <w:i/>
          <w:iCs/>
          <w:color w:val="000000"/>
          <w:sz w:val="24"/>
          <w:szCs w:val="24"/>
          <w:u w:color="000000"/>
          <w:bdr w:val="nil"/>
          <w:lang w:val="es-ES_tradnl" w:eastAsia="es-ES"/>
        </w:rPr>
        <w:t xml:space="preserve"> </w:t>
      </w:r>
      <w:proofErr w:type="spellStart"/>
      <w:r w:rsidRPr="00DE1160">
        <w:rPr>
          <w:rFonts w:ascii="Calibri" w:eastAsia="Arial Unicode MS" w:hAnsi="Calibri" w:cs="Arial Unicode MS"/>
          <w:i/>
          <w:iCs/>
          <w:color w:val="000000"/>
          <w:sz w:val="24"/>
          <w:szCs w:val="24"/>
          <w:u w:color="000000"/>
          <w:bdr w:val="nil"/>
          <w:lang w:val="es-ES_tradnl" w:eastAsia="es-ES"/>
        </w:rPr>
        <w:t>healing</w:t>
      </w:r>
      <w:proofErr w:type="spellEnd"/>
      <w:r w:rsidRPr="00DE1160">
        <w:rPr>
          <w:rFonts w:ascii="Calibri" w:eastAsia="Arial Unicode MS" w:hAnsi="Calibri" w:cs="Arial Unicode MS"/>
          <w:i/>
          <w:iCs/>
          <w:color w:val="000000"/>
          <w:sz w:val="24"/>
          <w:szCs w:val="24"/>
          <w:u w:color="000000"/>
          <w:bdr w:val="nil"/>
          <w:lang w:val="es-ES_tradnl" w:eastAsia="es-ES"/>
        </w:rPr>
        <w:t>”, “curación”, “alveolo”, “</w:t>
      </w:r>
      <w:proofErr w:type="spellStart"/>
      <w:r w:rsidRPr="00DE1160">
        <w:rPr>
          <w:rFonts w:ascii="Calibri" w:eastAsia="Arial Unicode MS" w:hAnsi="Calibri" w:cs="Arial Unicode MS"/>
          <w:i/>
          <w:iCs/>
          <w:color w:val="000000"/>
          <w:sz w:val="24"/>
          <w:szCs w:val="24"/>
          <w:u w:color="000000"/>
          <w:bdr w:val="nil"/>
          <w:lang w:val="es-ES_tradnl" w:eastAsia="es-ES"/>
        </w:rPr>
        <w:t>alveoli</w:t>
      </w:r>
      <w:proofErr w:type="spellEnd"/>
      <w:r w:rsidRPr="00DE1160">
        <w:rPr>
          <w:rFonts w:ascii="Calibri" w:eastAsia="Arial Unicode MS" w:hAnsi="Calibri" w:cs="Arial Unicode MS"/>
          <w:i/>
          <w:iCs/>
          <w:color w:val="000000"/>
          <w:sz w:val="24"/>
          <w:szCs w:val="24"/>
          <w:u w:color="000000"/>
          <w:bdr w:val="nil"/>
          <w:lang w:val="es-ES_tradnl" w:eastAsia="es-ES"/>
        </w:rPr>
        <w:t>”, “herida”, “</w:t>
      </w:r>
      <w:proofErr w:type="spellStart"/>
      <w:r w:rsidRPr="00DE1160">
        <w:rPr>
          <w:rFonts w:ascii="Calibri" w:eastAsia="Arial Unicode MS" w:hAnsi="Calibri" w:cs="Arial Unicode MS"/>
          <w:i/>
          <w:iCs/>
          <w:color w:val="000000"/>
          <w:sz w:val="24"/>
          <w:szCs w:val="24"/>
          <w:u w:color="000000"/>
          <w:bdr w:val="nil"/>
          <w:lang w:val="es-ES_tradnl" w:eastAsia="es-ES"/>
        </w:rPr>
        <w:t>wound</w:t>
      </w:r>
      <w:proofErr w:type="spellEnd"/>
      <w:r w:rsidRPr="00DE1160">
        <w:rPr>
          <w:rFonts w:ascii="Calibri" w:eastAsia="Arial Unicode MS" w:hAnsi="Calibri" w:cs="Arial Unicode MS"/>
          <w:i/>
          <w:iCs/>
          <w:color w:val="000000"/>
          <w:sz w:val="24"/>
          <w:szCs w:val="24"/>
          <w:u w:color="000000"/>
          <w:bdr w:val="nil"/>
          <w:lang w:val="es-ES_tradnl" w:eastAsia="es-ES"/>
        </w:rPr>
        <w:t>”, “plasma rico en factores de crecimiento”, “PRF-L”, “fibrina rica en plaquetas y leucocitos,” “</w:t>
      </w:r>
      <w:proofErr w:type="spellStart"/>
      <w:r w:rsidRPr="00DE1160">
        <w:rPr>
          <w:rFonts w:ascii="Calibri" w:eastAsia="Arial Unicode MS" w:hAnsi="Calibri" w:cs="Arial Unicode MS"/>
          <w:i/>
          <w:iCs/>
          <w:color w:val="000000"/>
          <w:sz w:val="24"/>
          <w:szCs w:val="24"/>
          <w:u w:color="000000"/>
          <w:bdr w:val="nil"/>
          <w:lang w:val="es-ES_tradnl" w:eastAsia="es-ES"/>
        </w:rPr>
        <w:t>leucocyte</w:t>
      </w:r>
      <w:proofErr w:type="spellEnd"/>
      <w:r w:rsidRPr="00DE1160">
        <w:rPr>
          <w:rFonts w:ascii="Calibri" w:eastAsia="Arial Unicode MS" w:hAnsi="Calibri" w:cs="Arial Unicode MS"/>
          <w:i/>
          <w:iCs/>
          <w:color w:val="000000"/>
          <w:sz w:val="24"/>
          <w:szCs w:val="24"/>
          <w:u w:color="000000"/>
          <w:bdr w:val="nil"/>
          <w:lang w:val="es-ES_tradnl" w:eastAsia="es-ES"/>
        </w:rPr>
        <w:t xml:space="preserve"> and </w:t>
      </w:r>
      <w:proofErr w:type="spellStart"/>
      <w:r w:rsidRPr="00DE1160">
        <w:rPr>
          <w:rFonts w:ascii="Calibri" w:eastAsia="Arial Unicode MS" w:hAnsi="Calibri" w:cs="Arial Unicode MS"/>
          <w:i/>
          <w:iCs/>
          <w:color w:val="000000"/>
          <w:sz w:val="24"/>
          <w:szCs w:val="24"/>
          <w:u w:color="000000"/>
          <w:bdr w:val="nil"/>
          <w:lang w:val="es-ES_tradnl" w:eastAsia="es-ES"/>
        </w:rPr>
        <w:t>platelets</w:t>
      </w:r>
      <w:proofErr w:type="spellEnd"/>
      <w:r w:rsidRPr="00DE1160">
        <w:rPr>
          <w:rFonts w:ascii="Calibri" w:eastAsia="Arial Unicode MS" w:hAnsi="Calibri" w:cs="Arial Unicode MS"/>
          <w:i/>
          <w:iCs/>
          <w:color w:val="000000"/>
          <w:sz w:val="24"/>
          <w:szCs w:val="24"/>
          <w:u w:color="000000"/>
          <w:bdr w:val="nil"/>
          <w:lang w:val="es-ES_tradnl" w:eastAsia="es-ES"/>
        </w:rPr>
        <w:t xml:space="preserve"> </w:t>
      </w:r>
      <w:proofErr w:type="spellStart"/>
      <w:r w:rsidRPr="00DE1160">
        <w:rPr>
          <w:rFonts w:ascii="Calibri" w:eastAsia="Arial Unicode MS" w:hAnsi="Calibri" w:cs="Arial Unicode MS"/>
          <w:i/>
          <w:iCs/>
          <w:color w:val="000000"/>
          <w:sz w:val="24"/>
          <w:szCs w:val="24"/>
          <w:u w:color="000000"/>
          <w:bdr w:val="nil"/>
          <w:lang w:val="es-ES_tradnl" w:eastAsia="es-ES"/>
        </w:rPr>
        <w:t>rich</w:t>
      </w:r>
      <w:proofErr w:type="spellEnd"/>
      <w:r w:rsidRPr="00DE1160">
        <w:rPr>
          <w:rFonts w:ascii="Calibri" w:eastAsia="Arial Unicode MS" w:hAnsi="Calibri" w:cs="Arial Unicode MS"/>
          <w:i/>
          <w:iCs/>
          <w:color w:val="000000"/>
          <w:sz w:val="24"/>
          <w:szCs w:val="24"/>
          <w:u w:color="000000"/>
          <w:bdr w:val="nil"/>
          <w:lang w:val="es-ES_tradnl" w:eastAsia="es-ES"/>
        </w:rPr>
        <w:t xml:space="preserve"> </w:t>
      </w:r>
      <w:proofErr w:type="spellStart"/>
      <w:r w:rsidRPr="00DE1160">
        <w:rPr>
          <w:rFonts w:ascii="Calibri" w:eastAsia="Arial Unicode MS" w:hAnsi="Calibri" w:cs="Arial Unicode MS"/>
          <w:i/>
          <w:iCs/>
          <w:color w:val="000000"/>
          <w:sz w:val="24"/>
          <w:szCs w:val="24"/>
          <w:u w:color="000000"/>
          <w:bdr w:val="nil"/>
          <w:lang w:val="es-ES_tradnl" w:eastAsia="es-ES"/>
        </w:rPr>
        <w:t>fibrin</w:t>
      </w:r>
      <w:proofErr w:type="spellEnd"/>
      <w:r w:rsidRPr="00DE1160">
        <w:rPr>
          <w:rFonts w:ascii="Calibri" w:eastAsia="Arial Unicode MS" w:hAnsi="Calibri" w:cs="Arial Unicode MS"/>
          <w:i/>
          <w:iCs/>
          <w:color w:val="000000"/>
          <w:sz w:val="24"/>
          <w:szCs w:val="24"/>
          <w:u w:color="000000"/>
          <w:bdr w:val="nil"/>
          <w:lang w:val="es-ES_tradnl" w:eastAsia="es-ES"/>
        </w:rPr>
        <w:t>”</w:t>
      </w:r>
      <w:r w:rsidRPr="00DE1160">
        <w:rPr>
          <w:rFonts w:ascii="Calibri" w:eastAsia="Arial Unicode MS" w:hAnsi="Calibri" w:cs="Arial Unicode MS"/>
          <w:color w:val="000000"/>
          <w:sz w:val="24"/>
          <w:szCs w:val="24"/>
          <w:u w:color="000000"/>
          <w:bdr w:val="nil"/>
          <w:lang w:val="es-ES_tradnl" w:eastAsia="es-ES"/>
        </w:rPr>
        <w:t xml:space="preserve">. </w:t>
      </w:r>
    </w:p>
    <w:p w14:paraId="68406D51" w14:textId="77777777" w:rsidR="00DE1160" w:rsidRPr="00DE1160" w:rsidRDefault="00DE1160" w:rsidP="00DE1160">
      <w:p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 xml:space="preserve">Los criterios para la inclusión: </w:t>
      </w:r>
    </w:p>
    <w:p w14:paraId="0AAEAC86" w14:textId="77777777" w:rsidR="00DE1160" w:rsidRPr="00DE1160" w:rsidRDefault="00DE1160" w:rsidP="00DE1160">
      <w:pPr>
        <w:numPr>
          <w:ilvl w:val="0"/>
          <w:numId w:val="5"/>
        </w:num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 xml:space="preserve">Artículos en </w:t>
      </w:r>
      <w:proofErr w:type="gramStart"/>
      <w:r w:rsidRPr="00DE1160">
        <w:rPr>
          <w:rFonts w:ascii="Calibri" w:eastAsia="Arial Unicode MS" w:hAnsi="Calibri" w:cs="Arial Unicode MS"/>
          <w:color w:val="000000"/>
          <w:sz w:val="24"/>
          <w:szCs w:val="24"/>
          <w:u w:color="000000"/>
          <w:bdr w:val="nil"/>
          <w:lang w:val="es-ES_tradnl" w:eastAsia="es-ES"/>
        </w:rPr>
        <w:t>Inglés</w:t>
      </w:r>
      <w:proofErr w:type="gramEnd"/>
      <w:r w:rsidRPr="00DE1160">
        <w:rPr>
          <w:rFonts w:ascii="Calibri" w:eastAsia="Arial Unicode MS" w:hAnsi="Calibri" w:cs="Arial Unicode MS"/>
          <w:color w:val="000000"/>
          <w:sz w:val="24"/>
          <w:szCs w:val="24"/>
          <w:u w:color="000000"/>
          <w:bdr w:val="nil"/>
          <w:lang w:val="es-ES_tradnl" w:eastAsia="es-ES"/>
        </w:rPr>
        <w:t xml:space="preserve"> o Español. </w:t>
      </w:r>
    </w:p>
    <w:p w14:paraId="6A1D39F7" w14:textId="77777777" w:rsidR="00DE1160" w:rsidRPr="00DE1160" w:rsidRDefault="00DE1160" w:rsidP="00DE1160">
      <w:pPr>
        <w:numPr>
          <w:ilvl w:val="0"/>
          <w:numId w:val="5"/>
        </w:num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 xml:space="preserve">Deben utilizarse los últimos datos científicos, cuya publicación se produjo después de 2015. </w:t>
      </w:r>
    </w:p>
    <w:p w14:paraId="7E4595CA" w14:textId="77777777" w:rsidR="00DE1160" w:rsidRPr="00DE1160" w:rsidRDefault="00DE1160" w:rsidP="00DE1160">
      <w:pPr>
        <w:numPr>
          <w:ilvl w:val="0"/>
          <w:numId w:val="5"/>
        </w:num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Revisión de la literatura</w:t>
      </w:r>
    </w:p>
    <w:p w14:paraId="4E905726" w14:textId="77777777" w:rsidR="00DE1160" w:rsidRPr="00DE1160" w:rsidRDefault="00DE1160" w:rsidP="00DE1160">
      <w:p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Los criterios de exclusión:</w:t>
      </w:r>
    </w:p>
    <w:p w14:paraId="126C34E2" w14:textId="77777777" w:rsidR="00DE1160" w:rsidRPr="00DE1160" w:rsidRDefault="00DE1160" w:rsidP="00DE1160">
      <w:pPr>
        <w:numPr>
          <w:ilvl w:val="0"/>
          <w:numId w:val="5"/>
        </w:num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Artículos no indexados</w:t>
      </w:r>
    </w:p>
    <w:p w14:paraId="5C35810A" w14:textId="77777777" w:rsidR="00DE1160" w:rsidRPr="00DE1160" w:rsidRDefault="00DE1160" w:rsidP="00DE1160">
      <w:pPr>
        <w:numPr>
          <w:ilvl w:val="0"/>
          <w:numId w:val="5"/>
        </w:num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es-ES_tradnl" w:eastAsia="es-ES"/>
        </w:rPr>
      </w:pPr>
      <w:r w:rsidRPr="00DE1160">
        <w:rPr>
          <w:rFonts w:ascii="Calibri" w:eastAsia="Arial Unicode MS" w:hAnsi="Calibri" w:cs="Arial Unicode MS"/>
          <w:color w:val="000000"/>
          <w:sz w:val="24"/>
          <w:szCs w:val="24"/>
          <w:u w:color="000000"/>
          <w:bdr w:val="nil"/>
          <w:lang w:val="es-ES_tradnl" w:eastAsia="es-ES"/>
        </w:rPr>
        <w:t>Artículos anteriores a 2015</w:t>
      </w:r>
    </w:p>
    <w:p w14:paraId="0BA44CA7" w14:textId="77777777" w:rsidR="00DE1160" w:rsidRPr="00DE1160" w:rsidRDefault="00DE1160" w:rsidP="00DE1160">
      <w:pPr>
        <w:pBdr>
          <w:top w:val="nil"/>
          <w:left w:val="nil"/>
          <w:bottom w:val="nil"/>
          <w:right w:val="nil"/>
          <w:between w:val="nil"/>
          <w:bar w:val="nil"/>
        </w:pBdr>
        <w:spacing w:after="240" w:line="360" w:lineRule="auto"/>
        <w:jc w:val="both"/>
        <w:rPr>
          <w:rFonts w:ascii="Calibri" w:eastAsia="Arial Unicode MS" w:hAnsi="Calibri" w:cs="Arial Unicode MS"/>
          <w:color w:val="000000"/>
          <w:sz w:val="24"/>
          <w:szCs w:val="24"/>
          <w:u w:color="000000"/>
          <w:bdr w:val="nil"/>
          <w:lang w:val="pt-PT" w:eastAsia="es-ES"/>
          <w14:textOutline w14:w="0" w14:cap="flat" w14:cmpd="sng" w14:algn="ctr">
            <w14:noFill/>
            <w14:prstDash w14:val="solid"/>
            <w14:bevel/>
          </w14:textOutline>
        </w:rPr>
      </w:pPr>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El n</w:t>
      </w:r>
      <w:r w:rsidRPr="00DE1160">
        <w:rPr>
          <w:rFonts w:ascii="Calibri" w:eastAsia="Arial Unicode MS" w:hAnsi="Calibri" w:cs="Arial Unicode MS"/>
          <w:color w:val="000000"/>
          <w:sz w:val="24"/>
          <w:szCs w:val="24"/>
          <w:u w:color="000000"/>
          <w:bdr w:val="nil"/>
          <w:lang w:val="pt-PT" w:eastAsia="es-ES"/>
          <w14:textOutline w14:w="0" w14:cap="flat" w14:cmpd="sng" w14:algn="ctr">
            <w14:noFill/>
            <w14:prstDash w14:val="solid"/>
            <w14:bevel/>
          </w14:textOutline>
        </w:rPr>
        <w:t>ú</w:t>
      </w:r>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mero de art</w:t>
      </w:r>
      <w:r w:rsidRPr="00DE1160">
        <w:rPr>
          <w:rFonts w:ascii="Calibri" w:eastAsia="Arial Unicode MS" w:hAnsi="Calibri" w:cs="Arial Unicode MS"/>
          <w:color w:val="000000"/>
          <w:sz w:val="24"/>
          <w:szCs w:val="24"/>
          <w:u w:color="000000"/>
          <w:bdr w:val="nil"/>
          <w:lang w:val="pt-PT" w:eastAsia="es-ES"/>
          <w14:textOutline w14:w="0" w14:cap="flat" w14:cmpd="sng" w14:algn="ctr">
            <w14:noFill/>
            <w14:prstDash w14:val="solid"/>
            <w14:bevel/>
          </w14:textOutline>
        </w:rPr>
        <w:t>í</w:t>
      </w:r>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culos rechazados fue alto, rechazados debido al incumplimiento de los criterios anteriores. El n</w:t>
      </w:r>
      <w:r w:rsidRPr="00DE1160">
        <w:rPr>
          <w:rFonts w:ascii="Calibri" w:eastAsia="Arial Unicode MS" w:hAnsi="Calibri" w:cs="Arial Unicode MS"/>
          <w:color w:val="000000"/>
          <w:sz w:val="24"/>
          <w:szCs w:val="24"/>
          <w:u w:color="000000"/>
          <w:bdr w:val="nil"/>
          <w:lang w:val="pt-PT" w:eastAsia="es-ES"/>
          <w14:textOutline w14:w="0" w14:cap="flat" w14:cmpd="sng" w14:algn="ctr">
            <w14:noFill/>
            <w14:prstDash w14:val="solid"/>
            <w14:bevel/>
          </w14:textOutline>
        </w:rPr>
        <w:t>ú</w:t>
      </w:r>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 xml:space="preserve">mero de fuentes utilizadas fue </w:t>
      </w:r>
      <w:r w:rsidRPr="00DE1160">
        <w:rPr>
          <w:rFonts w:ascii="Calibri" w:eastAsia="Arial Unicode MS" w:hAnsi="Calibri" w:cs="Arial Unicode MS"/>
          <w:color w:val="000000"/>
          <w:sz w:val="24"/>
          <w:szCs w:val="24"/>
          <w:u w:color="000000"/>
          <w:bdr w:val="nil"/>
          <w:shd w:val="clear" w:color="auto" w:fill="FFFF00"/>
          <w:lang w:val="es-ES_tradnl" w:eastAsia="es-ES"/>
          <w14:textOutline w14:w="0" w14:cap="flat" w14:cmpd="sng" w14:algn="ctr">
            <w14:noFill/>
            <w14:prstDash w14:val="solid"/>
            <w14:bevel/>
          </w14:textOutline>
        </w:rPr>
        <w:t>¿</w:t>
      </w:r>
      <w:r w:rsidRPr="00DE1160">
        <w:rPr>
          <w:rFonts w:ascii="Calibri" w:eastAsia="Arial Unicode MS" w:hAnsi="Calibri" w:cs="Arial Unicode MS"/>
          <w:color w:val="000000"/>
          <w:sz w:val="24"/>
          <w:szCs w:val="24"/>
          <w:u w:color="000000"/>
          <w:bdr w:val="nil"/>
          <w:shd w:val="clear" w:color="auto" w:fill="FFFF00"/>
          <w:lang w:val="zh-TW" w:eastAsia="zh-TW"/>
          <w14:textOutline w14:w="0" w14:cap="flat" w14:cmpd="sng" w14:algn="ctr">
            <w14:noFill/>
            <w14:prstDash w14:val="solid"/>
            <w14:bevel/>
          </w14:textOutline>
        </w:rPr>
        <w:t>?</w:t>
      </w:r>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 xml:space="preserve">, y se dan en la sección "Referencias </w:t>
      </w:r>
      <w:proofErr w:type="spellStart"/>
      <w:r w:rsidRPr="00DE1160">
        <w:rPr>
          <w:rFonts w:ascii="Calibri" w:eastAsia="Arial Unicode MS" w:hAnsi="Calibri" w:cs="Arial Unicode MS"/>
          <w:color w:val="000000"/>
          <w:sz w:val="24"/>
          <w:szCs w:val="24"/>
          <w:u w:color="000000"/>
          <w:bdr w:val="nil"/>
          <w:lang w:val="es-ES_tradnl" w:eastAsia="es-ES"/>
          <w14:textOutline w14:w="0" w14:cap="flat" w14:cmpd="sng" w14:algn="ctr">
            <w14:noFill/>
            <w14:prstDash w14:val="solid"/>
            <w14:bevel/>
          </w14:textOutline>
        </w:rPr>
        <w:t>bibliogr</w:t>
      </w:r>
      <w:proofErr w:type="spellEnd"/>
      <w:r w:rsidRPr="00DE1160">
        <w:rPr>
          <w:rFonts w:ascii="Calibri" w:eastAsia="Arial Unicode MS" w:hAnsi="Calibri" w:cs="Arial Unicode MS"/>
          <w:color w:val="000000"/>
          <w:sz w:val="24"/>
          <w:szCs w:val="24"/>
          <w:u w:color="000000"/>
          <w:bdr w:val="nil"/>
          <w:lang w:val="pt-PT" w:eastAsia="es-ES"/>
          <w14:textOutline w14:w="0" w14:cap="flat" w14:cmpd="sng" w14:algn="ctr">
            <w14:noFill/>
            <w14:prstDash w14:val="solid"/>
            <w14:bevel/>
          </w14:textOutline>
        </w:rPr>
        <w:t>áficas".</w:t>
      </w:r>
    </w:p>
    <w:p w14:paraId="538B1A1C" w14:textId="5CB2A715" w:rsidR="00B22F83" w:rsidRDefault="00B22F83">
      <w:r>
        <w:br w:type="page"/>
      </w:r>
    </w:p>
    <w:p w14:paraId="21AC6F9F" w14:textId="79439E02" w:rsidR="00B22F83" w:rsidRPr="00BC2C84" w:rsidRDefault="00B22F83" w:rsidP="00BC2C84">
      <w:pPr>
        <w:pStyle w:val="Ttulo1"/>
        <w:spacing w:after="240" w:line="360" w:lineRule="auto"/>
        <w:jc w:val="both"/>
        <w:rPr>
          <w:color w:val="auto"/>
        </w:rPr>
      </w:pPr>
      <w:bookmarkStart w:id="7" w:name="_Toc58061716"/>
      <w:r w:rsidRPr="00BC2C84">
        <w:rPr>
          <w:color w:val="auto"/>
        </w:rPr>
        <w:lastRenderedPageBreak/>
        <w:t>Referencias bibliográficas</w:t>
      </w:r>
      <w:bookmarkEnd w:id="7"/>
    </w:p>
    <w:p w14:paraId="31C48A0C" w14:textId="6AB222C6" w:rsidR="0064655F" w:rsidRPr="0064655F" w:rsidRDefault="00E87B54" w:rsidP="0064655F">
      <w:pPr>
        <w:widowControl w:val="0"/>
        <w:autoSpaceDE w:val="0"/>
        <w:autoSpaceDN w:val="0"/>
        <w:adjustRightInd w:val="0"/>
        <w:spacing w:line="360" w:lineRule="auto"/>
        <w:ind w:left="640" w:hanging="640"/>
        <w:rPr>
          <w:rFonts w:ascii="Calibri" w:hAnsi="Calibri" w:cs="Calibri"/>
          <w:noProof/>
          <w:sz w:val="24"/>
          <w:szCs w:val="24"/>
        </w:rPr>
      </w:pPr>
      <w:r w:rsidRPr="00D30649">
        <w:rPr>
          <w:sz w:val="24"/>
          <w:szCs w:val="24"/>
        </w:rPr>
        <w:fldChar w:fldCharType="begin" w:fldLock="1"/>
      </w:r>
      <w:r w:rsidRPr="00D30649">
        <w:rPr>
          <w:sz w:val="24"/>
          <w:szCs w:val="24"/>
        </w:rPr>
        <w:instrText xml:space="preserve">ADDIN Mendeley Bibliography CSL_BIBLIOGRAPHY </w:instrText>
      </w:r>
      <w:r w:rsidRPr="00D30649">
        <w:rPr>
          <w:sz w:val="24"/>
          <w:szCs w:val="24"/>
        </w:rPr>
        <w:fldChar w:fldCharType="separate"/>
      </w:r>
      <w:r w:rsidR="0064655F" w:rsidRPr="0064655F">
        <w:rPr>
          <w:rFonts w:ascii="Calibri" w:hAnsi="Calibri" w:cs="Calibri"/>
          <w:noProof/>
          <w:sz w:val="24"/>
          <w:szCs w:val="24"/>
        </w:rPr>
        <w:t xml:space="preserve">1. </w:t>
      </w:r>
      <w:r w:rsidR="0064655F" w:rsidRPr="0064655F">
        <w:rPr>
          <w:rFonts w:ascii="Calibri" w:hAnsi="Calibri" w:cs="Calibri"/>
          <w:noProof/>
          <w:sz w:val="24"/>
          <w:szCs w:val="24"/>
        </w:rPr>
        <w:tab/>
        <w:t xml:space="preserve">Araújo MG, Silva CO, Misawa M, Sukekava F. Alveolar socket healing: What can we learn? Periodontol 2000. 2015;68(1):122–34. </w:t>
      </w:r>
    </w:p>
    <w:p w14:paraId="5BF0C2E1"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2. </w:t>
      </w:r>
      <w:r w:rsidRPr="0064655F">
        <w:rPr>
          <w:rFonts w:ascii="Calibri" w:hAnsi="Calibri" w:cs="Calibri"/>
          <w:noProof/>
          <w:sz w:val="24"/>
          <w:szCs w:val="24"/>
        </w:rPr>
        <w:tab/>
        <w:t xml:space="preserve">Adeyemo WL, Ladeinde AL, Ogunlewe MO. Clinical Evaluation of Post-Extraction Site Wound Healing. J Contemp Dent Pr. 2006;7(3):1–9. </w:t>
      </w:r>
    </w:p>
    <w:p w14:paraId="3E710762"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3. </w:t>
      </w:r>
      <w:r w:rsidRPr="0064655F">
        <w:rPr>
          <w:rFonts w:ascii="Calibri" w:hAnsi="Calibri" w:cs="Calibri"/>
          <w:noProof/>
          <w:sz w:val="24"/>
          <w:szCs w:val="24"/>
        </w:rPr>
        <w:tab/>
        <w:t xml:space="preserve">Amler MH. Disturbed healing of extraction wounds. J Oral Implantol. 1999;25(3):179–84. </w:t>
      </w:r>
    </w:p>
    <w:p w14:paraId="113505AF"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4. </w:t>
      </w:r>
      <w:r w:rsidRPr="0064655F">
        <w:rPr>
          <w:rFonts w:ascii="Calibri" w:hAnsi="Calibri" w:cs="Calibri"/>
          <w:noProof/>
          <w:sz w:val="24"/>
          <w:szCs w:val="24"/>
        </w:rPr>
        <w:tab/>
        <w:t xml:space="preserve">Araújo MG, Lindhe J. Dimensional ridge alterations following tooth extraction. An experimental study in the dog. J Clin Periodontol. 2005;32(2):212–8. </w:t>
      </w:r>
    </w:p>
    <w:p w14:paraId="3A27BE33"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5. </w:t>
      </w:r>
      <w:r w:rsidRPr="0064655F">
        <w:rPr>
          <w:rFonts w:ascii="Calibri" w:hAnsi="Calibri" w:cs="Calibri"/>
          <w:noProof/>
          <w:sz w:val="24"/>
          <w:szCs w:val="24"/>
        </w:rPr>
        <w:tab/>
        <w:t xml:space="preserve">Guglielmotti MB, Cabrini RL. Alveolar wound healing and ridge remodeling after tooth extraction in the rat: A histologic, radiographic, and histometric study. J Oral Maxillofac Surg. 1985;43(5):359–64. </w:t>
      </w:r>
    </w:p>
    <w:p w14:paraId="21B88A23"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6. </w:t>
      </w:r>
      <w:r w:rsidRPr="0064655F">
        <w:rPr>
          <w:rFonts w:ascii="Calibri" w:hAnsi="Calibri" w:cs="Calibri"/>
          <w:noProof/>
          <w:sz w:val="24"/>
          <w:szCs w:val="24"/>
        </w:rPr>
        <w:tab/>
        <w:t>Fee L. Socket preservation. Br Dent J [Internet]. 2017;222(8):579–82. Available from: http://dx.doi.org/10.1038/sj.bdj.2017.355</w:t>
      </w:r>
    </w:p>
    <w:p w14:paraId="3F9831DD"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7. </w:t>
      </w:r>
      <w:r w:rsidRPr="0064655F">
        <w:rPr>
          <w:rFonts w:ascii="Calibri" w:hAnsi="Calibri" w:cs="Calibri"/>
          <w:noProof/>
          <w:sz w:val="24"/>
          <w:szCs w:val="24"/>
        </w:rPr>
        <w:tab/>
        <w:t xml:space="preserve">AMLER MH, JOHNSON PL, SALMAN I. Histological and histochemical investigation of human alveolar socket healing in undisturbed extraction wounds. J Am Dent Assoc. 1960;61(1):32–44. </w:t>
      </w:r>
    </w:p>
    <w:p w14:paraId="4CBDBA42"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8. </w:t>
      </w:r>
      <w:r w:rsidRPr="0064655F">
        <w:rPr>
          <w:rFonts w:ascii="Calibri" w:hAnsi="Calibri" w:cs="Calibri"/>
          <w:noProof/>
          <w:sz w:val="24"/>
          <w:szCs w:val="24"/>
        </w:rPr>
        <w:tab/>
        <w:t>Lamano Carvalho TL, Bombonato KF, Brentegani LG. Histometric analysis of rat alveolar wound healing. Braz Dent J [Internet]. 1997 [cited 2020 Nov 22];8(1):9–12. Available from: https://www.forp.usp.br/bdj/t0281.html#results</w:t>
      </w:r>
    </w:p>
    <w:p w14:paraId="259F610D"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9. </w:t>
      </w:r>
      <w:r w:rsidRPr="0064655F">
        <w:rPr>
          <w:rFonts w:ascii="Calibri" w:hAnsi="Calibri" w:cs="Calibri"/>
          <w:noProof/>
          <w:sz w:val="24"/>
          <w:szCs w:val="24"/>
        </w:rPr>
        <w:tab/>
        <w:t xml:space="preserve">Marques LF, Stessuk T, Camargo ICC, Sabeh Junior N, Santos L Dos, Ribeiro-Paes JT. Platelet-rich plasma (PRP): Methodological aspects and clinical applications. Platelets. 2015;26(2):101–13. </w:t>
      </w:r>
    </w:p>
    <w:p w14:paraId="6E5AF8DA"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10. </w:t>
      </w:r>
      <w:r w:rsidRPr="0064655F">
        <w:rPr>
          <w:rFonts w:ascii="Calibri" w:hAnsi="Calibri" w:cs="Calibri"/>
          <w:noProof/>
          <w:sz w:val="24"/>
          <w:szCs w:val="24"/>
        </w:rPr>
        <w:tab/>
        <w:t xml:space="preserve">Gaßling VLW, Açil Y, Springer IN, Hubert N, Wiltfang J. Platelet-rich Plasma and Platelet-rich fibrin in human cell culture. Oral Surgery, Oral Med Oral Pathol Oral Radiol Endodontology. 2009;108(1):48–55. </w:t>
      </w:r>
    </w:p>
    <w:p w14:paraId="3309A7D3"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11. </w:t>
      </w:r>
      <w:r w:rsidRPr="0064655F">
        <w:rPr>
          <w:rFonts w:ascii="Calibri" w:hAnsi="Calibri" w:cs="Calibri"/>
          <w:noProof/>
          <w:sz w:val="24"/>
          <w:szCs w:val="24"/>
        </w:rPr>
        <w:tab/>
        <w:t xml:space="preserve">Carrillo-Mora P, González-Villalva A, MacÍas-Hernández SI, Pineda-Villaseñor C. </w:t>
      </w:r>
      <w:r w:rsidRPr="0064655F">
        <w:rPr>
          <w:rFonts w:ascii="Calibri" w:hAnsi="Calibri" w:cs="Calibri"/>
          <w:noProof/>
          <w:sz w:val="24"/>
          <w:szCs w:val="24"/>
        </w:rPr>
        <w:lastRenderedPageBreak/>
        <w:t xml:space="preserve">Plasma rico en plaquetas. Herramienta versátil de la medicina regenerativa? Cir Cir. 2013;81(1):74–82. </w:t>
      </w:r>
    </w:p>
    <w:p w14:paraId="14782165"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12. </w:t>
      </w:r>
      <w:r w:rsidRPr="0064655F">
        <w:rPr>
          <w:rFonts w:ascii="Calibri" w:hAnsi="Calibri" w:cs="Calibri"/>
          <w:noProof/>
          <w:sz w:val="24"/>
          <w:szCs w:val="24"/>
        </w:rPr>
        <w:tab/>
        <w:t xml:space="preserve">Arnoczky SP, Shebani-Rad S. The basic science of platelet-rich plasma (PRP): What clinicians need to know. Sports Med Arthrosc. 2013;21(4):180–5. </w:t>
      </w:r>
    </w:p>
    <w:p w14:paraId="5FA5EE11"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13. </w:t>
      </w:r>
      <w:r w:rsidRPr="0064655F">
        <w:rPr>
          <w:rFonts w:ascii="Calibri" w:hAnsi="Calibri" w:cs="Calibri"/>
          <w:noProof/>
          <w:sz w:val="24"/>
          <w:szCs w:val="24"/>
        </w:rPr>
        <w:tab/>
        <w:t xml:space="preserve">Roberto J, Evia B. Plasmaféresis y recambio plasmático. Rev Latinoam Patol Clin Med Lab. 2014;61(3):163–74. </w:t>
      </w:r>
    </w:p>
    <w:p w14:paraId="7BAADBDD"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14. </w:t>
      </w:r>
      <w:r w:rsidRPr="0064655F">
        <w:rPr>
          <w:rFonts w:ascii="Calibri" w:hAnsi="Calibri" w:cs="Calibri"/>
          <w:noProof/>
          <w:sz w:val="24"/>
          <w:szCs w:val="24"/>
        </w:rPr>
        <w:tab/>
        <w:t>Dentistas. Rev del Cons Gen Dent España [Internet]. 2018;29:6–10. Available from: https://www.consejodentistas.es/comunicacion/actualidad-consejo/notas-de-prensa-consejo/item/1453-el-consejo-general-de-dentistas-consigue-que-se-reconozca-la-venopuncion-como-competencia-propia.html</w:t>
      </w:r>
    </w:p>
    <w:p w14:paraId="64C19762"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15. </w:t>
      </w:r>
      <w:r w:rsidRPr="0064655F">
        <w:rPr>
          <w:rFonts w:ascii="Calibri" w:hAnsi="Calibri" w:cs="Calibri"/>
          <w:noProof/>
          <w:sz w:val="24"/>
          <w:szCs w:val="24"/>
        </w:rPr>
        <w:tab/>
        <w:t xml:space="preserve">Dohan Ehrenfest DM, Rasmusson L, Albrektsson T. Classification of platelet concentrates: from pure platelet-rich plasma (P-PRP) to leucocyte- and platelet-rich fibrin (L-PRF). Trends Biotechnol. 2009;27(3):158–67. </w:t>
      </w:r>
    </w:p>
    <w:p w14:paraId="71D96C3B"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16. </w:t>
      </w:r>
      <w:r w:rsidRPr="0064655F">
        <w:rPr>
          <w:rFonts w:ascii="Calibri" w:hAnsi="Calibri" w:cs="Calibri"/>
          <w:noProof/>
          <w:sz w:val="24"/>
          <w:szCs w:val="24"/>
        </w:rPr>
        <w:tab/>
        <w:t xml:space="preserve">Dohan DM, Choukroun J, Diss A, Dohan SL, Dohan AJJ, Mouhyi J, et al. Platelet-rich fibrin (PRF): A second-generation platelet concentrate. Part I: Technological concepts and evolution. Oral Surgery, Oral Med Oral Pathol Oral Radiol Endodontology. 2006;101(3). </w:t>
      </w:r>
    </w:p>
    <w:p w14:paraId="3D1A0746"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17. </w:t>
      </w:r>
      <w:r w:rsidRPr="0064655F">
        <w:rPr>
          <w:rFonts w:ascii="Calibri" w:hAnsi="Calibri" w:cs="Calibri"/>
          <w:noProof/>
          <w:sz w:val="24"/>
          <w:szCs w:val="24"/>
        </w:rPr>
        <w:tab/>
        <w:t xml:space="preserve">Halawani S, Hamdi B, Al-Henaky M, Almotawa Z, Al-Harbi S. The role of Platelet-rich fibrin (PRF) in Periodontology. Int J Med Dev Ctries. 2019;3(February):214–8. </w:t>
      </w:r>
    </w:p>
    <w:p w14:paraId="2A95DB60"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18. </w:t>
      </w:r>
      <w:r w:rsidRPr="0064655F">
        <w:rPr>
          <w:rFonts w:ascii="Calibri" w:hAnsi="Calibri" w:cs="Calibri"/>
          <w:noProof/>
          <w:sz w:val="24"/>
          <w:szCs w:val="24"/>
        </w:rPr>
        <w:tab/>
        <w:t xml:space="preserve">Del Corso M, Toffler M, Dohan Ehrenfest DM. Use of an Autologous Leukocyte and Platelet-Rich Fibrin (L-PRF) Membrane in Post-Avulsion Sites: An Overview of Choukroun’s PRF. J Implant Adv Clin Dent. 2010;1(9):27–35. </w:t>
      </w:r>
    </w:p>
    <w:p w14:paraId="520DCEA3"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19. </w:t>
      </w:r>
      <w:r w:rsidRPr="0064655F">
        <w:rPr>
          <w:rFonts w:ascii="Calibri" w:hAnsi="Calibri" w:cs="Calibri"/>
          <w:noProof/>
          <w:sz w:val="24"/>
          <w:szCs w:val="24"/>
        </w:rPr>
        <w:tab/>
        <w:t xml:space="preserve">Dragonas P, Katsaros T, Avila-Ortiz G, Chambrone L, Schiavo JH, Palaiologou A. Effects of leukocyte–platelet-rich fibrin (L-PRF) in different intraoral bone grafting procedures: a systematic review. Vol. 48, International Journal of Oral and Maxillofacial Surgery. Churchill Livingstone; 2019. p. 250–62. </w:t>
      </w:r>
    </w:p>
    <w:p w14:paraId="76BD181B"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szCs w:val="24"/>
        </w:rPr>
      </w:pPr>
      <w:r w:rsidRPr="0064655F">
        <w:rPr>
          <w:rFonts w:ascii="Calibri" w:hAnsi="Calibri" w:cs="Calibri"/>
          <w:noProof/>
          <w:sz w:val="24"/>
          <w:szCs w:val="24"/>
        </w:rPr>
        <w:t xml:space="preserve">20. </w:t>
      </w:r>
      <w:r w:rsidRPr="0064655F">
        <w:rPr>
          <w:rFonts w:ascii="Calibri" w:hAnsi="Calibri" w:cs="Calibri"/>
          <w:noProof/>
          <w:sz w:val="24"/>
          <w:szCs w:val="24"/>
        </w:rPr>
        <w:tab/>
        <w:t xml:space="preserve">Antonio M, González A, Marina A, Suárez D, Hernández MD, José V. Fibrina rica </w:t>
      </w:r>
      <w:r w:rsidRPr="0064655F">
        <w:rPr>
          <w:rFonts w:ascii="Calibri" w:hAnsi="Calibri" w:cs="Calibri"/>
          <w:noProof/>
          <w:sz w:val="24"/>
          <w:szCs w:val="24"/>
        </w:rPr>
        <w:lastRenderedPageBreak/>
        <w:t xml:space="preserve">en plaquetas y leucocitos: biomaterial autólogo excelente para la regeneración tisular. Medicentro Electrónica. 2018;22(1):19–26. </w:t>
      </w:r>
    </w:p>
    <w:p w14:paraId="4F52BC4B" w14:textId="77777777" w:rsidR="0064655F" w:rsidRPr="0064655F" w:rsidRDefault="0064655F" w:rsidP="0064655F">
      <w:pPr>
        <w:widowControl w:val="0"/>
        <w:autoSpaceDE w:val="0"/>
        <w:autoSpaceDN w:val="0"/>
        <w:adjustRightInd w:val="0"/>
        <w:spacing w:line="360" w:lineRule="auto"/>
        <w:ind w:left="640" w:hanging="640"/>
        <w:rPr>
          <w:rFonts w:ascii="Calibri" w:hAnsi="Calibri" w:cs="Calibri"/>
          <w:noProof/>
          <w:sz w:val="24"/>
        </w:rPr>
      </w:pPr>
      <w:r w:rsidRPr="0064655F">
        <w:rPr>
          <w:rFonts w:ascii="Calibri" w:hAnsi="Calibri" w:cs="Calibri"/>
          <w:noProof/>
          <w:sz w:val="24"/>
          <w:szCs w:val="24"/>
        </w:rPr>
        <w:t xml:space="preserve">21. </w:t>
      </w:r>
      <w:r w:rsidRPr="0064655F">
        <w:rPr>
          <w:rFonts w:ascii="Calibri" w:hAnsi="Calibri" w:cs="Calibri"/>
          <w:noProof/>
          <w:sz w:val="24"/>
          <w:szCs w:val="24"/>
        </w:rPr>
        <w:tab/>
        <w:t>Fan Y, Perez K, Dym H. Clinical Uses of Platelet-Rich Fibrin in Oral and Maxillofacial Surgery. Dent Clin North Am [Internet]. 2020;64(2):291–303. Available from: https://doi.org/10.1016/j.cden.2019.12.012</w:t>
      </w:r>
    </w:p>
    <w:p w14:paraId="3211BCE5" w14:textId="05629892" w:rsidR="0034601F" w:rsidRDefault="00E87B54" w:rsidP="0034601F">
      <w:pPr>
        <w:spacing w:line="360" w:lineRule="auto"/>
        <w:jc w:val="both"/>
      </w:pPr>
      <w:r w:rsidRPr="00D30649">
        <w:rPr>
          <w:sz w:val="24"/>
          <w:szCs w:val="24"/>
        </w:rPr>
        <w:fldChar w:fldCharType="end"/>
      </w:r>
    </w:p>
    <w:sectPr w:rsidR="0034601F" w:rsidSect="00E370C1">
      <w:footerReference w:type="defaul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B7942" w14:textId="77777777" w:rsidR="000B2BFD" w:rsidRDefault="000B2BFD" w:rsidP="004105D3">
      <w:pPr>
        <w:spacing w:after="0" w:line="240" w:lineRule="auto"/>
      </w:pPr>
      <w:r>
        <w:separator/>
      </w:r>
    </w:p>
  </w:endnote>
  <w:endnote w:type="continuationSeparator" w:id="0">
    <w:p w14:paraId="07B81C88" w14:textId="77777777" w:rsidR="000B2BFD" w:rsidRDefault="000B2BFD" w:rsidP="0041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9351094"/>
      <w:docPartObj>
        <w:docPartGallery w:val="Page Numbers (Bottom of Page)"/>
        <w:docPartUnique/>
      </w:docPartObj>
    </w:sdtPr>
    <w:sdtEndPr/>
    <w:sdtContent>
      <w:p w14:paraId="265CC3CB" w14:textId="7BD48FF5" w:rsidR="004050B6" w:rsidRDefault="004050B6">
        <w:pPr>
          <w:pStyle w:val="Piedepgina"/>
          <w:jc w:val="right"/>
        </w:pPr>
        <w:r>
          <w:fldChar w:fldCharType="begin"/>
        </w:r>
        <w:r>
          <w:instrText>PAGE   \* MERGEFORMAT</w:instrText>
        </w:r>
        <w:r>
          <w:fldChar w:fldCharType="separate"/>
        </w:r>
        <w:r>
          <w:t>2</w:t>
        </w:r>
        <w:r>
          <w:fldChar w:fldCharType="end"/>
        </w:r>
      </w:p>
    </w:sdtContent>
  </w:sdt>
  <w:p w14:paraId="38027F20" w14:textId="77777777" w:rsidR="004050B6" w:rsidRDefault="004050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08A26" w14:textId="77777777" w:rsidR="000B2BFD" w:rsidRDefault="000B2BFD" w:rsidP="004105D3">
      <w:pPr>
        <w:spacing w:after="0" w:line="240" w:lineRule="auto"/>
      </w:pPr>
      <w:r>
        <w:separator/>
      </w:r>
    </w:p>
  </w:footnote>
  <w:footnote w:type="continuationSeparator" w:id="0">
    <w:p w14:paraId="33B9997E" w14:textId="77777777" w:rsidR="000B2BFD" w:rsidRDefault="000B2BFD" w:rsidP="00410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1BDB48E1"/>
    <w:multiLevelType w:val="hybridMultilevel"/>
    <w:tmpl w:val="2200B8F2"/>
    <w:lvl w:ilvl="0" w:tplc="BCE059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E340013"/>
    <w:multiLevelType w:val="hybridMultilevel"/>
    <w:tmpl w:val="878EB770"/>
    <w:lvl w:ilvl="0" w:tplc="AEBCD64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E72559"/>
    <w:multiLevelType w:val="hybridMultilevel"/>
    <w:tmpl w:val="FF8C3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70"/>
    <w:rsid w:val="00001EED"/>
    <w:rsid w:val="00005BF4"/>
    <w:rsid w:val="00014606"/>
    <w:rsid w:val="00014F4A"/>
    <w:rsid w:val="00017309"/>
    <w:rsid w:val="000209CD"/>
    <w:rsid w:val="000345C5"/>
    <w:rsid w:val="00036367"/>
    <w:rsid w:val="00046E68"/>
    <w:rsid w:val="00047B8A"/>
    <w:rsid w:val="00055001"/>
    <w:rsid w:val="000640A6"/>
    <w:rsid w:val="00081241"/>
    <w:rsid w:val="00082DA7"/>
    <w:rsid w:val="00093F1B"/>
    <w:rsid w:val="000A128A"/>
    <w:rsid w:val="000A1F2D"/>
    <w:rsid w:val="000B2BFD"/>
    <w:rsid w:val="000B7365"/>
    <w:rsid w:val="000C084C"/>
    <w:rsid w:val="000E54A2"/>
    <w:rsid w:val="001159DF"/>
    <w:rsid w:val="00117192"/>
    <w:rsid w:val="00134837"/>
    <w:rsid w:val="0015001C"/>
    <w:rsid w:val="00150FA6"/>
    <w:rsid w:val="001547E9"/>
    <w:rsid w:val="001566C5"/>
    <w:rsid w:val="00165425"/>
    <w:rsid w:val="00174004"/>
    <w:rsid w:val="00180C56"/>
    <w:rsid w:val="00183E0B"/>
    <w:rsid w:val="00184309"/>
    <w:rsid w:val="001876F9"/>
    <w:rsid w:val="001B39C6"/>
    <w:rsid w:val="001C7290"/>
    <w:rsid w:val="001D541E"/>
    <w:rsid w:val="001D546C"/>
    <w:rsid w:val="001D747F"/>
    <w:rsid w:val="001D792C"/>
    <w:rsid w:val="001F0CE1"/>
    <w:rsid w:val="002037B5"/>
    <w:rsid w:val="0021772C"/>
    <w:rsid w:val="00227823"/>
    <w:rsid w:val="00253567"/>
    <w:rsid w:val="0026690D"/>
    <w:rsid w:val="00287082"/>
    <w:rsid w:val="00296ACD"/>
    <w:rsid w:val="002A5997"/>
    <w:rsid w:val="002C0D97"/>
    <w:rsid w:val="002E43E2"/>
    <w:rsid w:val="002E7A08"/>
    <w:rsid w:val="002F180E"/>
    <w:rsid w:val="00313A51"/>
    <w:rsid w:val="00334C83"/>
    <w:rsid w:val="0034601F"/>
    <w:rsid w:val="00372407"/>
    <w:rsid w:val="00384369"/>
    <w:rsid w:val="003B360C"/>
    <w:rsid w:val="003D55CB"/>
    <w:rsid w:val="003D5B3A"/>
    <w:rsid w:val="003D75F5"/>
    <w:rsid w:val="003E1B5B"/>
    <w:rsid w:val="003E5458"/>
    <w:rsid w:val="003E58C4"/>
    <w:rsid w:val="003F6A1D"/>
    <w:rsid w:val="00401026"/>
    <w:rsid w:val="004020BF"/>
    <w:rsid w:val="004050B6"/>
    <w:rsid w:val="004105D3"/>
    <w:rsid w:val="004156E2"/>
    <w:rsid w:val="00421EAC"/>
    <w:rsid w:val="00426EDA"/>
    <w:rsid w:val="00434078"/>
    <w:rsid w:val="0046659D"/>
    <w:rsid w:val="00466F49"/>
    <w:rsid w:val="005130B1"/>
    <w:rsid w:val="00516442"/>
    <w:rsid w:val="005252EB"/>
    <w:rsid w:val="00525C08"/>
    <w:rsid w:val="00545112"/>
    <w:rsid w:val="00547CA7"/>
    <w:rsid w:val="00576C78"/>
    <w:rsid w:val="00580D64"/>
    <w:rsid w:val="0059249C"/>
    <w:rsid w:val="005A2C91"/>
    <w:rsid w:val="005A614F"/>
    <w:rsid w:val="005C5AB9"/>
    <w:rsid w:val="005C78B4"/>
    <w:rsid w:val="005F522C"/>
    <w:rsid w:val="005F5E40"/>
    <w:rsid w:val="00617F40"/>
    <w:rsid w:val="006444CE"/>
    <w:rsid w:val="0064655F"/>
    <w:rsid w:val="006658A9"/>
    <w:rsid w:val="006722C9"/>
    <w:rsid w:val="00675333"/>
    <w:rsid w:val="00677000"/>
    <w:rsid w:val="006B0987"/>
    <w:rsid w:val="006C28C2"/>
    <w:rsid w:val="006C4A6B"/>
    <w:rsid w:val="006C518D"/>
    <w:rsid w:val="006F30AA"/>
    <w:rsid w:val="00703AC9"/>
    <w:rsid w:val="0070654C"/>
    <w:rsid w:val="00707427"/>
    <w:rsid w:val="007076B4"/>
    <w:rsid w:val="00750061"/>
    <w:rsid w:val="00764CC5"/>
    <w:rsid w:val="00783CD2"/>
    <w:rsid w:val="007850BC"/>
    <w:rsid w:val="007868CE"/>
    <w:rsid w:val="00790039"/>
    <w:rsid w:val="007A45F8"/>
    <w:rsid w:val="007E0FAA"/>
    <w:rsid w:val="007E7796"/>
    <w:rsid w:val="007F5FB2"/>
    <w:rsid w:val="007F6259"/>
    <w:rsid w:val="008217C0"/>
    <w:rsid w:val="008305D7"/>
    <w:rsid w:val="00841AFC"/>
    <w:rsid w:val="00844198"/>
    <w:rsid w:val="008609E3"/>
    <w:rsid w:val="00866EC6"/>
    <w:rsid w:val="00867B48"/>
    <w:rsid w:val="00875C33"/>
    <w:rsid w:val="008A6E6D"/>
    <w:rsid w:val="008B0F7C"/>
    <w:rsid w:val="008B47F4"/>
    <w:rsid w:val="008C4E97"/>
    <w:rsid w:val="008E217A"/>
    <w:rsid w:val="008E2B74"/>
    <w:rsid w:val="008E7F6C"/>
    <w:rsid w:val="0091313C"/>
    <w:rsid w:val="00927DE3"/>
    <w:rsid w:val="00947350"/>
    <w:rsid w:val="009606D6"/>
    <w:rsid w:val="009A16A4"/>
    <w:rsid w:val="009B1319"/>
    <w:rsid w:val="009D2CB7"/>
    <w:rsid w:val="009D2F47"/>
    <w:rsid w:val="009F4EE2"/>
    <w:rsid w:val="00A1798F"/>
    <w:rsid w:val="00A31D43"/>
    <w:rsid w:val="00A36D40"/>
    <w:rsid w:val="00A4217B"/>
    <w:rsid w:val="00A50520"/>
    <w:rsid w:val="00A51558"/>
    <w:rsid w:val="00A530B8"/>
    <w:rsid w:val="00A5437B"/>
    <w:rsid w:val="00A57FDC"/>
    <w:rsid w:val="00A801FB"/>
    <w:rsid w:val="00A9668B"/>
    <w:rsid w:val="00AA3330"/>
    <w:rsid w:val="00AC14EF"/>
    <w:rsid w:val="00AE2633"/>
    <w:rsid w:val="00AE33AE"/>
    <w:rsid w:val="00AF6B84"/>
    <w:rsid w:val="00B00CC9"/>
    <w:rsid w:val="00B22F83"/>
    <w:rsid w:val="00B5640B"/>
    <w:rsid w:val="00B73344"/>
    <w:rsid w:val="00B86B69"/>
    <w:rsid w:val="00B91909"/>
    <w:rsid w:val="00BA5642"/>
    <w:rsid w:val="00BB31E2"/>
    <w:rsid w:val="00BC10E0"/>
    <w:rsid w:val="00BC2C84"/>
    <w:rsid w:val="00BD0882"/>
    <w:rsid w:val="00BE0FD6"/>
    <w:rsid w:val="00BF1856"/>
    <w:rsid w:val="00BF59CE"/>
    <w:rsid w:val="00BF7B8A"/>
    <w:rsid w:val="00C07A2E"/>
    <w:rsid w:val="00C13D70"/>
    <w:rsid w:val="00C4365A"/>
    <w:rsid w:val="00C537FC"/>
    <w:rsid w:val="00C807A8"/>
    <w:rsid w:val="00C87B2C"/>
    <w:rsid w:val="00C93B4C"/>
    <w:rsid w:val="00CA46F9"/>
    <w:rsid w:val="00CC1485"/>
    <w:rsid w:val="00CD13A6"/>
    <w:rsid w:val="00CE2A57"/>
    <w:rsid w:val="00D17D42"/>
    <w:rsid w:val="00D30649"/>
    <w:rsid w:val="00D31958"/>
    <w:rsid w:val="00D418A6"/>
    <w:rsid w:val="00D433EE"/>
    <w:rsid w:val="00D43E1E"/>
    <w:rsid w:val="00D508EF"/>
    <w:rsid w:val="00D74229"/>
    <w:rsid w:val="00D818D7"/>
    <w:rsid w:val="00D83119"/>
    <w:rsid w:val="00DB7D01"/>
    <w:rsid w:val="00DC63DA"/>
    <w:rsid w:val="00DE04EF"/>
    <w:rsid w:val="00DE1160"/>
    <w:rsid w:val="00DF4F0B"/>
    <w:rsid w:val="00E143E0"/>
    <w:rsid w:val="00E1710C"/>
    <w:rsid w:val="00E21DBF"/>
    <w:rsid w:val="00E2213E"/>
    <w:rsid w:val="00E23CAF"/>
    <w:rsid w:val="00E370C1"/>
    <w:rsid w:val="00E445C2"/>
    <w:rsid w:val="00E51BE7"/>
    <w:rsid w:val="00E520CC"/>
    <w:rsid w:val="00E623CD"/>
    <w:rsid w:val="00E7765E"/>
    <w:rsid w:val="00E87B54"/>
    <w:rsid w:val="00E93760"/>
    <w:rsid w:val="00E957C7"/>
    <w:rsid w:val="00E958B7"/>
    <w:rsid w:val="00ED7B8D"/>
    <w:rsid w:val="00EF2789"/>
    <w:rsid w:val="00F06D3F"/>
    <w:rsid w:val="00F16505"/>
    <w:rsid w:val="00F25179"/>
    <w:rsid w:val="00F41E1F"/>
    <w:rsid w:val="00F47619"/>
    <w:rsid w:val="00F567AF"/>
    <w:rsid w:val="00F92F39"/>
    <w:rsid w:val="00FA028D"/>
    <w:rsid w:val="00FB38F7"/>
    <w:rsid w:val="00FB5BBD"/>
    <w:rsid w:val="00FD4491"/>
    <w:rsid w:val="00FE1D6C"/>
    <w:rsid w:val="00FE3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F5BF"/>
  <w15:chartTrackingRefBased/>
  <w15:docId w15:val="{20F0589D-3CEA-4615-8581-25F98B8B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2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59C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4229"/>
    <w:pPr>
      <w:ind w:left="720"/>
      <w:contextualSpacing/>
    </w:pPr>
  </w:style>
  <w:style w:type="character" w:customStyle="1" w:styleId="Ttulo1Car">
    <w:name w:val="Título 1 Car"/>
    <w:basedOn w:val="Fuentedeprrafopredeter"/>
    <w:link w:val="Ttulo1"/>
    <w:uiPriority w:val="9"/>
    <w:rsid w:val="00B73344"/>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7334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2C8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4F4A"/>
    <w:pPr>
      <w:outlineLvl w:val="9"/>
    </w:pPr>
    <w:rPr>
      <w:lang w:eastAsia="es-ES"/>
    </w:rPr>
  </w:style>
  <w:style w:type="paragraph" w:styleId="TDC1">
    <w:name w:val="toc 1"/>
    <w:basedOn w:val="Normal"/>
    <w:next w:val="Normal"/>
    <w:autoRedefine/>
    <w:uiPriority w:val="39"/>
    <w:unhideWhenUsed/>
    <w:rsid w:val="00334C83"/>
    <w:pPr>
      <w:tabs>
        <w:tab w:val="right" w:leader="dot" w:pos="8494"/>
      </w:tabs>
      <w:spacing w:after="100" w:line="360" w:lineRule="auto"/>
    </w:pPr>
  </w:style>
  <w:style w:type="paragraph" w:styleId="TDC2">
    <w:name w:val="toc 2"/>
    <w:basedOn w:val="Normal"/>
    <w:next w:val="Normal"/>
    <w:autoRedefine/>
    <w:uiPriority w:val="39"/>
    <w:unhideWhenUsed/>
    <w:rsid w:val="00014F4A"/>
    <w:pPr>
      <w:spacing w:after="100"/>
      <w:ind w:left="220"/>
    </w:pPr>
  </w:style>
  <w:style w:type="character" w:styleId="Hipervnculo">
    <w:name w:val="Hyperlink"/>
    <w:basedOn w:val="Fuentedeprrafopredeter"/>
    <w:uiPriority w:val="99"/>
    <w:unhideWhenUsed/>
    <w:rsid w:val="00014F4A"/>
    <w:rPr>
      <w:color w:val="0563C1" w:themeColor="hyperlink"/>
      <w:u w:val="single"/>
    </w:rPr>
  </w:style>
  <w:style w:type="paragraph" w:styleId="Encabezado">
    <w:name w:val="header"/>
    <w:basedOn w:val="Normal"/>
    <w:link w:val="EncabezadoCar"/>
    <w:uiPriority w:val="99"/>
    <w:unhideWhenUsed/>
    <w:rsid w:val="004105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05D3"/>
  </w:style>
  <w:style w:type="paragraph" w:styleId="Piedepgina">
    <w:name w:val="footer"/>
    <w:basedOn w:val="Normal"/>
    <w:link w:val="PiedepginaCar"/>
    <w:uiPriority w:val="99"/>
    <w:unhideWhenUsed/>
    <w:rsid w:val="004105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05D3"/>
  </w:style>
  <w:style w:type="paragraph" w:styleId="TDC3">
    <w:name w:val="toc 3"/>
    <w:basedOn w:val="Normal"/>
    <w:next w:val="Normal"/>
    <w:autoRedefine/>
    <w:uiPriority w:val="39"/>
    <w:unhideWhenUsed/>
    <w:rsid w:val="004105D3"/>
    <w:pPr>
      <w:spacing w:after="100"/>
      <w:ind w:left="440"/>
    </w:pPr>
    <w:rPr>
      <w:rFonts w:eastAsiaTheme="minorEastAsia" w:cs="Times New Roman"/>
      <w:lang w:eastAsia="es-ES"/>
    </w:rPr>
  </w:style>
  <w:style w:type="numbering" w:customStyle="1" w:styleId="Importacidelestil2">
    <w:name w:val="Importació de l’estil 2"/>
    <w:rsid w:val="00DE116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FEC9-D555-4E14-9BE1-81D1539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18</Pages>
  <Words>23699</Words>
  <Characters>130350</Characters>
  <Application>Microsoft Office Word</Application>
  <DocSecurity>0</DocSecurity>
  <Lines>1086</Lines>
  <Paragraphs>307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Yorda  Ibañez</dc:creator>
  <cp:keywords/>
  <dc:description/>
  <cp:lastModifiedBy>Anna Paula Yorda  Ibañez</cp:lastModifiedBy>
  <cp:revision>12</cp:revision>
  <cp:lastPrinted>2020-12-04T16:47:00Z</cp:lastPrinted>
  <dcterms:created xsi:type="dcterms:W3CDTF">2020-12-04T18:59:00Z</dcterms:created>
  <dcterms:modified xsi:type="dcterms:W3CDTF">2020-12-05T18:49:00Z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2b3c3c8e-8760-3b23-9f38-776c7115e0d5</vt:lpwstr>
  </property>
</Properties>
</file>