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3936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E3C0CA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8480" behindDoc="0" locked="0" layoutInCell="1" allowOverlap="1" wp14:anchorId="2588FBE1" wp14:editId="1333B2A5">
                <wp:simplePos x="0" y="0"/>
                <wp:positionH relativeFrom="column">
                  <wp:posOffset>3886200</wp:posOffset>
                </wp:positionH>
                <wp:positionV relativeFrom="paragraph">
                  <wp:posOffset>-571500</wp:posOffset>
                </wp:positionV>
                <wp:extent cx="2590165" cy="18288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90165" cy="1828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8FBE1" id="_x0000_t202" coordsize="21600,21600" o:spt="202" path="m,l,21600r21600,l21600,xe">
                <v:stroke joinstyle="miter"/>
                <v:path gradientshapeok="t" o:connecttype="rect"/>
              </v:shapetype>
              <v:shape id="Cuadro de texto 12" o:spid="_x0000_s1026" type="#_x0000_t202" style="position:absolute;margin-left:306pt;margin-top:-45pt;width:203.9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" filled="f" stroked="f">
                <v:textbo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v:textbox>
                <w10:wrap type="square"/>
              </v:shape>
            </w:pict>
          </mc:Fallback>
        </mc:AlternateContent>
      </w:r>
    </w:p>
    <w:p w14:paraId="30BF0C5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49F22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w:drawing>
          <wp:anchor distT="0" distB="0" distL="114300" distR="114300" simplePos="0" relativeHeight="251662336" behindDoc="0" locked="0" layoutInCell="1" allowOverlap="1" wp14:anchorId="4159177E" wp14:editId="11E7156B">
            <wp:simplePos x="0" y="0"/>
            <wp:positionH relativeFrom="column">
              <wp:posOffset>1600200</wp:posOffset>
            </wp:positionH>
            <wp:positionV relativeFrom="paragraph">
              <wp:posOffset>-114300</wp:posOffset>
            </wp:positionV>
            <wp:extent cx="2188210" cy="1371600"/>
            <wp:effectExtent l="0" t="0" r="0" b="0"/>
            <wp:wrapThrough wrapText="bothSides">
              <wp:wrapPolygon edited="0">
                <wp:start x="0" y="0"/>
                <wp:lineTo x="0" y="21200"/>
                <wp:lineTo x="21312" y="21200"/>
                <wp:lineTo x="21312" y="0"/>
                <wp:lineTo x="0" y="0"/>
              </wp:wrapPolygon>
            </wp:wrapThrough>
            <wp:docPr id="11" name="Imagen 11"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B75A5"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D3D0C9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A19BC6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85E6FD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9F4BD6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D130AC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E90955B"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BBEBF0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FB2D91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B3E282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967AB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9504" behindDoc="0" locked="0" layoutInCell="1" allowOverlap="1" wp14:anchorId="692D58C6" wp14:editId="0BB398E5">
                <wp:simplePos x="0" y="0"/>
                <wp:positionH relativeFrom="column">
                  <wp:posOffset>-342900</wp:posOffset>
                </wp:positionH>
                <wp:positionV relativeFrom="paragraph">
                  <wp:posOffset>13335</wp:posOffset>
                </wp:positionV>
                <wp:extent cx="6172200" cy="0"/>
                <wp:effectExtent l="50800" t="50800" r="50800" b="101600"/>
                <wp:wrapNone/>
                <wp:docPr id="13" name="Conector recto 13"/>
                <wp:cNvGraphicFramePr/>
                <a:graphic xmlns:a="http://schemas.openxmlformats.org/drawingml/2006/main">
                  <a:graphicData uri="http://schemas.microsoft.com/office/word/2010/wordprocessingShape">
                    <wps:wsp>
                      <wps:cNvCnPr/>
                      <wps:spPr>
                        <a:xfrm>
                          <a:off x="0" y="0"/>
                          <a:ext cx="6172200" cy="0"/>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410531F" id="Conector recto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5pt" to="4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" strokecolor="#e11b72" strokeweight="3pt">
                <v:shadow on="t" color="black" opacity="24903f" origin=",.5" offset="0,.55556mm"/>
              </v:line>
            </w:pict>
          </mc:Fallback>
        </mc:AlternateContent>
      </w:r>
    </w:p>
    <w:p w14:paraId="79EE9A9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1AC8FA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40FF7E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E7AD71F" w14:textId="77777777" w:rsidR="000A3D78" w:rsidRDefault="000A3D78" w:rsidP="009D5823">
      <w:pPr>
        <w:spacing w:after="0" w:line="240" w:lineRule="auto"/>
        <w:rPr>
          <w:rFonts w:ascii="Cambria" w:eastAsia="MS Mincho" w:hAnsi="Cambria" w:cs="Times New Roman"/>
          <w:sz w:val="24"/>
          <w:szCs w:val="24"/>
          <w:lang w:val="es-ES_tradnl" w:eastAsia="es-ES"/>
        </w:rPr>
      </w:pPr>
    </w:p>
    <w:p w14:paraId="47139ECE" w14:textId="2B47A5C1" w:rsidR="009D5823" w:rsidRPr="009D5823" w:rsidRDefault="000A3D78" w:rsidP="000A3D78">
      <w:pPr>
        <w:spacing w:after="0" w:line="240" w:lineRule="auto"/>
        <w:jc w:val="center"/>
        <w:rPr>
          <w:rFonts w:eastAsia="MS Mincho" w:cstheme="minorHAnsi"/>
          <w:sz w:val="40"/>
          <w:szCs w:val="40"/>
          <w:lang w:val="es-ES_tradnl" w:eastAsia="es-ES"/>
        </w:rPr>
      </w:pPr>
      <w:r w:rsidRPr="000A3D78">
        <w:rPr>
          <w:rFonts w:cstheme="minorHAnsi"/>
          <w:sz w:val="40"/>
          <w:szCs w:val="40"/>
          <w:lang w:val="de-DE"/>
        </w:rPr>
        <w:t>Dise</w:t>
      </w:r>
      <w:proofErr w:type="spellStart"/>
      <w:r w:rsidRPr="000A3D78">
        <w:rPr>
          <w:rFonts w:cstheme="minorHAnsi"/>
          <w:sz w:val="40"/>
          <w:szCs w:val="40"/>
          <w:lang w:val="es-ES_tradnl"/>
        </w:rPr>
        <w:t>ño</w:t>
      </w:r>
      <w:proofErr w:type="spellEnd"/>
      <w:r w:rsidRPr="000A3D78">
        <w:rPr>
          <w:rFonts w:cstheme="minorHAnsi"/>
          <w:sz w:val="40"/>
          <w:szCs w:val="40"/>
          <w:lang w:val="es-ES_tradnl"/>
        </w:rPr>
        <w:t xml:space="preserve"> de un estudio: Influencia del L-PRF en la morbilidad del paciente post exodoncia</w:t>
      </w:r>
    </w:p>
    <w:p w14:paraId="56C02F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5F2272A"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5D540E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1271B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443EDB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D02BB1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CFB9F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81D3DE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4DD6BB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D7B05C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39A89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3360" behindDoc="0" locked="0" layoutInCell="1" allowOverlap="1" wp14:anchorId="03FD516D" wp14:editId="282979F9">
                <wp:simplePos x="0" y="0"/>
                <wp:positionH relativeFrom="column">
                  <wp:posOffset>-342900</wp:posOffset>
                </wp:positionH>
                <wp:positionV relativeFrom="paragraph">
                  <wp:posOffset>-3810</wp:posOffset>
                </wp:positionV>
                <wp:extent cx="6172200" cy="1"/>
                <wp:effectExtent l="50800" t="50800" r="50800" b="101600"/>
                <wp:wrapNone/>
                <wp:docPr id="5" name="Conector recto 5"/>
                <wp:cNvGraphicFramePr/>
                <a:graphic xmlns:a="http://schemas.openxmlformats.org/drawingml/2006/main">
                  <a:graphicData uri="http://schemas.microsoft.com/office/word/2010/wordprocessingShape">
                    <wps:wsp>
                      <wps:cNvCnPr/>
                      <wps:spPr>
                        <a:xfrm>
                          <a:off x="0" y="0"/>
                          <a:ext cx="6172200" cy="1"/>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4233945"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pt" to="45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" strokecolor="#e11b72" strokeweight="3pt">
                <v:shadow on="t" color="black" opacity="24903f" origin=",.5" offset="0,.55556mm"/>
              </v:line>
            </w:pict>
          </mc:Fallback>
        </mc:AlternateContent>
      </w:r>
    </w:p>
    <w:p w14:paraId="5A86A4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68A5B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BA9422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75BBDB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4384" behindDoc="0" locked="0" layoutInCell="1" allowOverlap="1" wp14:anchorId="5A3901D9" wp14:editId="6D5936B0">
                <wp:simplePos x="0" y="0"/>
                <wp:positionH relativeFrom="margin">
                  <wp:align>center</wp:align>
                </wp:positionH>
                <wp:positionV relativeFrom="paragraph">
                  <wp:posOffset>13335</wp:posOffset>
                </wp:positionV>
                <wp:extent cx="2695575" cy="16002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695575" cy="160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01D9" id="Cuadro de texto 7" o:spid="_x0000_s1027" type="#_x0000_t202" style="position:absolute;margin-left:0;margin-top:1.05pt;width:212.25pt;height:1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" filled="f" stroked="f">
                <v:textbo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v:textbox>
                <w10:wrap type="square" anchorx="margin"/>
              </v:shape>
            </w:pict>
          </mc:Fallback>
        </mc:AlternateContent>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7456" behindDoc="0" locked="0" layoutInCell="1" allowOverlap="1" wp14:anchorId="6464AC83" wp14:editId="053B1867">
                <wp:simplePos x="0" y="0"/>
                <wp:positionH relativeFrom="column">
                  <wp:posOffset>-457200</wp:posOffset>
                </wp:positionH>
                <wp:positionV relativeFrom="paragraph">
                  <wp:posOffset>2367915</wp:posOffset>
                </wp:positionV>
                <wp:extent cx="76200" cy="685800"/>
                <wp:effectExtent l="50800" t="25400" r="50800" b="76200"/>
                <wp:wrapThrough wrapText="bothSides">
                  <wp:wrapPolygon edited="0">
                    <wp:start x="-14400" y="-800"/>
                    <wp:lineTo x="-14400" y="23200"/>
                    <wp:lineTo x="28800" y="23200"/>
                    <wp:lineTo x="28800" y="-800"/>
                    <wp:lineTo x="-14400" y="-800"/>
                  </wp:wrapPolygon>
                </wp:wrapThrough>
                <wp:docPr id="10" name="Rectángulo 10"/>
                <wp:cNvGraphicFramePr/>
                <a:graphic xmlns:a="http://schemas.openxmlformats.org/drawingml/2006/main">
                  <a:graphicData uri="http://schemas.microsoft.com/office/word/2010/wordprocessingShape">
                    <wps:wsp>
                      <wps:cNvSpPr/>
                      <wps:spPr>
                        <a:xfrm>
                          <a:off x="0" y="0"/>
                          <a:ext cx="762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C68AD" id="Rectángulo 10" o:spid="_x0000_s1026" style="position:absolute;margin-left:-36pt;margin-top:186.45pt;width:6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" fillcolor="#e11b72" stroked="f">
                <v:shadow on="t" color="black" opacity="22937f" origin=",.5" offset="0,.63889mm"/>
                <w10:wrap type="through"/>
              </v:rect>
            </w:pict>
          </mc:Fallback>
        </mc:AlternateContent>
      </w:r>
      <w:r w:rsidRPr="009D5823">
        <w:rPr>
          <w:rFonts w:ascii="Cambria" w:eastAsia="MS Mincho" w:hAnsi="Cambria" w:cs="Times New Roman"/>
          <w:noProof/>
          <w:sz w:val="24"/>
          <w:szCs w:val="24"/>
          <w:lang w:eastAsia="es-ES"/>
        </w:rPr>
        <w:drawing>
          <wp:anchor distT="0" distB="0" distL="114300" distR="114300" simplePos="0" relativeHeight="251665408" behindDoc="0" locked="0" layoutInCell="1" allowOverlap="1" wp14:anchorId="4723CFBB" wp14:editId="43E50822">
            <wp:simplePos x="0" y="0"/>
            <wp:positionH relativeFrom="column">
              <wp:posOffset>-457200</wp:posOffset>
            </wp:positionH>
            <wp:positionV relativeFrom="paragraph">
              <wp:posOffset>2367915</wp:posOffset>
            </wp:positionV>
            <wp:extent cx="1093470" cy="685800"/>
            <wp:effectExtent l="0" t="0" r="0" b="0"/>
            <wp:wrapThrough wrapText="bothSides">
              <wp:wrapPolygon edited="0">
                <wp:start x="0" y="0"/>
                <wp:lineTo x="0" y="20800"/>
                <wp:lineTo x="21073" y="20800"/>
                <wp:lineTo x="21073" y="0"/>
                <wp:lineTo x="0" y="0"/>
              </wp:wrapPolygon>
            </wp:wrapThrough>
            <wp:docPr id="8" name="Imagen 8"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6432" behindDoc="0" locked="0" layoutInCell="1" allowOverlap="1" wp14:anchorId="4475D9F7" wp14:editId="56626A82">
                <wp:simplePos x="0" y="0"/>
                <wp:positionH relativeFrom="column">
                  <wp:posOffset>571500</wp:posOffset>
                </wp:positionH>
                <wp:positionV relativeFrom="paragraph">
                  <wp:posOffset>2367915</wp:posOffset>
                </wp:positionV>
                <wp:extent cx="5257800" cy="685800"/>
                <wp:effectExtent l="50800" t="25400" r="50800" b="76200"/>
                <wp:wrapThrough wrapText="bothSides">
                  <wp:wrapPolygon edited="0">
                    <wp:start x="-209" y="-800"/>
                    <wp:lineTo x="-209" y="23200"/>
                    <wp:lineTo x="21704" y="23200"/>
                    <wp:lineTo x="21704" y="-800"/>
                    <wp:lineTo x="-209" y="-800"/>
                  </wp:wrapPolygon>
                </wp:wrapThrough>
                <wp:docPr id="9" name="Rectángulo 9"/>
                <wp:cNvGraphicFramePr/>
                <a:graphic xmlns:a="http://schemas.openxmlformats.org/drawingml/2006/main">
                  <a:graphicData uri="http://schemas.microsoft.com/office/word/2010/wordprocessingShape">
                    <wps:wsp>
                      <wps:cNvSpPr/>
                      <wps:spPr>
                        <a:xfrm>
                          <a:off x="0" y="0"/>
                          <a:ext cx="52578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61DB2" id="Rectángulo 9" o:spid="_x0000_s1026" style="position:absolute;margin-left:45pt;margin-top:186.45pt;width:414pt;height: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" fillcolor="#e11b72" stroked="f">
                <v:shadow on="t" color="black" opacity="22937f" origin=",.5" offset="0,.63889mm"/>
                <w10:wrap type="through"/>
              </v:rect>
            </w:pict>
          </mc:Fallback>
        </mc:AlternateContent>
      </w:r>
    </w:p>
    <w:p w14:paraId="2FFE0D0B" w14:textId="042060AA" w:rsidR="004D4913" w:rsidRPr="004D4913" w:rsidRDefault="004D4913">
      <w:pPr>
        <w:rPr>
          <w:lang w:val="pt-PT"/>
        </w:rPr>
      </w:pPr>
      <w:r>
        <w:br w:type="page"/>
      </w:r>
    </w:p>
    <w:sdt>
      <w:sdtPr>
        <w:rPr>
          <w:rFonts w:asciiTheme="minorHAnsi" w:eastAsiaTheme="minorHAnsi" w:hAnsiTheme="minorHAnsi" w:cstheme="minorBidi"/>
          <w:color w:val="auto"/>
          <w:sz w:val="22"/>
          <w:szCs w:val="22"/>
          <w:lang w:eastAsia="en-US"/>
        </w:rPr>
        <w:id w:val="11038476"/>
        <w:docPartObj>
          <w:docPartGallery w:val="Table of Contents"/>
          <w:docPartUnique/>
        </w:docPartObj>
      </w:sdtPr>
      <w:sdtEndPr>
        <w:rPr>
          <w:b/>
          <w:bCs/>
        </w:rPr>
      </w:sdtEndPr>
      <w:sdtContent>
        <w:p w14:paraId="64756316" w14:textId="0A6A6DAC" w:rsidR="00947350" w:rsidRPr="00547CA7" w:rsidRDefault="00947350" w:rsidP="00947350">
          <w:pPr>
            <w:pStyle w:val="TtuloTDC"/>
            <w:spacing w:after="240" w:line="360" w:lineRule="auto"/>
            <w:rPr>
              <w:color w:val="auto"/>
            </w:rPr>
          </w:pPr>
          <w:r w:rsidRPr="00547CA7">
            <w:rPr>
              <w:color w:val="auto"/>
            </w:rPr>
            <w:t>Índice</w:t>
          </w:r>
        </w:p>
        <w:p w14:paraId="273472B4" w14:textId="3A08AF95" w:rsidR="00405542" w:rsidRDefault="00947350" w:rsidP="008741B2">
          <w:pPr>
            <w:pStyle w:val="TDC1"/>
            <w:numPr>
              <w:ilvl w:val="0"/>
              <w:numId w:val="8"/>
            </w:numPr>
            <w:rPr>
              <w:rFonts w:eastAsiaTheme="minorEastAsia"/>
              <w:noProof/>
              <w:lang w:eastAsia="es-ES"/>
            </w:rPr>
          </w:pPr>
          <w:r>
            <w:fldChar w:fldCharType="begin"/>
          </w:r>
          <w:r>
            <w:instrText xml:space="preserve"> TOC \o "1-3" \h \z \u </w:instrText>
          </w:r>
          <w:r>
            <w:fldChar w:fldCharType="separate"/>
          </w:r>
          <w:hyperlink w:anchor="_Toc58171758" w:history="1">
            <w:r w:rsidR="00405542" w:rsidRPr="008C3F2B">
              <w:rPr>
                <w:rStyle w:val="Hipervnculo"/>
                <w:noProof/>
              </w:rPr>
              <w:t>Introducción</w:t>
            </w:r>
            <w:r w:rsidR="00405542">
              <w:rPr>
                <w:noProof/>
                <w:webHidden/>
              </w:rPr>
              <w:tab/>
            </w:r>
            <w:r w:rsidR="00405542">
              <w:rPr>
                <w:noProof/>
                <w:webHidden/>
              </w:rPr>
              <w:fldChar w:fldCharType="begin"/>
            </w:r>
            <w:r w:rsidR="00405542">
              <w:rPr>
                <w:noProof/>
                <w:webHidden/>
              </w:rPr>
              <w:instrText xml:space="preserve"> PAGEREF _Toc58171758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22211B70" w14:textId="39B1A705" w:rsidR="00405542" w:rsidRDefault="00F72272" w:rsidP="000D57F6">
          <w:pPr>
            <w:pStyle w:val="TDC2"/>
            <w:numPr>
              <w:ilvl w:val="1"/>
              <w:numId w:val="8"/>
            </w:numPr>
            <w:tabs>
              <w:tab w:val="right" w:leader="dot" w:pos="8494"/>
            </w:tabs>
            <w:spacing w:line="360" w:lineRule="auto"/>
            <w:rPr>
              <w:rFonts w:eastAsiaTheme="minorEastAsia"/>
              <w:noProof/>
              <w:lang w:eastAsia="es-ES"/>
            </w:rPr>
          </w:pPr>
          <w:hyperlink w:anchor="_Toc58171759" w:history="1">
            <w:r w:rsidR="00405542" w:rsidRPr="008C3F2B">
              <w:rPr>
                <w:rStyle w:val="Hipervnculo"/>
                <w:noProof/>
              </w:rPr>
              <w:t>Fase inflamatoria</w:t>
            </w:r>
            <w:r w:rsidR="00405542">
              <w:rPr>
                <w:noProof/>
                <w:webHidden/>
              </w:rPr>
              <w:tab/>
            </w:r>
            <w:r w:rsidR="00405542">
              <w:rPr>
                <w:noProof/>
                <w:webHidden/>
              </w:rPr>
              <w:fldChar w:fldCharType="begin"/>
            </w:r>
            <w:r w:rsidR="00405542">
              <w:rPr>
                <w:noProof/>
                <w:webHidden/>
              </w:rPr>
              <w:instrText xml:space="preserve"> PAGEREF _Toc58171759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6B266C6E" w14:textId="7DC25EAC" w:rsidR="00405542" w:rsidRDefault="00F72272" w:rsidP="000D57F6">
          <w:pPr>
            <w:pStyle w:val="TDC2"/>
            <w:numPr>
              <w:ilvl w:val="1"/>
              <w:numId w:val="8"/>
            </w:numPr>
            <w:tabs>
              <w:tab w:val="right" w:leader="dot" w:pos="8494"/>
            </w:tabs>
            <w:spacing w:line="360" w:lineRule="auto"/>
            <w:rPr>
              <w:rFonts w:eastAsiaTheme="minorEastAsia"/>
              <w:noProof/>
              <w:lang w:eastAsia="es-ES"/>
            </w:rPr>
          </w:pPr>
          <w:hyperlink w:anchor="_Toc58171760" w:history="1">
            <w:r w:rsidR="00405542" w:rsidRPr="008C3F2B">
              <w:rPr>
                <w:rStyle w:val="Hipervnculo"/>
                <w:noProof/>
              </w:rPr>
              <w:t>Fase proliferativa</w:t>
            </w:r>
            <w:r w:rsidR="00405542">
              <w:rPr>
                <w:noProof/>
                <w:webHidden/>
              </w:rPr>
              <w:tab/>
            </w:r>
            <w:r w:rsidR="00405542">
              <w:rPr>
                <w:noProof/>
                <w:webHidden/>
              </w:rPr>
              <w:fldChar w:fldCharType="begin"/>
            </w:r>
            <w:r w:rsidR="00405542">
              <w:rPr>
                <w:noProof/>
                <w:webHidden/>
              </w:rPr>
              <w:instrText xml:space="preserve"> PAGEREF _Toc58171760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3C1AA282" w14:textId="15DA0DC3" w:rsidR="00405542" w:rsidRDefault="00F72272" w:rsidP="000D57F6">
          <w:pPr>
            <w:pStyle w:val="TDC2"/>
            <w:numPr>
              <w:ilvl w:val="1"/>
              <w:numId w:val="8"/>
            </w:numPr>
            <w:tabs>
              <w:tab w:val="right" w:leader="dot" w:pos="8494"/>
            </w:tabs>
            <w:spacing w:line="360" w:lineRule="auto"/>
            <w:rPr>
              <w:rFonts w:eastAsiaTheme="minorEastAsia"/>
              <w:noProof/>
              <w:lang w:eastAsia="es-ES"/>
            </w:rPr>
          </w:pPr>
          <w:hyperlink w:anchor="_Toc58171761" w:history="1">
            <w:r w:rsidR="00405542" w:rsidRPr="008C3F2B">
              <w:rPr>
                <w:rStyle w:val="Hipervnculo"/>
                <w:noProof/>
              </w:rPr>
              <w:t>Fase modeladora y remodeladora del hueso</w:t>
            </w:r>
            <w:r w:rsidR="00405542">
              <w:rPr>
                <w:noProof/>
                <w:webHidden/>
              </w:rPr>
              <w:tab/>
            </w:r>
            <w:r w:rsidR="00405542">
              <w:rPr>
                <w:noProof/>
                <w:webHidden/>
              </w:rPr>
              <w:fldChar w:fldCharType="begin"/>
            </w:r>
            <w:r w:rsidR="00405542">
              <w:rPr>
                <w:noProof/>
                <w:webHidden/>
              </w:rPr>
              <w:instrText xml:space="preserve"> PAGEREF _Toc58171761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64D93A74" w14:textId="081212A5" w:rsidR="00405542" w:rsidRDefault="00F72272" w:rsidP="000D57F6">
          <w:pPr>
            <w:pStyle w:val="TDC1"/>
            <w:numPr>
              <w:ilvl w:val="0"/>
              <w:numId w:val="8"/>
            </w:numPr>
            <w:rPr>
              <w:rFonts w:eastAsiaTheme="minorEastAsia"/>
              <w:noProof/>
              <w:lang w:eastAsia="es-ES"/>
            </w:rPr>
          </w:pPr>
          <w:hyperlink w:anchor="_Toc58171762" w:history="1">
            <w:r w:rsidR="00405542" w:rsidRPr="008C3F2B">
              <w:rPr>
                <w:rStyle w:val="Hipervnculo"/>
                <w:noProof/>
              </w:rPr>
              <w:t>Objetivos</w:t>
            </w:r>
            <w:r w:rsidR="00405542">
              <w:rPr>
                <w:noProof/>
                <w:webHidden/>
              </w:rPr>
              <w:tab/>
            </w:r>
            <w:r w:rsidR="00405542">
              <w:rPr>
                <w:noProof/>
                <w:webHidden/>
              </w:rPr>
              <w:fldChar w:fldCharType="begin"/>
            </w:r>
            <w:r w:rsidR="00405542">
              <w:rPr>
                <w:noProof/>
                <w:webHidden/>
              </w:rPr>
              <w:instrText xml:space="preserve"> PAGEREF _Toc58171762 \h </w:instrText>
            </w:r>
            <w:r w:rsidR="00405542">
              <w:rPr>
                <w:noProof/>
                <w:webHidden/>
              </w:rPr>
            </w:r>
            <w:r w:rsidR="00405542">
              <w:rPr>
                <w:noProof/>
                <w:webHidden/>
              </w:rPr>
              <w:fldChar w:fldCharType="separate"/>
            </w:r>
            <w:r w:rsidR="00055135">
              <w:rPr>
                <w:noProof/>
                <w:webHidden/>
              </w:rPr>
              <w:t>13</w:t>
            </w:r>
            <w:r w:rsidR="00405542">
              <w:rPr>
                <w:noProof/>
                <w:webHidden/>
              </w:rPr>
              <w:fldChar w:fldCharType="end"/>
            </w:r>
          </w:hyperlink>
        </w:p>
        <w:p w14:paraId="7CA45D30" w14:textId="23B65A84" w:rsidR="00405542" w:rsidRDefault="00F72272" w:rsidP="000D57F6">
          <w:pPr>
            <w:pStyle w:val="TDC1"/>
            <w:numPr>
              <w:ilvl w:val="0"/>
              <w:numId w:val="8"/>
            </w:numPr>
            <w:rPr>
              <w:rFonts w:eastAsiaTheme="minorEastAsia"/>
              <w:noProof/>
              <w:lang w:eastAsia="es-ES"/>
            </w:rPr>
          </w:pPr>
          <w:hyperlink w:anchor="_Toc58171763" w:history="1">
            <w:r w:rsidR="00405542" w:rsidRPr="008C3F2B">
              <w:rPr>
                <w:rStyle w:val="Hipervnculo"/>
                <w:noProof/>
              </w:rPr>
              <w:t>Hipótesis</w:t>
            </w:r>
            <w:r w:rsidR="00405542">
              <w:rPr>
                <w:noProof/>
                <w:webHidden/>
              </w:rPr>
              <w:tab/>
            </w:r>
            <w:r w:rsidR="00405542">
              <w:rPr>
                <w:noProof/>
                <w:webHidden/>
              </w:rPr>
              <w:fldChar w:fldCharType="begin"/>
            </w:r>
            <w:r w:rsidR="00405542">
              <w:rPr>
                <w:noProof/>
                <w:webHidden/>
              </w:rPr>
              <w:instrText xml:space="preserve"> PAGEREF _Toc58171763 \h </w:instrText>
            </w:r>
            <w:r w:rsidR="00405542">
              <w:rPr>
                <w:noProof/>
                <w:webHidden/>
              </w:rPr>
            </w:r>
            <w:r w:rsidR="00405542">
              <w:rPr>
                <w:noProof/>
                <w:webHidden/>
              </w:rPr>
              <w:fldChar w:fldCharType="separate"/>
            </w:r>
            <w:r w:rsidR="00055135">
              <w:rPr>
                <w:noProof/>
                <w:webHidden/>
              </w:rPr>
              <w:t>14</w:t>
            </w:r>
            <w:r w:rsidR="00405542">
              <w:rPr>
                <w:noProof/>
                <w:webHidden/>
              </w:rPr>
              <w:fldChar w:fldCharType="end"/>
            </w:r>
          </w:hyperlink>
        </w:p>
        <w:p w14:paraId="4897ED9A" w14:textId="1BE12312" w:rsidR="00405542" w:rsidRDefault="00F72272" w:rsidP="000D57F6">
          <w:pPr>
            <w:pStyle w:val="TDC1"/>
            <w:numPr>
              <w:ilvl w:val="0"/>
              <w:numId w:val="8"/>
            </w:numPr>
            <w:rPr>
              <w:rFonts w:eastAsiaTheme="minorEastAsia"/>
              <w:noProof/>
              <w:lang w:eastAsia="es-ES"/>
            </w:rPr>
          </w:pPr>
          <w:hyperlink w:anchor="_Toc58171764" w:history="1">
            <w:r w:rsidR="00405542" w:rsidRPr="008C3F2B">
              <w:rPr>
                <w:rStyle w:val="Hipervnculo"/>
                <w:noProof/>
              </w:rPr>
              <w:t>Materiales y métodos</w:t>
            </w:r>
            <w:r w:rsidR="00405542">
              <w:rPr>
                <w:noProof/>
                <w:webHidden/>
              </w:rPr>
              <w:tab/>
            </w:r>
            <w:r w:rsidR="00405542">
              <w:rPr>
                <w:noProof/>
                <w:webHidden/>
              </w:rPr>
              <w:fldChar w:fldCharType="begin"/>
            </w:r>
            <w:r w:rsidR="00405542">
              <w:rPr>
                <w:noProof/>
                <w:webHidden/>
              </w:rPr>
              <w:instrText xml:space="preserve"> PAGEREF _Toc58171764 \h </w:instrText>
            </w:r>
            <w:r w:rsidR="00405542">
              <w:rPr>
                <w:noProof/>
                <w:webHidden/>
              </w:rPr>
            </w:r>
            <w:r w:rsidR="00405542">
              <w:rPr>
                <w:noProof/>
                <w:webHidden/>
              </w:rPr>
              <w:fldChar w:fldCharType="separate"/>
            </w:r>
            <w:r w:rsidR="00055135">
              <w:rPr>
                <w:noProof/>
                <w:webHidden/>
              </w:rPr>
              <w:t>15</w:t>
            </w:r>
            <w:r w:rsidR="00405542">
              <w:rPr>
                <w:noProof/>
                <w:webHidden/>
              </w:rPr>
              <w:fldChar w:fldCharType="end"/>
            </w:r>
          </w:hyperlink>
        </w:p>
        <w:p w14:paraId="07830DD5" w14:textId="72F73682" w:rsidR="00405542" w:rsidRDefault="00F72272" w:rsidP="000D57F6">
          <w:pPr>
            <w:pStyle w:val="TDC1"/>
            <w:numPr>
              <w:ilvl w:val="0"/>
              <w:numId w:val="8"/>
            </w:numPr>
            <w:rPr>
              <w:rFonts w:eastAsiaTheme="minorEastAsia"/>
              <w:noProof/>
              <w:lang w:eastAsia="es-ES"/>
            </w:rPr>
          </w:pPr>
          <w:hyperlink w:anchor="_Toc58171765" w:history="1">
            <w:r w:rsidR="00405542" w:rsidRPr="008C3F2B">
              <w:rPr>
                <w:rStyle w:val="Hipervnculo"/>
                <w:noProof/>
              </w:rPr>
              <w:t>Referencias bibliográficas</w:t>
            </w:r>
            <w:r w:rsidR="00405542">
              <w:rPr>
                <w:noProof/>
                <w:webHidden/>
              </w:rPr>
              <w:tab/>
            </w:r>
            <w:r w:rsidR="00405542">
              <w:rPr>
                <w:noProof/>
                <w:webHidden/>
              </w:rPr>
              <w:fldChar w:fldCharType="begin"/>
            </w:r>
            <w:r w:rsidR="00405542">
              <w:rPr>
                <w:noProof/>
                <w:webHidden/>
              </w:rPr>
              <w:instrText xml:space="preserve"> PAGEREF _Toc58171765 \h </w:instrText>
            </w:r>
            <w:r w:rsidR="00405542">
              <w:rPr>
                <w:noProof/>
                <w:webHidden/>
              </w:rPr>
            </w:r>
            <w:r w:rsidR="00405542">
              <w:rPr>
                <w:noProof/>
                <w:webHidden/>
              </w:rPr>
              <w:fldChar w:fldCharType="separate"/>
            </w:r>
            <w:r w:rsidR="00055135">
              <w:rPr>
                <w:noProof/>
                <w:webHidden/>
              </w:rPr>
              <w:t>17</w:t>
            </w:r>
            <w:r w:rsidR="00405542">
              <w:rPr>
                <w:noProof/>
                <w:webHidden/>
              </w:rPr>
              <w:fldChar w:fldCharType="end"/>
            </w:r>
          </w:hyperlink>
        </w:p>
        <w:p w14:paraId="49B65289" w14:textId="559FAB43" w:rsidR="00405542" w:rsidRDefault="00F72272" w:rsidP="000D57F6">
          <w:pPr>
            <w:pStyle w:val="TDC1"/>
            <w:numPr>
              <w:ilvl w:val="0"/>
              <w:numId w:val="8"/>
            </w:numPr>
            <w:rPr>
              <w:rFonts w:eastAsiaTheme="minorEastAsia"/>
              <w:noProof/>
              <w:lang w:eastAsia="es-ES"/>
            </w:rPr>
          </w:pPr>
          <w:hyperlink w:anchor="_Toc58171766" w:history="1">
            <w:r w:rsidR="00405542" w:rsidRPr="008C3F2B">
              <w:rPr>
                <w:rStyle w:val="Hipervnculo"/>
                <w:noProof/>
              </w:rPr>
              <w:t>Anexos</w:t>
            </w:r>
            <w:r w:rsidR="00405542">
              <w:rPr>
                <w:noProof/>
                <w:webHidden/>
              </w:rPr>
              <w:tab/>
            </w:r>
            <w:r w:rsidR="00405542">
              <w:rPr>
                <w:noProof/>
                <w:webHidden/>
              </w:rPr>
              <w:fldChar w:fldCharType="begin"/>
            </w:r>
            <w:r w:rsidR="00405542">
              <w:rPr>
                <w:noProof/>
                <w:webHidden/>
              </w:rPr>
              <w:instrText xml:space="preserve"> PAGEREF _Toc58171766 \h </w:instrText>
            </w:r>
            <w:r w:rsidR="00405542">
              <w:rPr>
                <w:noProof/>
                <w:webHidden/>
              </w:rPr>
            </w:r>
            <w:r w:rsidR="00405542">
              <w:rPr>
                <w:noProof/>
                <w:webHidden/>
              </w:rPr>
              <w:fldChar w:fldCharType="separate"/>
            </w:r>
            <w:r w:rsidR="00055135">
              <w:rPr>
                <w:noProof/>
                <w:webHidden/>
              </w:rPr>
              <w:t>20</w:t>
            </w:r>
            <w:r w:rsidR="00405542">
              <w:rPr>
                <w:noProof/>
                <w:webHidden/>
              </w:rPr>
              <w:fldChar w:fldCharType="end"/>
            </w:r>
          </w:hyperlink>
        </w:p>
        <w:p w14:paraId="06673736" w14:textId="72892769" w:rsidR="00947350" w:rsidRDefault="00947350">
          <w:r>
            <w:rPr>
              <w:b/>
              <w:bCs/>
            </w:rPr>
            <w:fldChar w:fldCharType="end"/>
          </w:r>
        </w:p>
      </w:sdtContent>
    </w:sdt>
    <w:p w14:paraId="6177DDD8" w14:textId="77777777" w:rsidR="00B40FA3" w:rsidRDefault="00B40FA3" w:rsidP="00B40FA3">
      <w:pPr>
        <w:sectPr w:rsidR="00B40FA3" w:rsidSect="00D123EA">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bookmarkStart w:id="0" w:name="_Toc58171758"/>
    </w:p>
    <w:p w14:paraId="0BFFE3A1" w14:textId="5245F940" w:rsidR="00844198" w:rsidRPr="009D08D4" w:rsidRDefault="00844198" w:rsidP="009D08D4">
      <w:pPr>
        <w:pStyle w:val="Ttulo1"/>
        <w:spacing w:after="240" w:line="360" w:lineRule="auto"/>
        <w:rPr>
          <w:color w:val="auto"/>
        </w:rPr>
      </w:pPr>
      <w:r w:rsidRPr="009D08D4">
        <w:rPr>
          <w:color w:val="auto"/>
        </w:rPr>
        <w:lastRenderedPageBreak/>
        <w:t>Introducción</w:t>
      </w:r>
      <w:bookmarkEnd w:id="0"/>
    </w:p>
    <w:p w14:paraId="7A8ECE91" w14:textId="77777777" w:rsidR="004049C8" w:rsidRPr="004049C8" w:rsidRDefault="004049C8" w:rsidP="006E277A">
      <w:pPr>
        <w:spacing w:line="360" w:lineRule="auto"/>
        <w:jc w:val="both"/>
        <w:rPr>
          <w:lang w:val="pt-PT"/>
        </w:rPr>
      </w:pPr>
      <w:r w:rsidRPr="004049C8">
        <w:rPr>
          <w:lang w:val="pt-PT"/>
        </w:rPr>
        <w:t xml:space="preserve">A día de hoy en las clínicas dentales se realizan extracciones dentales a diario como práctica común. Hay muchos motivos por los que un diente debe ser extraído; caries no restaurable, enfermedad periodontal, fracturas, colocación de implantes, etc. </w:t>
      </w:r>
    </w:p>
    <w:p w14:paraId="4D6D56E9" w14:textId="53979632" w:rsidR="00FB38F7" w:rsidRPr="00FB5BBD" w:rsidRDefault="004049C8" w:rsidP="004049C8">
      <w:pPr>
        <w:spacing w:line="360" w:lineRule="auto"/>
        <w:jc w:val="both"/>
        <w:rPr>
          <w:sz w:val="24"/>
          <w:szCs w:val="24"/>
        </w:rPr>
      </w:pPr>
      <w:r w:rsidRPr="004049C8">
        <w:rPr>
          <w:sz w:val="24"/>
          <w:szCs w:val="24"/>
          <w:lang w:val="pt-PT"/>
        </w:rPr>
        <w:t>Para poder realizar una buena rehabilitación posterior a la extracción se espera que se promueva la formación de la cresta alveolar con un volumen suficiente tanto de tejido blando como de tejido duro</w:t>
      </w:r>
      <w:r w:rsidR="00FB38F7" w:rsidRPr="00FB5BBD">
        <w:rPr>
          <w:sz w:val="24"/>
          <w:szCs w:val="24"/>
        </w:rPr>
        <w:fldChar w:fldCharType="begin" w:fldLock="1"/>
      </w:r>
      <w:r w:rsidR="008B47F4"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FB38F7" w:rsidRPr="00FB5BBD">
        <w:rPr>
          <w:sz w:val="24"/>
          <w:szCs w:val="24"/>
        </w:rPr>
        <w:fldChar w:fldCharType="separate"/>
      </w:r>
      <w:r w:rsidR="00FB38F7" w:rsidRPr="00FB5BBD">
        <w:rPr>
          <w:noProof/>
          <w:sz w:val="24"/>
          <w:szCs w:val="24"/>
        </w:rPr>
        <w:t>(1)</w:t>
      </w:r>
      <w:r w:rsidR="00FB38F7" w:rsidRPr="00FB5BBD">
        <w:rPr>
          <w:sz w:val="24"/>
          <w:szCs w:val="24"/>
        </w:rPr>
        <w:fldChar w:fldCharType="end"/>
      </w:r>
      <w:r w:rsidR="00FB38F7" w:rsidRPr="00FB5BBD">
        <w:rPr>
          <w:sz w:val="24"/>
          <w:szCs w:val="24"/>
        </w:rPr>
        <w:t>.</w:t>
      </w:r>
    </w:p>
    <w:p w14:paraId="50DD9C00" w14:textId="171CC585" w:rsidR="00036367" w:rsidRPr="00FB5BBD" w:rsidRDefault="004049C8" w:rsidP="00C93B4C">
      <w:pPr>
        <w:spacing w:line="360" w:lineRule="auto"/>
        <w:jc w:val="both"/>
        <w:rPr>
          <w:sz w:val="24"/>
          <w:szCs w:val="24"/>
        </w:rPr>
      </w:pPr>
      <w:r w:rsidRPr="004049C8">
        <w:rPr>
          <w:sz w:val="24"/>
          <w:szCs w:val="24"/>
          <w:lang w:val="es-ES_tradnl"/>
        </w:rPr>
        <w:t xml:space="preserve">Cuando realizamos una extracción dental se producen ciertos cambios a nivel clínico e histológico en el proceso alveolar, si bien normalmente es un procedimiento que no conlleva muchos problemas, en ciertos casos </w:t>
      </w:r>
      <w:proofErr w:type="gramStart"/>
      <w:r w:rsidRPr="004049C8">
        <w:rPr>
          <w:sz w:val="24"/>
          <w:szCs w:val="24"/>
          <w:lang w:val="es-ES_tradnl"/>
        </w:rPr>
        <w:t>pueden</w:t>
      </w:r>
      <w:proofErr w:type="gramEnd"/>
      <w:r w:rsidRPr="004049C8">
        <w:rPr>
          <w:sz w:val="24"/>
          <w:szCs w:val="24"/>
          <w:lang w:val="es-ES_tradnl"/>
        </w:rPr>
        <w:t xml:space="preserve"> haber complicaciones.  Pueden haber desde síntomas localizados como dolor, secreción de exudado, mal olor, o inflamación, hasta osteítis alveolar, inflamación o infección aguda del alveolo</w:t>
      </w:r>
      <w:r>
        <w:rPr>
          <w:sz w:val="24"/>
          <w:szCs w:val="24"/>
          <w:lang w:val="es-ES_tradnl"/>
        </w:rPr>
        <w:t xml:space="preserve"> </w:t>
      </w:r>
      <w:r w:rsidR="00AA3330" w:rsidRPr="00FB5BBD">
        <w:rPr>
          <w:sz w:val="24"/>
          <w:szCs w:val="24"/>
        </w:rPr>
        <w:fldChar w:fldCharType="begin" w:fldLock="1"/>
      </w:r>
      <w:r w:rsidR="00AA3330"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AA3330" w:rsidRPr="00FB5BBD">
        <w:rPr>
          <w:sz w:val="24"/>
          <w:szCs w:val="24"/>
        </w:rPr>
        <w:fldChar w:fldCharType="separate"/>
      </w:r>
      <w:r w:rsidR="00AA3330" w:rsidRPr="00FB5BBD">
        <w:rPr>
          <w:noProof/>
          <w:sz w:val="24"/>
          <w:szCs w:val="24"/>
        </w:rPr>
        <w:t>(1)</w:t>
      </w:r>
      <w:r w:rsidR="00AA3330" w:rsidRPr="00FB5BBD">
        <w:rPr>
          <w:sz w:val="24"/>
          <w:szCs w:val="24"/>
        </w:rPr>
        <w:fldChar w:fldCharType="end"/>
      </w:r>
      <w:r w:rsidR="00B91909"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B91909" w:rsidRPr="00FB5BBD">
        <w:rPr>
          <w:sz w:val="24"/>
          <w:szCs w:val="24"/>
        </w:rPr>
        <w:fldChar w:fldCharType="separate"/>
      </w:r>
      <w:r w:rsidR="00B91909" w:rsidRPr="00FB5BBD">
        <w:rPr>
          <w:noProof/>
          <w:sz w:val="24"/>
          <w:szCs w:val="24"/>
        </w:rPr>
        <w:t>(2)</w:t>
      </w:r>
      <w:r w:rsidR="00B91909"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B91909" w:rsidRPr="00FB5BBD">
        <w:rPr>
          <w:sz w:val="24"/>
          <w:szCs w:val="24"/>
        </w:rPr>
        <w:t xml:space="preserve">. </w:t>
      </w:r>
    </w:p>
    <w:p w14:paraId="27E4B53D" w14:textId="28C2AF8C" w:rsidR="00046E68" w:rsidRPr="00FB5BBD" w:rsidRDefault="004049C8" w:rsidP="00384369">
      <w:pPr>
        <w:spacing w:line="360" w:lineRule="auto"/>
        <w:jc w:val="both"/>
        <w:rPr>
          <w:sz w:val="24"/>
          <w:szCs w:val="24"/>
        </w:rPr>
      </w:pPr>
      <w:r w:rsidRPr="004049C8">
        <w:rPr>
          <w:sz w:val="24"/>
          <w:szCs w:val="24"/>
        </w:rPr>
        <w:t xml:space="preserve">Pero para entender las complicaciones, antes debemos conocer el proceso de cicatrización de un alvéolo post extracción. Este proceso va desde el momento de la exodoncia del diente hasta el cierre clínico de la entrada del alvéolo gracias a un fuerte relleno de tejido blando </w:t>
      </w:r>
      <w:proofErr w:type="spellStart"/>
      <w:r w:rsidRPr="004049C8">
        <w:rPr>
          <w:sz w:val="24"/>
          <w:szCs w:val="24"/>
        </w:rPr>
        <w:t>epitelizado</w:t>
      </w:r>
      <w:proofErr w:type="spellEnd"/>
      <w:r w:rsidRPr="004049C8">
        <w:rPr>
          <w:sz w:val="24"/>
          <w:szCs w:val="24"/>
        </w:rPr>
        <w:t xml:space="preserve"> y/o hueso radiográfico. El cierre del alvéolo se produce generalmente entre las 10 y 20 semanas </w:t>
      </w:r>
      <w:proofErr w:type="spellStart"/>
      <w:r w:rsidRPr="004049C8">
        <w:rPr>
          <w:sz w:val="24"/>
          <w:szCs w:val="24"/>
        </w:rPr>
        <w:t>post-extracción</w:t>
      </w:r>
      <w:proofErr w:type="spellEnd"/>
      <w:r w:rsidRPr="004049C8">
        <w:rPr>
          <w:sz w:val="24"/>
          <w:szCs w:val="24"/>
        </w:rPr>
        <w:t xml:space="preserve">, mientras que el relleno óseo </w:t>
      </w:r>
      <w:r w:rsidR="00034ED5">
        <w:rPr>
          <w:sz w:val="24"/>
          <w:szCs w:val="24"/>
        </w:rPr>
        <w:t xml:space="preserve">puede tardar hasta una media de 14 meses a producirse </w:t>
      </w:r>
      <w:r w:rsidR="00034ED5" w:rsidRPr="00034ED5">
        <w:rPr>
          <w:sz w:val="24"/>
          <w:szCs w:val="24"/>
        </w:rPr>
        <w:t>completamente</w:t>
      </w:r>
      <w:r w:rsidRPr="00034ED5">
        <w:rPr>
          <w:sz w:val="24"/>
          <w:szCs w:val="24"/>
        </w:rPr>
        <w:t xml:space="preserve"> después de la extracción. El índice de curación del alvéolo está condicionado por las diferencias biológicas de cada individuo, el tamaño del alvéolo, si es grande o pequeño, y</w:t>
      </w:r>
      <w:r w:rsidRPr="004049C8">
        <w:rPr>
          <w:sz w:val="24"/>
          <w:szCs w:val="24"/>
        </w:rPr>
        <w:t xml:space="preserve"> la extensión del trauma quirúrgico recibido durante la extracción</w:t>
      </w:r>
      <w:r w:rsidR="00227823" w:rsidRPr="00227823">
        <w:rPr>
          <w:sz w:val="24"/>
          <w:szCs w:val="24"/>
        </w:rPr>
        <w:t xml:space="preserve"> </w:t>
      </w:r>
      <w:r w:rsidR="008B47F4" w:rsidRPr="00FB5BBD">
        <w:rPr>
          <w:sz w:val="24"/>
          <w:szCs w:val="24"/>
        </w:rPr>
        <w:fldChar w:fldCharType="begin" w:fldLock="1"/>
      </w:r>
      <w:r w:rsidR="003D5B3A"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8B47F4" w:rsidRPr="00FB5BBD">
        <w:rPr>
          <w:sz w:val="24"/>
          <w:szCs w:val="24"/>
        </w:rPr>
        <w:fldChar w:fldCharType="separate"/>
      </w:r>
      <w:r w:rsidR="008B47F4" w:rsidRPr="00FB5BBD">
        <w:rPr>
          <w:noProof/>
          <w:sz w:val="24"/>
          <w:szCs w:val="24"/>
        </w:rPr>
        <w:t>(1)</w:t>
      </w:r>
      <w:r w:rsidR="008B47F4"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34ED5">
        <w:rPr>
          <w:sz w:val="24"/>
          <w:szCs w:val="24"/>
        </w:rPr>
        <w:fldChar w:fldCharType="begin" w:fldLock="1"/>
      </w:r>
      <w:r w:rsidR="00A84109">
        <w:rPr>
          <w:sz w:val="24"/>
          <w:szCs w:val="24"/>
        </w:rPr>
        <w:instrText>ADDIN CSL_CITATION {"citationItems":[{"id":"ITEM-1","itemData":{"DOI":"10.1111/clr.13081","ISSN":"16000501","PMID":"29034567","abstract":"Objectives: To assess the timeframe between tooth extraction and radiographically detectable socket cortication in humans. Methods: Two hundred and fifty patients with a CT scan ≤36 months after tooth extraction were included. First, three orthoradial multiplanar reconstruction slices, representing the major part of the extraction socket, were scored regarding the degree of bone healing as (i) healed, that is, complete/continuous cortication of the socket entrance, or (ii) non-healed. Thereafter, based on the results of all three slices, the stage of cortication of the extraction socket, as one unit, was classified as (i) non-corticated, that is, all three slices judged as non-healed, (ii) partially corticated, that is, 1 or 2 slices judged as non-healed, or (iii) completely corticated, that is, all three slices judged as healed. The possible effect of several independent parameters, that is, age, gender, timeframe between tooth extraction and CT scan, tooth type, extent of radiographic bone loss of the extracted tooth, tooth-gap type, smoking status, presence of any systemic disease, and medication intake, on cortication status was statistically evaluated. Results: Three to 6 months after tooth extraction, 27% of the sockets were judged as non-corticated and 53% were judged as partially corticated. After 9–12 months, &gt;80% of the sockets were corticated, while some incompletely corticated sockets were detected up to 15 months after extraction. Each additional month after tooth extraction contributed significantly to a higher likelihood of a more advanced stage of cortication, while radiographic bone loss ≥75% significantly prolonged cortication time; no other independent variable had a significant effect. Conclusions: The results indicate a considerably long timeframe until complete cortication of an extraction socket, that is, 3–6 months after tooth extraction 3 of 4 sockets were still not completely corticated, and only after 9–12 months, complete cortication was observed in about 80% of the sockets.","author":[{"dropping-particle":"","family":"Bertl","given":"Kristina","non-dropping-particle":"","parse-names":false,"suffix":""},{"dropping-particle":"","family":"Kukla","given":"Edmund Benjamin","non-dropping-particle":"","parse-names":false,"suffix":""},{"dropping-particle":"","family":"Albugami","given":"Rajaa","non-dropping-particle":"","parse-names":false,"suffix":""},{"dropping-particle":"","family":"Beck","given":"Florian","non-dropping-particle":"","parse-names":false,"suffix":""},{"dropping-particle":"","family":"Gahleitner","given":"André","non-dropping-particle":"","parse-names":false,"suffix":""},{"dropping-particle":"","family":"Stavropoulos","given":"Andreas","non-dropping-particle":"","parse-names":false,"suffix":""}],"container-title":"Clinical Oral Implants Research","id":"ITEM-1","issue":"1","issued":{"date-parts":[["2018"]]},"page":"130-138","title":"Timeframe of socket cortication after tooth extraction: A retrospective radiographic study","type":"article-journal","volume":"29"},"uris":["http://www.mendeley.com/documents/?uuid=d3b33d57-1d88-4048-86ba-9d9ddc94e30b"]}],"mendeley":{"formattedCitation":"(5)","plainTextFormattedCitation":"(5)","previouslyFormattedCitation":"(5)"},"properties":{"noteIndex":0},"schema":"https://github.com/citation-style-language/schema/raw/master/csl-citation.json"}</w:instrText>
      </w:r>
      <w:r w:rsidR="00034ED5">
        <w:rPr>
          <w:sz w:val="24"/>
          <w:szCs w:val="24"/>
        </w:rPr>
        <w:fldChar w:fldCharType="separate"/>
      </w:r>
      <w:r w:rsidR="00034ED5" w:rsidRPr="00034ED5">
        <w:rPr>
          <w:noProof/>
          <w:sz w:val="24"/>
          <w:szCs w:val="24"/>
        </w:rPr>
        <w:t>(5)</w:t>
      </w:r>
      <w:r w:rsidR="00034ED5">
        <w:rPr>
          <w:sz w:val="24"/>
          <w:szCs w:val="24"/>
        </w:rPr>
        <w:fldChar w:fldCharType="end"/>
      </w:r>
      <w:r w:rsidR="008B47F4" w:rsidRPr="00FB5BBD">
        <w:rPr>
          <w:sz w:val="24"/>
          <w:szCs w:val="24"/>
        </w:rPr>
        <w:t>.</w:t>
      </w:r>
      <w:r w:rsidR="00790039" w:rsidRPr="00FB5BBD">
        <w:rPr>
          <w:sz w:val="24"/>
          <w:szCs w:val="24"/>
        </w:rPr>
        <w:t xml:space="preserve"> </w:t>
      </w:r>
    </w:p>
    <w:p w14:paraId="4EE6FD6D" w14:textId="679DA2F5" w:rsidR="00017309" w:rsidRPr="00FB5BBD" w:rsidRDefault="00017309" w:rsidP="00C93B4C">
      <w:pPr>
        <w:spacing w:line="360" w:lineRule="auto"/>
        <w:jc w:val="both"/>
        <w:rPr>
          <w:sz w:val="24"/>
          <w:szCs w:val="24"/>
        </w:rPr>
      </w:pPr>
      <w:r w:rsidRPr="00FB5BBD">
        <w:rPr>
          <w:sz w:val="24"/>
          <w:szCs w:val="24"/>
        </w:rPr>
        <w:t>El proceso de cicatrización se puede dividir en 3 fases: inflamatoria, proliferativa y modeladora/remodeladora.</w:t>
      </w:r>
    </w:p>
    <w:p w14:paraId="14657109" w14:textId="0E8C51E9" w:rsidR="00017309" w:rsidRPr="00384369" w:rsidRDefault="00017309" w:rsidP="00BC2C84">
      <w:pPr>
        <w:pStyle w:val="Ttulo2"/>
        <w:spacing w:after="240" w:line="360" w:lineRule="auto"/>
        <w:jc w:val="both"/>
        <w:rPr>
          <w:color w:val="auto"/>
        </w:rPr>
      </w:pPr>
      <w:bookmarkStart w:id="1" w:name="_Toc58171759"/>
      <w:r w:rsidRPr="00384369">
        <w:rPr>
          <w:color w:val="auto"/>
        </w:rPr>
        <w:t>Fase inflamatoria</w:t>
      </w:r>
      <w:bookmarkEnd w:id="1"/>
    </w:p>
    <w:p w14:paraId="3837FD6D" w14:textId="79E177C7" w:rsidR="00017309" w:rsidRPr="00FB5BBD" w:rsidRDefault="004049C8" w:rsidP="00F25179">
      <w:pPr>
        <w:spacing w:line="360" w:lineRule="auto"/>
        <w:jc w:val="both"/>
        <w:rPr>
          <w:sz w:val="24"/>
          <w:szCs w:val="24"/>
        </w:rPr>
      </w:pPr>
      <w:r w:rsidRPr="004049C8">
        <w:rPr>
          <w:sz w:val="24"/>
          <w:szCs w:val="24"/>
        </w:rPr>
        <w:t xml:space="preserve">Esta fase se puede dividir en dos grupos: formación del coágulo sanguíneo y migración de las células inflamatorias. Lo primero que ocurre después de una extracción es una hemorragia dentro del alvéolo, donde se formará un coágulo que tapona los vasos cortados y frenará la hemorragia. Este está formado por glóbulos rojos y blancos, y se </w:t>
      </w:r>
      <w:r w:rsidRPr="004049C8">
        <w:rPr>
          <w:sz w:val="24"/>
          <w:szCs w:val="24"/>
        </w:rPr>
        <w:lastRenderedPageBreak/>
        <w:t>acompaña de una formación de fibrina. Durante los 2-3 primeros días, grandes cantidades de células inflamatorias se dirigirán a la herida para limpiarla y permitir la formación de nuevo tejido. El tejido de granulación se forma a partir de células inflamatorias, proliferación de nuevos capilares y fibroblastos inmaduros. El tejido de granulación formado se irá reemplazando por una matriz de tejido conectivo provisional rica en fibras de colágeno y células, y empezará la fase proliferativa</w:t>
      </w:r>
      <w:r>
        <w:rPr>
          <w:sz w:val="24"/>
          <w:szCs w:val="24"/>
        </w:rPr>
        <w:t xml:space="preserve"> </w:t>
      </w:r>
      <w:r w:rsidR="003D5B3A" w:rsidRPr="00FB5BBD">
        <w:rPr>
          <w:sz w:val="24"/>
          <w:szCs w:val="24"/>
        </w:rPr>
        <w:fldChar w:fldCharType="begin" w:fldLock="1"/>
      </w:r>
      <w:r w:rsidR="007F6259"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5B3A" w:rsidRPr="00FB5BBD">
        <w:rPr>
          <w:sz w:val="24"/>
          <w:szCs w:val="24"/>
        </w:rPr>
        <w:fldChar w:fldCharType="separate"/>
      </w:r>
      <w:r w:rsidR="003D5B3A" w:rsidRPr="00FB5BBD">
        <w:rPr>
          <w:noProof/>
          <w:sz w:val="24"/>
          <w:szCs w:val="24"/>
        </w:rPr>
        <w:t>(1)</w:t>
      </w:r>
      <w:r w:rsidR="003D5B3A" w:rsidRPr="00FB5BBD">
        <w:rPr>
          <w:sz w:val="24"/>
          <w:szCs w:val="24"/>
        </w:rPr>
        <w:fldChar w:fldCharType="end"/>
      </w:r>
      <w:r w:rsidR="00D43E1E"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D43E1E" w:rsidRPr="00FB5BBD">
        <w:rPr>
          <w:sz w:val="24"/>
          <w:szCs w:val="24"/>
        </w:rPr>
        <w:fldChar w:fldCharType="separate"/>
      </w:r>
      <w:r w:rsidR="00D43E1E" w:rsidRPr="00FB5BBD">
        <w:rPr>
          <w:noProof/>
          <w:sz w:val="24"/>
          <w:szCs w:val="24"/>
        </w:rPr>
        <w:t>(2)</w:t>
      </w:r>
      <w:r w:rsidR="00D43E1E"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55001"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055001" w:rsidRPr="00FB5BBD">
        <w:rPr>
          <w:sz w:val="24"/>
          <w:szCs w:val="24"/>
        </w:rPr>
        <w:fldChar w:fldCharType="separate"/>
      </w:r>
      <w:r w:rsidR="00034ED5" w:rsidRPr="00034ED5">
        <w:rPr>
          <w:noProof/>
          <w:sz w:val="24"/>
          <w:szCs w:val="24"/>
        </w:rPr>
        <w:t>(6)</w:t>
      </w:r>
      <w:r w:rsidR="00055001"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17192" w:rsidRPr="00FB5BBD">
        <w:rPr>
          <w:sz w:val="24"/>
          <w:szCs w:val="24"/>
        </w:rPr>
        <w:fldChar w:fldCharType="begin" w:fldLock="1"/>
      </w:r>
      <w:r w:rsidR="00A84109">
        <w:rPr>
          <w:sz w:val="24"/>
          <w:szCs w:val="24"/>
        </w:rPr>
        <w:instrText>ADDIN CSL_CITATION {"citationItems":[{"id":"ITEM-1","itemData":{"DOI":"10.14219/jada.archive.1960.0152","ISSN":"00028177","PMID":"13793201","author":[{"dropping-particle":"","family":"AMLER","given":"M. H.","non-dropping-particle":"","parse-names":false,"suffix":""},{"dropping-particle":"","family":"JOHNSON","given":"P. L.","non-dropping-particle":"","parse-names":false,"suffix":""},{"dropping-particle":"","family":"SALMAN","given":"I.","non-dropping-particle":"","parse-names":false,"suffix":""}],"container-title":"Journal of the American Dental Association (1939)","id":"ITEM-1","issue":"1","issued":{"date-parts":[["1960"]]},"page":"32-44","title":"Histological and histochemical investigation of human alveolar socket healing in undisturbed extraction wounds.","type":"article-journal","volume":"61"},"uris":["http://www.mendeley.com/documents/?uuid=0f288769-ce78-4a25-b1ef-82491d205dd3"]}],"mendeley":{"formattedCitation":"(8)","plainTextFormattedCitation":"(8)","previouslyFormattedCitation":"(8)"},"properties":{"noteIndex":0},"schema":"https://github.com/citation-style-language/schema/raw/master/csl-citation.json"}</w:instrText>
      </w:r>
      <w:r w:rsidR="00117192" w:rsidRPr="00FB5BBD">
        <w:rPr>
          <w:sz w:val="24"/>
          <w:szCs w:val="24"/>
        </w:rPr>
        <w:fldChar w:fldCharType="separate"/>
      </w:r>
      <w:r w:rsidR="00034ED5" w:rsidRPr="00034ED5">
        <w:rPr>
          <w:noProof/>
          <w:sz w:val="24"/>
          <w:szCs w:val="24"/>
        </w:rPr>
        <w:t>(8)</w:t>
      </w:r>
      <w:r w:rsidR="00117192" w:rsidRPr="00FB5BBD">
        <w:rPr>
          <w:sz w:val="24"/>
          <w:szCs w:val="24"/>
        </w:rPr>
        <w:fldChar w:fldCharType="end"/>
      </w:r>
      <w:r w:rsidR="00184309" w:rsidRPr="00FB5BBD">
        <w:rPr>
          <w:sz w:val="24"/>
          <w:szCs w:val="24"/>
        </w:rPr>
        <w:t>.</w:t>
      </w:r>
    </w:p>
    <w:p w14:paraId="55D02DBE" w14:textId="574EEDD8" w:rsidR="00184309" w:rsidRPr="001876F9" w:rsidRDefault="00184309" w:rsidP="00BC2C84">
      <w:pPr>
        <w:pStyle w:val="Ttulo2"/>
        <w:spacing w:after="240" w:line="360" w:lineRule="auto"/>
        <w:jc w:val="both"/>
        <w:rPr>
          <w:color w:val="auto"/>
        </w:rPr>
      </w:pPr>
      <w:bookmarkStart w:id="2" w:name="_Toc58171760"/>
      <w:r w:rsidRPr="001876F9">
        <w:rPr>
          <w:color w:val="auto"/>
        </w:rPr>
        <w:t>Fase proliferativa</w:t>
      </w:r>
      <w:bookmarkEnd w:id="2"/>
    </w:p>
    <w:p w14:paraId="74BC8DEB" w14:textId="77777777" w:rsidR="004049C8" w:rsidRPr="004049C8" w:rsidRDefault="004049C8" w:rsidP="004049C8">
      <w:pPr>
        <w:spacing w:line="360" w:lineRule="auto"/>
        <w:jc w:val="both"/>
        <w:rPr>
          <w:sz w:val="24"/>
          <w:szCs w:val="24"/>
        </w:rPr>
      </w:pPr>
      <w:r w:rsidRPr="004049C8">
        <w:rPr>
          <w:sz w:val="24"/>
          <w:szCs w:val="24"/>
        </w:rPr>
        <w:t xml:space="preserve">Esta etapa se puede dividir en dos también: fibroplasia y formación de hueso trabecular. En esta fase destaca la rápida e intensa formación de tejido. </w:t>
      </w:r>
    </w:p>
    <w:p w14:paraId="2249C84D" w14:textId="3D6505F2" w:rsidR="00184309" w:rsidRPr="00FB5BBD" w:rsidRDefault="004049C8" w:rsidP="004049C8">
      <w:pPr>
        <w:spacing w:line="360" w:lineRule="auto"/>
        <w:jc w:val="both"/>
        <w:rPr>
          <w:sz w:val="24"/>
          <w:szCs w:val="24"/>
        </w:rPr>
      </w:pPr>
      <w:r w:rsidRPr="004049C8">
        <w:rPr>
          <w:sz w:val="24"/>
          <w:szCs w:val="24"/>
        </w:rPr>
        <w:t>Durante la fibroplasia se produce una matriz provisional, que es penetrada por vasos y células formadoras de hueso que harán hueso trabecular. Cuando se rodea completamente el vaso se forma la osteona primaria. Podemos observar hueso trabecular a partir de la segunda semana después de la extracción, y este permanecerá ahí durante varias semanas. Este tipo de hueso es un hueso provisional ya que no tiene capacidad de soportar cargas, es por eso que debe ser reemplazado por tipos de huesos más resistentes como el hueso lamelar o hueso medular</w:t>
      </w:r>
      <w:r w:rsidR="001876F9" w:rsidRPr="001876F9">
        <w:rPr>
          <w:sz w:val="24"/>
          <w:szCs w:val="24"/>
        </w:rPr>
        <w:t xml:space="preserve"> </w:t>
      </w:r>
      <w:r w:rsidR="007F6259"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7F6259" w:rsidRPr="00FB5BBD">
        <w:rPr>
          <w:sz w:val="24"/>
          <w:szCs w:val="24"/>
        </w:rPr>
        <w:fldChar w:fldCharType="separate"/>
      </w:r>
      <w:r w:rsidR="007F6259" w:rsidRPr="00FB5BBD">
        <w:rPr>
          <w:noProof/>
          <w:sz w:val="24"/>
          <w:szCs w:val="24"/>
        </w:rPr>
        <w:t>(1)</w:t>
      </w:r>
      <w:r w:rsidR="007F6259"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F25179" w:rsidRPr="00FB5BBD">
        <w:rPr>
          <w:sz w:val="24"/>
          <w:szCs w:val="24"/>
        </w:rPr>
        <w:fldChar w:fldCharType="begin" w:fldLock="1"/>
      </w:r>
      <w:r w:rsidR="00A84109">
        <w:rPr>
          <w:sz w:val="24"/>
          <w:szCs w:val="24"/>
        </w:rPr>
        <w:instrText>ADDIN CSL_CITATION {"citationItems":[{"id":"ITEM-1","itemData":{"author":[{"dropping-particle":"","family":"Lamano Carvalho","given":"Teresa Lucia","non-dropping-particle":"","parse-names":false,"suffix":""},{"dropping-particle":"","family":"Bombonato","given":"Karina Fittipaldi","non-dropping-particle":"","parse-names":false,"suffix":""},{"dropping-particle":"","family":"Brentegani","given":"Luiz Guilherme","non-dropping-particle":"","parse-names":false,"suffix":""}],"container-title":"Braz Dent J","id":"ITEM-1","issue":"1","issued":{"date-parts":[["1997"]]},"page":"9-12","title":"Histometric analysis of rat alveolar wound healing","type":"article-journal","volume":"8"},"uris":["http://www.mendeley.com/documents/?uuid=32431278-efd8-3578-88a2-12fa6cb4b271"]}],"mendeley":{"formattedCitation":"(9)","plainTextFormattedCitation":"(9)","previouslyFormattedCitation":"(9)"},"properties":{"noteIndex":0},"schema":"https://github.com/citation-style-language/schema/raw/master/csl-citation.json"}</w:instrText>
      </w:r>
      <w:r w:rsidR="00F25179" w:rsidRPr="00FB5BBD">
        <w:rPr>
          <w:sz w:val="24"/>
          <w:szCs w:val="24"/>
        </w:rPr>
        <w:fldChar w:fldCharType="separate"/>
      </w:r>
      <w:r w:rsidR="00034ED5" w:rsidRPr="00034ED5">
        <w:rPr>
          <w:noProof/>
          <w:sz w:val="24"/>
          <w:szCs w:val="24"/>
        </w:rPr>
        <w:t>(9)</w:t>
      </w:r>
      <w:r w:rsidR="00F25179" w:rsidRPr="00FB5BBD">
        <w:rPr>
          <w:sz w:val="24"/>
          <w:szCs w:val="24"/>
        </w:rPr>
        <w:fldChar w:fldCharType="end"/>
      </w:r>
      <w:r w:rsidR="007F6259" w:rsidRPr="00FB5BBD">
        <w:rPr>
          <w:sz w:val="24"/>
          <w:szCs w:val="24"/>
        </w:rPr>
        <w:t>.</w:t>
      </w:r>
    </w:p>
    <w:p w14:paraId="4EEC4D72" w14:textId="71FF27B9" w:rsidR="007F6259" w:rsidRPr="001876F9" w:rsidRDefault="007F6259" w:rsidP="00BC2C84">
      <w:pPr>
        <w:pStyle w:val="Ttulo2"/>
        <w:spacing w:after="240" w:line="360" w:lineRule="auto"/>
        <w:jc w:val="both"/>
        <w:rPr>
          <w:color w:val="auto"/>
        </w:rPr>
      </w:pPr>
      <w:bookmarkStart w:id="3" w:name="_Toc58171761"/>
      <w:r w:rsidRPr="001876F9">
        <w:rPr>
          <w:color w:val="auto"/>
        </w:rPr>
        <w:t>Fase modeladora y remodeladora del hueso</w:t>
      </w:r>
      <w:bookmarkEnd w:id="3"/>
    </w:p>
    <w:p w14:paraId="6D1A03B1" w14:textId="11F21DF4" w:rsidR="007F6259" w:rsidRPr="00FB5BBD" w:rsidRDefault="004049C8" w:rsidP="00F25179">
      <w:pPr>
        <w:spacing w:line="360" w:lineRule="auto"/>
        <w:jc w:val="both"/>
        <w:rPr>
          <w:sz w:val="24"/>
          <w:szCs w:val="24"/>
        </w:rPr>
      </w:pPr>
      <w:r w:rsidRPr="004049C8">
        <w:rPr>
          <w:sz w:val="24"/>
          <w:szCs w:val="24"/>
        </w:rPr>
        <w:t>Por último, nos encontramos ante la fase modeladora, que es el proceso de cambiar la forma y la arquitectura del hueso, y la remodeladora donde también se producen cambios, pero sin afectar la forma y arquitectura del hueso. El remodelado es la sustitución de hueso trabecular por hueso lamelar o hueso medular, mientras que la modeladora modifica las paredes dimensionalmente afectando la cresta alveolar. Esta fase puede llevar varios meses, o incluso años, siempre dependiendo del individuo</w:t>
      </w:r>
      <w:r>
        <w:rPr>
          <w:sz w:val="24"/>
          <w:szCs w:val="24"/>
        </w:rPr>
        <w:t xml:space="preserve"> </w:t>
      </w:r>
      <w:r w:rsidR="00E445C2"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E445C2" w:rsidRPr="00FB5BBD">
        <w:rPr>
          <w:sz w:val="24"/>
          <w:szCs w:val="24"/>
        </w:rPr>
        <w:fldChar w:fldCharType="separate"/>
      </w:r>
      <w:r w:rsidR="00E445C2" w:rsidRPr="00FB5BBD">
        <w:rPr>
          <w:noProof/>
          <w:sz w:val="24"/>
          <w:szCs w:val="24"/>
        </w:rPr>
        <w:t>(1)</w:t>
      </w:r>
      <w:r w:rsidR="00E445C2"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117192"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E445C2"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E445C2" w:rsidRPr="00FB5BBD">
        <w:rPr>
          <w:sz w:val="24"/>
          <w:szCs w:val="24"/>
        </w:rPr>
        <w:fldChar w:fldCharType="separate"/>
      </w:r>
      <w:r w:rsidR="00034ED5" w:rsidRPr="00034ED5">
        <w:rPr>
          <w:noProof/>
          <w:sz w:val="24"/>
          <w:szCs w:val="24"/>
        </w:rPr>
        <w:t>(6)</w:t>
      </w:r>
      <w:r w:rsidR="00E445C2"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D747F" w:rsidRPr="00FB5BBD">
        <w:rPr>
          <w:sz w:val="24"/>
          <w:szCs w:val="24"/>
        </w:rPr>
        <w:t xml:space="preserve">. </w:t>
      </w:r>
    </w:p>
    <w:p w14:paraId="6E583FD4" w14:textId="0C937894" w:rsidR="003D75F5" w:rsidRPr="00FB5BBD" w:rsidRDefault="00517224" w:rsidP="00BC2C84">
      <w:pPr>
        <w:spacing w:line="360" w:lineRule="auto"/>
        <w:jc w:val="both"/>
        <w:rPr>
          <w:sz w:val="24"/>
          <w:szCs w:val="24"/>
        </w:rPr>
      </w:pPr>
      <w:r w:rsidRPr="00517224">
        <w:rPr>
          <w:sz w:val="24"/>
          <w:szCs w:val="24"/>
        </w:rPr>
        <w:t xml:space="preserve">Aunque las exodoncias se consideran un procedimiento traumático, debido a la alteración de tejidos blandos, la destrucción de los vasos sanguíneos del ligamento periodontal, cortando sus fibras principales; podemos modificar la técnica quirúrgica minimizando al máximo el trauma. Con la ayuda de los fórceps para luxar el diente en dirección mesial y distal, y no en sentido vestibular o lingual/palatino, o realizando </w:t>
      </w:r>
      <w:r w:rsidRPr="00517224">
        <w:rPr>
          <w:sz w:val="24"/>
          <w:szCs w:val="24"/>
        </w:rPr>
        <w:lastRenderedPageBreak/>
        <w:t xml:space="preserve">movimientos rotacionales. Asimismo, podemos utilizar </w:t>
      </w:r>
      <w:proofErr w:type="spellStart"/>
      <w:r w:rsidRPr="00517224">
        <w:rPr>
          <w:sz w:val="24"/>
          <w:szCs w:val="24"/>
        </w:rPr>
        <w:t>periostotomos</w:t>
      </w:r>
      <w:proofErr w:type="spellEnd"/>
      <w:r w:rsidRPr="00517224">
        <w:rPr>
          <w:sz w:val="24"/>
          <w:szCs w:val="24"/>
        </w:rPr>
        <w:t>, puesto que tienen la finalidad de cortar las fibras mesiales y distales del alveolo facilitando así la eficacia de la técnica quirúrgica. Por otro lado, existen los sistemas verticales de extracciones dentales, creados para extraer raíces en la dirección vertical con el objetivo de minimizar el daño empleado a las paredes del alveolo. Gracias a estas dos técnicas no se realiza presión en la pared vestibular, no obstante, solo sirve en raíces de forma cónica o recta</w:t>
      </w:r>
      <w:r>
        <w:rPr>
          <w:sz w:val="24"/>
          <w:szCs w:val="24"/>
        </w:rPr>
        <w:t xml:space="preserve"> </w:t>
      </w:r>
      <w:r w:rsidR="003D75F5" w:rsidRPr="00FB5BBD">
        <w:rPr>
          <w:sz w:val="24"/>
          <w:szCs w:val="24"/>
        </w:rPr>
        <w:fldChar w:fldCharType="begin" w:fldLock="1"/>
      </w:r>
      <w:r w:rsidR="004020BF"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75F5" w:rsidRPr="00FB5BBD">
        <w:rPr>
          <w:sz w:val="24"/>
          <w:szCs w:val="24"/>
        </w:rPr>
        <w:fldChar w:fldCharType="separate"/>
      </w:r>
      <w:r w:rsidR="003D75F5" w:rsidRPr="00FB5BBD">
        <w:rPr>
          <w:noProof/>
          <w:sz w:val="24"/>
          <w:szCs w:val="24"/>
        </w:rPr>
        <w:t>(1)</w:t>
      </w:r>
      <w:r w:rsidR="003D75F5" w:rsidRPr="00FB5BBD">
        <w:rPr>
          <w:sz w:val="24"/>
          <w:szCs w:val="24"/>
        </w:rPr>
        <w:fldChar w:fldCharType="end"/>
      </w:r>
      <w:r w:rsidR="003D75F5" w:rsidRPr="00FB5BBD">
        <w:rPr>
          <w:sz w:val="24"/>
          <w:szCs w:val="24"/>
        </w:rPr>
        <w:t>.</w:t>
      </w:r>
    </w:p>
    <w:p w14:paraId="4DBCCAC7" w14:textId="08264F60" w:rsidR="004020BF" w:rsidRPr="00FB5BBD" w:rsidRDefault="00517224" w:rsidP="00BC2C84">
      <w:pPr>
        <w:spacing w:line="360" w:lineRule="auto"/>
        <w:jc w:val="both"/>
        <w:rPr>
          <w:sz w:val="24"/>
          <w:szCs w:val="24"/>
        </w:rPr>
      </w:pPr>
      <w:r w:rsidRPr="00517224">
        <w:rPr>
          <w:sz w:val="24"/>
          <w:szCs w:val="24"/>
        </w:rPr>
        <w:t>Una correcta curación del alvéolo se da cuando el tejido de granulación es normal y puede o no presentar dolor. Entonces, las tres formas de complicación las podemos diferenciar ya que en la osteítis se presenta un dolor persistente o ascendente que no se alivia con analgésicos suaves, este dolor se acompaña de un coágulo de sangre parcial o totalmente desintegrado o de un alveolo vacío. En esta patología podemos confirmar su diagnóstico cuando se observa hueso expuesto y de alta sensibilidad.  Podemos distinguir entre la inflamación y la infección aguda porque la primera se observaría tejido inflamado sin exudado, y en la segunda se observa supuración, eritema y edema con o sin fiebre sistémica</w:t>
      </w:r>
      <w:r w:rsidR="001876F9" w:rsidRPr="001876F9">
        <w:rPr>
          <w:sz w:val="24"/>
          <w:szCs w:val="24"/>
        </w:rPr>
        <w:t xml:space="preserve"> </w:t>
      </w:r>
      <w:r w:rsidR="004020BF"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4020BF" w:rsidRPr="00FB5BBD">
        <w:rPr>
          <w:sz w:val="24"/>
          <w:szCs w:val="24"/>
        </w:rPr>
        <w:fldChar w:fldCharType="separate"/>
      </w:r>
      <w:r w:rsidR="004020BF" w:rsidRPr="00FB5BBD">
        <w:rPr>
          <w:noProof/>
          <w:sz w:val="24"/>
          <w:szCs w:val="24"/>
        </w:rPr>
        <w:t>(2)</w:t>
      </w:r>
      <w:r w:rsidR="004020BF" w:rsidRPr="00FB5BBD">
        <w:rPr>
          <w:sz w:val="24"/>
          <w:szCs w:val="24"/>
        </w:rPr>
        <w:fldChar w:fldCharType="end"/>
      </w:r>
      <w:r w:rsidR="004020BF" w:rsidRPr="00FB5BBD">
        <w:rPr>
          <w:sz w:val="24"/>
          <w:szCs w:val="24"/>
        </w:rPr>
        <w:t>.</w:t>
      </w:r>
    </w:p>
    <w:p w14:paraId="591180C6" w14:textId="7AFE2310" w:rsidR="00F25179" w:rsidRPr="00FB5BBD" w:rsidRDefault="00517224" w:rsidP="00BC2C84">
      <w:pPr>
        <w:spacing w:line="360" w:lineRule="auto"/>
        <w:jc w:val="both"/>
        <w:rPr>
          <w:sz w:val="24"/>
          <w:szCs w:val="24"/>
        </w:rPr>
      </w:pPr>
      <w:r w:rsidRPr="00517224">
        <w:rPr>
          <w:sz w:val="24"/>
          <w:szCs w:val="24"/>
        </w:rPr>
        <w:t xml:space="preserve">Según el estudio de </w:t>
      </w:r>
      <w:r w:rsidRPr="00517224">
        <w:rPr>
          <w:i/>
          <w:iCs/>
          <w:sz w:val="24"/>
          <w:szCs w:val="24"/>
        </w:rPr>
        <w:t xml:space="preserve">W.L. </w:t>
      </w:r>
      <w:proofErr w:type="spellStart"/>
      <w:r w:rsidRPr="00517224">
        <w:rPr>
          <w:i/>
          <w:iCs/>
          <w:sz w:val="24"/>
          <w:szCs w:val="24"/>
        </w:rPr>
        <w:t>Adeyemo</w:t>
      </w:r>
      <w:proofErr w:type="spellEnd"/>
      <w:r w:rsidRPr="00517224">
        <w:rPr>
          <w:i/>
          <w:iCs/>
          <w:sz w:val="24"/>
          <w:szCs w:val="24"/>
        </w:rPr>
        <w:t xml:space="preserve"> et al.</w:t>
      </w:r>
      <w:r w:rsidRPr="00517224">
        <w:rPr>
          <w:sz w:val="24"/>
          <w:szCs w:val="24"/>
        </w:rPr>
        <w:t xml:space="preserve"> en 2006 </w:t>
      </w:r>
      <w:r>
        <w:rPr>
          <w:sz w:val="24"/>
          <w:szCs w:val="24"/>
        </w:rPr>
        <w:fldChar w:fldCharType="begin" w:fldLock="1"/>
      </w:r>
      <w:r w:rsidR="00034ED5">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Pr>
          <w:sz w:val="24"/>
          <w:szCs w:val="24"/>
        </w:rPr>
        <w:fldChar w:fldCharType="separate"/>
      </w:r>
      <w:r w:rsidRPr="00517224">
        <w:rPr>
          <w:noProof/>
          <w:sz w:val="24"/>
          <w:szCs w:val="24"/>
        </w:rPr>
        <w:t>(2)</w:t>
      </w:r>
      <w:r>
        <w:rPr>
          <w:sz w:val="24"/>
          <w:szCs w:val="24"/>
        </w:rPr>
        <w:fldChar w:fldCharType="end"/>
      </w:r>
      <w:r w:rsidRPr="00517224">
        <w:rPr>
          <w:sz w:val="24"/>
          <w:szCs w:val="24"/>
        </w:rPr>
        <w:t xml:space="preserve"> donde se estudió a 311 pacientes para evaluar el patrón de complicaciones de cicatrización post extracciones no quirúrgicas, el 89% de pacientes no tuvieron ninguna complicación, mientras que el 11% si tuvo complicaciones. Entre estas complicaciones encontramos: 8.2% con alveolitis seca, 1.6% alveolo infectado, y 1.2% alveolo inflamado. Siendo la osteítis alveolar la más común de las complicaciones afectando al 74.3% del total de alvéolos estudiados. No solo se observó que las mujeres sufrían más complicaciones en comparación con los hombres, sino que el grupo de dientes más afectado fueron los molares, y afectando casi por igual en el maxilar que en mandibular</w:t>
      </w:r>
      <w:r>
        <w:rPr>
          <w:sz w:val="24"/>
          <w:szCs w:val="24"/>
        </w:rPr>
        <w:t xml:space="preserve"> </w:t>
      </w:r>
      <w:r w:rsidR="00764CC5" w:rsidRPr="00FB5BBD">
        <w:rPr>
          <w:sz w:val="24"/>
          <w:szCs w:val="24"/>
        </w:rPr>
        <w:fldChar w:fldCharType="begin" w:fldLock="1"/>
      </w:r>
      <w:r w:rsidR="00D43E1E"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764CC5" w:rsidRPr="00FB5BBD">
        <w:rPr>
          <w:sz w:val="24"/>
          <w:szCs w:val="24"/>
        </w:rPr>
        <w:fldChar w:fldCharType="separate"/>
      </w:r>
      <w:r w:rsidR="00764CC5" w:rsidRPr="00FB5BBD">
        <w:rPr>
          <w:noProof/>
          <w:sz w:val="24"/>
          <w:szCs w:val="24"/>
        </w:rPr>
        <w:t>(2)</w:t>
      </w:r>
      <w:r w:rsidR="00764CC5" w:rsidRPr="00FB5BBD">
        <w:rPr>
          <w:sz w:val="24"/>
          <w:szCs w:val="24"/>
        </w:rPr>
        <w:fldChar w:fldCharType="end"/>
      </w:r>
      <w:r w:rsidR="00764CC5" w:rsidRPr="00FB5BBD">
        <w:rPr>
          <w:sz w:val="24"/>
          <w:szCs w:val="24"/>
        </w:rPr>
        <w:t xml:space="preserve">.  </w:t>
      </w:r>
    </w:p>
    <w:p w14:paraId="22AD510E" w14:textId="56BC599A" w:rsidR="00081241" w:rsidRPr="00FB5BBD" w:rsidRDefault="00CE2A57" w:rsidP="00E957C7">
      <w:pPr>
        <w:spacing w:line="360" w:lineRule="auto"/>
        <w:jc w:val="both"/>
        <w:rPr>
          <w:sz w:val="24"/>
          <w:szCs w:val="24"/>
        </w:rPr>
      </w:pPr>
      <w:r w:rsidRPr="00FB5BBD">
        <w:rPr>
          <w:sz w:val="24"/>
          <w:szCs w:val="24"/>
        </w:rPr>
        <w:t xml:space="preserve">Según </w:t>
      </w:r>
      <w:r w:rsidR="00296ACD" w:rsidRPr="00FB5BBD">
        <w:rPr>
          <w:sz w:val="24"/>
          <w:szCs w:val="24"/>
        </w:rPr>
        <w:t>el</w:t>
      </w:r>
      <w:r w:rsidRPr="00FB5BBD">
        <w:rPr>
          <w:sz w:val="24"/>
          <w:szCs w:val="24"/>
        </w:rPr>
        <w:t xml:space="preserve"> estudio</w:t>
      </w:r>
      <w:r w:rsidR="00296ACD" w:rsidRPr="00FB5BBD">
        <w:rPr>
          <w:sz w:val="24"/>
          <w:szCs w:val="24"/>
        </w:rPr>
        <w:t xml:space="preserve"> que realizó</w:t>
      </w:r>
      <w:r w:rsidRPr="00FB5BBD">
        <w:rPr>
          <w:sz w:val="24"/>
          <w:szCs w:val="24"/>
        </w:rPr>
        <w:t xml:space="preserve"> </w:t>
      </w:r>
      <w:r w:rsidRPr="00517224">
        <w:rPr>
          <w:i/>
          <w:iCs/>
          <w:sz w:val="24"/>
          <w:szCs w:val="24"/>
        </w:rPr>
        <w:t xml:space="preserve">M.H. </w:t>
      </w:r>
      <w:proofErr w:type="spellStart"/>
      <w:r w:rsidRPr="00517224">
        <w:rPr>
          <w:i/>
          <w:iCs/>
          <w:sz w:val="24"/>
          <w:szCs w:val="24"/>
        </w:rPr>
        <w:t>Amler</w:t>
      </w:r>
      <w:proofErr w:type="spellEnd"/>
      <w:r w:rsidRPr="00FB5BBD">
        <w:rPr>
          <w:sz w:val="24"/>
          <w:szCs w:val="24"/>
        </w:rPr>
        <w:t xml:space="preserve"> </w:t>
      </w:r>
      <w:r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Pr="00FB5BBD">
        <w:rPr>
          <w:sz w:val="24"/>
          <w:szCs w:val="24"/>
        </w:rPr>
        <w:fldChar w:fldCharType="separate"/>
      </w:r>
      <w:r w:rsidR="00617F40" w:rsidRPr="00FB5BBD">
        <w:rPr>
          <w:noProof/>
          <w:sz w:val="24"/>
          <w:szCs w:val="24"/>
        </w:rPr>
        <w:t>(3)</w:t>
      </w:r>
      <w:r w:rsidRPr="00FB5BBD">
        <w:rPr>
          <w:sz w:val="24"/>
          <w:szCs w:val="24"/>
        </w:rPr>
        <w:fldChar w:fldCharType="end"/>
      </w:r>
      <w:r w:rsidRPr="00FB5BBD">
        <w:rPr>
          <w:sz w:val="24"/>
          <w:szCs w:val="24"/>
        </w:rPr>
        <w:t xml:space="preserve">, </w:t>
      </w:r>
      <w:r w:rsidR="00517224" w:rsidRPr="00517224">
        <w:rPr>
          <w:sz w:val="24"/>
          <w:szCs w:val="24"/>
        </w:rPr>
        <w:t xml:space="preserve">las alteraciones del proceso de cicatrización dependen de la etapa en que se encuentre dicho proceso. Es decir, si se produce una alteración durante el mismo día de la extracción se producirá una hemorragia en vez de un coágulo. En los 2-3 primeros días se puede originar la alveolitis seca si se produce una alteración durante el proceso de curación entre el coágulo sanguíneo y la formación de tejido de granulación. En el cuarto día se puede ocasionar una osteítis supurativa o </w:t>
      </w:r>
      <w:r w:rsidR="00517224" w:rsidRPr="00517224">
        <w:rPr>
          <w:sz w:val="24"/>
          <w:szCs w:val="24"/>
        </w:rPr>
        <w:lastRenderedPageBreak/>
        <w:t>necrotizante si no se forma correctamente la transición entre tejido de granulación y tejido conectivo, resultando también en infección. Y, por último, en el séptimo día se puede producir una reparación fibrosa en lugar de una adecuada formación de hueso. Que se produzca una inflamación aguda del alveolo sugiere una alteración en la tercera fase de curación con tejido inflamado colapsando el alvéolo</w:t>
      </w:r>
      <w:r w:rsidR="001876F9" w:rsidRPr="001876F9">
        <w:rPr>
          <w:sz w:val="24"/>
          <w:szCs w:val="24"/>
        </w:rPr>
        <w:t xml:space="preserve"> </w:t>
      </w:r>
      <w:r w:rsidR="00081241" w:rsidRPr="00FB5BBD">
        <w:rPr>
          <w:sz w:val="24"/>
          <w:szCs w:val="24"/>
        </w:rPr>
        <w:fldChar w:fldCharType="begin" w:fldLock="1"/>
      </w:r>
      <w:r w:rsidR="005F5E40"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081241" w:rsidRPr="00FB5BBD">
        <w:rPr>
          <w:sz w:val="24"/>
          <w:szCs w:val="24"/>
        </w:rPr>
        <w:fldChar w:fldCharType="separate"/>
      </w:r>
      <w:r w:rsidR="00081241" w:rsidRPr="00FB5BBD">
        <w:rPr>
          <w:noProof/>
          <w:sz w:val="24"/>
          <w:szCs w:val="24"/>
        </w:rPr>
        <w:t>(2)</w:t>
      </w:r>
      <w:r w:rsidR="00081241" w:rsidRPr="00FB5BBD">
        <w:rPr>
          <w:sz w:val="24"/>
          <w:szCs w:val="24"/>
        </w:rPr>
        <w:fldChar w:fldCharType="end"/>
      </w:r>
      <w:r w:rsidR="001876F9" w:rsidRPr="00FB5BBD">
        <w:rPr>
          <w:sz w:val="24"/>
          <w:szCs w:val="24"/>
        </w:rPr>
        <w:fldChar w:fldCharType="begin" w:fldLock="1"/>
      </w:r>
      <w:r w:rsidR="001876F9"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1876F9" w:rsidRPr="00FB5BBD">
        <w:rPr>
          <w:sz w:val="24"/>
          <w:szCs w:val="24"/>
        </w:rPr>
        <w:fldChar w:fldCharType="separate"/>
      </w:r>
      <w:r w:rsidR="001876F9" w:rsidRPr="00FB5BBD">
        <w:rPr>
          <w:noProof/>
          <w:sz w:val="24"/>
          <w:szCs w:val="24"/>
        </w:rPr>
        <w:t>(3)</w:t>
      </w:r>
      <w:r w:rsidR="001876F9" w:rsidRPr="00FB5BBD">
        <w:rPr>
          <w:sz w:val="24"/>
          <w:szCs w:val="24"/>
        </w:rPr>
        <w:fldChar w:fldCharType="end"/>
      </w:r>
      <w:r w:rsidR="00081241" w:rsidRPr="00FB5BBD">
        <w:rPr>
          <w:sz w:val="24"/>
          <w:szCs w:val="24"/>
        </w:rPr>
        <w:t>.</w:t>
      </w:r>
    </w:p>
    <w:p w14:paraId="5118EEBF" w14:textId="06720476" w:rsidR="00D30649" w:rsidRPr="00FB5BBD" w:rsidRDefault="00517224" w:rsidP="00BC10E0">
      <w:pPr>
        <w:spacing w:line="360" w:lineRule="auto"/>
        <w:jc w:val="both"/>
        <w:rPr>
          <w:sz w:val="24"/>
          <w:szCs w:val="24"/>
        </w:rPr>
      </w:pPr>
      <w:r w:rsidRPr="00517224">
        <w:rPr>
          <w:sz w:val="24"/>
          <w:szCs w:val="24"/>
        </w:rPr>
        <w:t>En los últimos años se ha investigado el uso de plasma rico en plaquetas por sus muchas aplicaciones clínicas. Pero antes de hablar sobre ello, necesitamos conocer todas las características del plasma rico en plaquetas</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30649" w:rsidRPr="00FB5BBD">
        <w:rPr>
          <w:sz w:val="24"/>
          <w:szCs w:val="24"/>
        </w:rPr>
        <w:t xml:space="preserve">. </w:t>
      </w:r>
    </w:p>
    <w:p w14:paraId="3D83CA11" w14:textId="496E54BF" w:rsidR="000A1F2D" w:rsidRPr="00FB5BBD" w:rsidRDefault="00517224" w:rsidP="00BC10E0">
      <w:pPr>
        <w:spacing w:line="360" w:lineRule="auto"/>
        <w:jc w:val="both"/>
        <w:rPr>
          <w:sz w:val="24"/>
          <w:szCs w:val="24"/>
        </w:rPr>
      </w:pPr>
      <w:r w:rsidRPr="00517224">
        <w:rPr>
          <w:sz w:val="24"/>
          <w:szCs w:val="24"/>
        </w:rPr>
        <w:t xml:space="preserve">Las plaquetas son fragmentos citoplasmáticos anucleados derivados del citoplasma de los megacariocitos de la médula ósea y miden de 2 a 3 µm de diámetro. Un rango razonable de plaquetas en sangre de una persona sana es de entre 150.000 a 350.000 plaquetas/µL. Tienen papeles importantes en la hemostasia, la inflamación, la inmunidad, la progresión tumoral y la trombosis. Contienen muchos organelos, mitocondrias, </w:t>
      </w:r>
      <w:proofErr w:type="spellStart"/>
      <w:r w:rsidRPr="00517224">
        <w:rPr>
          <w:sz w:val="24"/>
          <w:szCs w:val="24"/>
        </w:rPr>
        <w:t>roxisomas</w:t>
      </w:r>
      <w:proofErr w:type="spellEnd"/>
      <w:r w:rsidRPr="00517224">
        <w:rPr>
          <w:sz w:val="24"/>
          <w:szCs w:val="24"/>
        </w:rPr>
        <w:t>, ribosomas, glucógeno y gránulos</w:t>
      </w:r>
      <w:r w:rsidR="001876F9" w:rsidRPr="001876F9">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5F5E40" w:rsidRPr="00FB5BBD">
        <w:rPr>
          <w:sz w:val="24"/>
          <w:szCs w:val="24"/>
        </w:rPr>
        <w:fldChar w:fldCharType="begin" w:fldLock="1"/>
      </w:r>
      <w:r w:rsidR="00A84109">
        <w:rPr>
          <w:sz w:val="24"/>
          <w:szCs w:val="24"/>
        </w:rPr>
        <w:instrText>ADDIN CSL_CITATION {"citationItems":[{"id":"ITEM-1","itemData":{"DOI":"10.1016/j.tripleo.2009.02.007","ISSN":"10792104","PMID":"19451011","abstract":"Objectives: The clinical use of platelet-rich plasma (PRP) for preprosthetic surgery has been a matter of controversy until now. Only recently, a new blood preparation has been developed which results in platelet-rich fibrin (PRF). The objective of the present investigation was to examine the growth factor release from PRP and PRF in vitro. Study design: Whole blood samples from healthy participants (n = 10) were drawn to generate PRP and PRF. Human osteoblasts (O), human fibroblasts (F), and human osteoblast-derived osteosarcoma cells (Saos-2) were used for the cell culture. Cells of each cell line were cultivated, and PRP- or PRF-preparations added for ten days. The drawn medium was pooled and the quantities of growth factors (platelet-derived growth factor isomers AB and BB, insulin-like growth factor I, and transforming growth factor (TGF) isomers β1 and β2) analyzed by enzyme-linked immunosorbent assay. Results: In osteoblast and Saos-2 cultures, cytokine concentrations were significantly higher for PRP than for PRF (P &lt; .05). In fibroblast cultures, results were the same with the exception of TGF-β2 (P &lt; .05). Conclusions: This study demonstrates that PRP application in cell cultures leads to higher levels of growth factors than PRF application. © 2009 Mosby, Inc. All rights reserved.","author":[{"dropping-particle":"","family":"Gaßling","given":"Volker L.W.","non-dropping-particle":"","parse-names":false,"suffix":""},{"dropping-particle":"","family":"Açil","given":"Yahya","non-dropping-particle":"","parse-names":false,"suffix":""},{"dropping-particle":"","family":"Springer","given":"Ingo N.","non-dropping-particle":"","parse-names":false,"suffix":""},{"dropping-particle":"","family":"Hubert","given":"Nina","non-dropping-particle":"","parse-names":false,"suffix":""},{"dropping-particle":"","family":"Wiltfang","given":"Jörg","non-dropping-particle":"","parse-names":false,"suffix":""}],"container-title":"Oral Surgery, Oral Medicine, Oral Pathology, Oral Radiology and Endodontology","id":"ITEM-1","issue":"1","issued":{"date-parts":[["2009"]]},"page":"48-55","publisher":"Mosby, Inc.","title":"Platelet-rich Plasma and Platelet-rich fibrin in human cell culture","type":"article-journal","volume":"108"},"uris":["http://www.mendeley.com/documents/?uuid=dfa70d9a-ae9d-44b7-b30f-ed05d0ef28a2"]}],"mendeley":{"formattedCitation":"(11)","plainTextFormattedCitation":"(11)","previouslyFormattedCitation":"(11)"},"properties":{"noteIndex":0},"schema":"https://github.com/citation-style-language/schema/raw/master/csl-citation.json"}</w:instrText>
      </w:r>
      <w:r w:rsidR="005F5E40" w:rsidRPr="00FB5BBD">
        <w:rPr>
          <w:sz w:val="24"/>
          <w:szCs w:val="24"/>
        </w:rPr>
        <w:fldChar w:fldCharType="separate"/>
      </w:r>
      <w:r w:rsidR="00034ED5" w:rsidRPr="00034ED5">
        <w:rPr>
          <w:noProof/>
          <w:sz w:val="24"/>
          <w:szCs w:val="24"/>
        </w:rPr>
        <w:t>(11)</w:t>
      </w:r>
      <w:r w:rsidR="005F5E40" w:rsidRPr="00FB5BBD">
        <w:rPr>
          <w:sz w:val="24"/>
          <w:szCs w:val="24"/>
        </w:rPr>
        <w:fldChar w:fldCharType="end"/>
      </w:r>
      <w:r w:rsidR="00BC10E0"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BC10E0" w:rsidRPr="00FB5BBD">
        <w:rPr>
          <w:sz w:val="24"/>
          <w:szCs w:val="24"/>
        </w:rPr>
        <w:fldChar w:fldCharType="separate"/>
      </w:r>
      <w:r w:rsidR="00034ED5" w:rsidRPr="00034ED5">
        <w:rPr>
          <w:noProof/>
          <w:sz w:val="24"/>
          <w:szCs w:val="24"/>
        </w:rPr>
        <w:t>(12)</w:t>
      </w:r>
      <w:r w:rsidR="00BC10E0" w:rsidRPr="00FB5BBD">
        <w:rPr>
          <w:sz w:val="24"/>
          <w:szCs w:val="24"/>
        </w:rPr>
        <w:fldChar w:fldCharType="end"/>
      </w:r>
      <w:r w:rsidR="00401026">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401026">
        <w:rPr>
          <w:sz w:val="24"/>
          <w:szCs w:val="24"/>
        </w:rPr>
        <w:fldChar w:fldCharType="separate"/>
      </w:r>
      <w:r w:rsidR="00034ED5" w:rsidRPr="00034ED5">
        <w:rPr>
          <w:noProof/>
          <w:sz w:val="24"/>
          <w:szCs w:val="24"/>
        </w:rPr>
        <w:t>(13)</w:t>
      </w:r>
      <w:r w:rsidR="00401026">
        <w:rPr>
          <w:sz w:val="24"/>
          <w:szCs w:val="24"/>
        </w:rPr>
        <w:fldChar w:fldCharType="end"/>
      </w:r>
      <w:r w:rsidR="005F5E40" w:rsidRPr="00FB5BBD">
        <w:rPr>
          <w:sz w:val="24"/>
          <w:szCs w:val="24"/>
        </w:rPr>
        <w:t>.</w:t>
      </w:r>
    </w:p>
    <w:p w14:paraId="5A5B3714" w14:textId="77C27B6A" w:rsidR="00BC10E0" w:rsidRPr="00FB5BBD" w:rsidRDefault="00517224" w:rsidP="00707427">
      <w:pPr>
        <w:spacing w:line="360" w:lineRule="auto"/>
        <w:jc w:val="both"/>
        <w:rPr>
          <w:sz w:val="24"/>
          <w:szCs w:val="24"/>
        </w:rPr>
      </w:pPr>
      <w:r w:rsidRPr="00517224">
        <w:rPr>
          <w:sz w:val="24"/>
          <w:szCs w:val="24"/>
        </w:rPr>
        <w:t xml:space="preserve">Los gránulos de las plaquetas se dividen en tres grupos. En primer lugar están los Alfa: con fibrinógenos, factor de </w:t>
      </w:r>
      <w:proofErr w:type="spellStart"/>
      <w:r w:rsidRPr="00517224">
        <w:rPr>
          <w:sz w:val="24"/>
          <w:szCs w:val="24"/>
        </w:rPr>
        <w:t>Von</w:t>
      </w:r>
      <w:proofErr w:type="spellEnd"/>
      <w:r w:rsidRPr="00517224">
        <w:rPr>
          <w:sz w:val="24"/>
          <w:szCs w:val="24"/>
        </w:rPr>
        <w:t xml:space="preserve"> Willebrand, factor de crecimiento derivados de plaquetas y otros factores de crecimiento, en segundo lugar están los Delta o densos: que contienen ADP, ATP y serotonina, estos son potentes agonistas o activadores de plaquetas, y por último tenemos los Lambda: formado por lisosomas que ayudan a disolver el coágulo una vez que ha realizado su función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0345C5"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0345C5" w:rsidRPr="00FB5BBD">
        <w:rPr>
          <w:sz w:val="24"/>
          <w:szCs w:val="24"/>
        </w:rPr>
        <w:fldChar w:fldCharType="separate"/>
      </w:r>
      <w:r w:rsidR="00034ED5" w:rsidRPr="00034ED5">
        <w:rPr>
          <w:noProof/>
          <w:sz w:val="24"/>
          <w:szCs w:val="24"/>
        </w:rPr>
        <w:t>(12)</w:t>
      </w:r>
      <w:r w:rsidR="000345C5" w:rsidRPr="00FB5BBD">
        <w:rPr>
          <w:sz w:val="24"/>
          <w:szCs w:val="24"/>
        </w:rPr>
        <w:fldChar w:fldCharType="end"/>
      </w:r>
      <w:r w:rsidR="000345C5" w:rsidRPr="00FB5BBD">
        <w:rPr>
          <w:sz w:val="24"/>
          <w:szCs w:val="24"/>
        </w:rPr>
        <w:t xml:space="preserve">. </w:t>
      </w:r>
    </w:p>
    <w:p w14:paraId="003B57BA" w14:textId="04E574F1" w:rsidR="00707427" w:rsidRDefault="00517224" w:rsidP="00707427">
      <w:pPr>
        <w:spacing w:line="360" w:lineRule="auto"/>
        <w:jc w:val="both"/>
        <w:rPr>
          <w:sz w:val="24"/>
          <w:szCs w:val="24"/>
        </w:rPr>
      </w:pPr>
      <w:r w:rsidRPr="00517224">
        <w:rPr>
          <w:sz w:val="24"/>
          <w:szCs w:val="24"/>
        </w:rPr>
        <w:t xml:space="preserve">En el grupo Alfa podemos encontrar, como se ha mencionado anteriormente, los factores de crecimiento que realizan la proliferación y diferenciación celular, quimiotaxis, angiogénesis, y la síntesis de la matriz extracelular, el factor de </w:t>
      </w:r>
      <w:proofErr w:type="spellStart"/>
      <w:r w:rsidRPr="00517224">
        <w:rPr>
          <w:sz w:val="24"/>
          <w:szCs w:val="24"/>
        </w:rPr>
        <w:t>Von</w:t>
      </w:r>
      <w:proofErr w:type="spellEnd"/>
      <w:r w:rsidRPr="00517224">
        <w:rPr>
          <w:sz w:val="24"/>
          <w:szCs w:val="24"/>
        </w:rPr>
        <w:t xml:space="preserve"> Willebrand que asegura la adherencia plaquetaria al colágeno del subendotelio, y factores de coagulación V y VIII que producen trombina. También encontramos quimiocinas y citoquinas que se encargan de la regulación de la inflamación y la quimiotaxis, proteínas adhesivas que son las responsables de las interacciones celulares y la coagulación. Y, por último, encontramos las inmunoglobulinas que como su nombre indica, tienen función inmunológica, los inhibidores del activador de plasminógeno que inhibe la fibrinólisis, y la P selectina, que crea la interacción leucocito-plaqueta</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B7D01"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DB7D01" w:rsidRPr="00FB5BBD">
        <w:rPr>
          <w:sz w:val="24"/>
          <w:szCs w:val="24"/>
        </w:rPr>
        <w:fldChar w:fldCharType="separate"/>
      </w:r>
      <w:r w:rsidR="00034ED5" w:rsidRPr="00034ED5">
        <w:rPr>
          <w:noProof/>
          <w:sz w:val="24"/>
          <w:szCs w:val="24"/>
        </w:rPr>
        <w:t>(12)</w:t>
      </w:r>
      <w:r w:rsidR="00DB7D01" w:rsidRPr="00FB5BBD">
        <w:rPr>
          <w:sz w:val="24"/>
          <w:szCs w:val="24"/>
        </w:rPr>
        <w:fldChar w:fldCharType="end"/>
      </w:r>
      <w:r w:rsidR="003E5458" w:rsidRPr="00FB5BBD">
        <w:rPr>
          <w:sz w:val="24"/>
          <w:szCs w:val="24"/>
        </w:rPr>
        <w:t>.</w:t>
      </w:r>
    </w:p>
    <w:p w14:paraId="2CC85464" w14:textId="563EC0EF" w:rsidR="000345C5" w:rsidRPr="00FB5BBD" w:rsidRDefault="00517224" w:rsidP="00707427">
      <w:pPr>
        <w:spacing w:line="360" w:lineRule="auto"/>
        <w:jc w:val="both"/>
        <w:rPr>
          <w:sz w:val="24"/>
          <w:szCs w:val="24"/>
        </w:rPr>
      </w:pPr>
      <w:r w:rsidRPr="00517224">
        <w:rPr>
          <w:sz w:val="24"/>
          <w:szCs w:val="24"/>
        </w:rPr>
        <w:lastRenderedPageBreak/>
        <w:t>En los últimos estudios se ha observado que las plaquetas también tienen capacidad de sintetizar proteínas como respuesta a cambios en su ambiente. Contienen factores de transcripción y se está investigando su efecto en vías de señalización aunque carezcan de núcleo y ADN</w:t>
      </w:r>
      <w:r>
        <w:rPr>
          <w:sz w:val="24"/>
          <w:szCs w:val="24"/>
        </w:rPr>
        <w:t xml:space="preserve"> </w:t>
      </w:r>
      <w:r w:rsidR="003D55CB" w:rsidRPr="006444C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3D55CB" w:rsidRPr="006444CE">
        <w:rPr>
          <w:sz w:val="24"/>
          <w:szCs w:val="24"/>
        </w:rPr>
        <w:fldChar w:fldCharType="separate"/>
      </w:r>
      <w:r w:rsidR="00034ED5" w:rsidRPr="00034ED5">
        <w:rPr>
          <w:noProof/>
          <w:sz w:val="24"/>
          <w:szCs w:val="24"/>
        </w:rPr>
        <w:t>(12)</w:t>
      </w:r>
      <w:r w:rsidR="003D55CB" w:rsidRPr="006444CE">
        <w:rPr>
          <w:sz w:val="24"/>
          <w:szCs w:val="24"/>
        </w:rPr>
        <w:fldChar w:fldCharType="end"/>
      </w:r>
      <w:r w:rsidR="003D55CB" w:rsidRPr="006444CE">
        <w:rPr>
          <w:sz w:val="24"/>
          <w:szCs w:val="24"/>
        </w:rPr>
        <w:t>.</w:t>
      </w:r>
      <w:r w:rsidR="003D55CB" w:rsidRPr="00FB5BBD">
        <w:rPr>
          <w:sz w:val="24"/>
          <w:szCs w:val="24"/>
        </w:rPr>
        <w:t xml:space="preserve"> </w:t>
      </w:r>
    </w:p>
    <w:p w14:paraId="0EEBF680" w14:textId="5D7E6434" w:rsidR="00AE33AE" w:rsidRDefault="00517224" w:rsidP="00FE3A97">
      <w:pPr>
        <w:spacing w:line="360" w:lineRule="auto"/>
        <w:jc w:val="both"/>
        <w:rPr>
          <w:sz w:val="24"/>
          <w:szCs w:val="24"/>
        </w:rPr>
      </w:pPr>
      <w:r w:rsidRPr="00517224">
        <w:rPr>
          <w:sz w:val="24"/>
          <w:szCs w:val="24"/>
        </w:rPr>
        <w:t xml:space="preserve">Se propone el uso de plasma rico en plaquetas ya que es autólogo, </w:t>
      </w:r>
      <w:proofErr w:type="gramStart"/>
      <w:r w:rsidRPr="00517224">
        <w:rPr>
          <w:sz w:val="24"/>
          <w:szCs w:val="24"/>
        </w:rPr>
        <w:t>y</w:t>
      </w:r>
      <w:proofErr w:type="gramEnd"/>
      <w:r w:rsidRPr="00517224">
        <w:rPr>
          <w:sz w:val="24"/>
          <w:szCs w:val="24"/>
        </w:rPr>
        <w:t xml:space="preserve"> por consiguiente, se elimina el riesgo de contaminación cruzada y la transmisión de enfermedades bacterianas o respuestas inmunitarias. De igual manera que por su capacidad de estimular la producción y el aumento de la concentración de factores de crecimiento, por su actividad microbicida y moduladora del proceso inflamatorio, porque ayuda a la proliferación celular y la síntesis de matriz extracelular, favoreciendo la cicatrización y la reparación. Y no solo eso, sino que además, ayuda a la vascularización de injertos, reduce la morbilidad post cirugía, y mejora la regeneración de diferentes tejidos </w:t>
      </w:r>
      <w:r w:rsidR="00AE33AE" w:rsidRPr="00AE33AE">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(10)</w:t>
      </w:r>
      <w:r w:rsidR="00AE33AE" w:rsidRPr="00AE33AE">
        <w:rPr>
          <w:sz w:val="24"/>
          <w:szCs w:val="24"/>
        </w:rPr>
        <w:fldChar w:fldCharType="end"/>
      </w:r>
      <w:r w:rsidR="00AE33AE" w:rsidRPr="00AE33A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(12)</w:t>
      </w:r>
      <w:r w:rsidR="00AE33AE" w:rsidRPr="00AE33AE">
        <w:rPr>
          <w:sz w:val="24"/>
          <w:szCs w:val="24"/>
        </w:rPr>
        <w:fldChar w:fldCharType="end"/>
      </w:r>
      <w:r w:rsidR="00AE33AE" w:rsidRPr="00AE33AE">
        <w:rPr>
          <w:sz w:val="24"/>
          <w:szCs w:val="24"/>
        </w:rPr>
        <w:t>.</w:t>
      </w:r>
      <w:r w:rsidR="00AE33AE" w:rsidRPr="00FB5BBD">
        <w:rPr>
          <w:sz w:val="24"/>
          <w:szCs w:val="24"/>
        </w:rPr>
        <w:t xml:space="preserve"> </w:t>
      </w:r>
      <w:r w:rsidR="00AE33AE">
        <w:rPr>
          <w:sz w:val="24"/>
          <w:szCs w:val="24"/>
        </w:rPr>
        <w:t xml:space="preserve"> </w:t>
      </w:r>
    </w:p>
    <w:p w14:paraId="7591C511" w14:textId="63B71D57" w:rsidR="00FE3A97" w:rsidRDefault="00F11603" w:rsidP="00FE3A97">
      <w:pPr>
        <w:spacing w:line="360" w:lineRule="auto"/>
        <w:jc w:val="both"/>
        <w:rPr>
          <w:sz w:val="24"/>
          <w:szCs w:val="24"/>
        </w:rPr>
      </w:pPr>
      <w:r w:rsidRPr="00F11603">
        <w:rPr>
          <w:sz w:val="24"/>
          <w:szCs w:val="24"/>
        </w:rPr>
        <w:t xml:space="preserve">El plasma rico en plaquetas (PRP) es considerado un volumen de plasma conteniendo plaquetas por encima de su nivel basal, en otras palabras, por encima de las 150.000 – 350.000 plaquetas/µL. Primero de todo se extrae sangre al paciente y se centrifuga por primera vez la muestra a baja fuerza, de aquí obtendremos tres productos: en la parte inferior del tubo tendremos los glóbulos rojos, en la parte media la capa leucocítica, formada por glóbulos blancos y la mayoría de plaquetas, y en la parte superior plasma pobre en plaquetas (PPP). Este se consigue a través de la separación entre sólido y líquido de la sangre mediante una técnica conocida como plasmaféresis, técnica exclusiva para obtener plasma, gracias a la centrifugación, que separa los diferentes componentes con un sistema giratorio. Este fenómeno se produce gracias al principio físico que describe que la velocidad de sedimentación de las partículas en un entorno líquido en respuesta a las fuerzas gravitacionales será aproximadamente proporcional a su diámetro. Es decir, que las partículas con mayor diámetro quedarán en la parte inferior del tubo, y en la parte superior quedarán las de menor diámetro. En este producto ya se obtendrán plaquetas en una concentración de entre 4 y 6 veces mayor que en la sangre. Pero es tras el segundo centrifugando mezclando de nuevo el plasma y los glóbulos blancos, obtendremos un aumento de la concentración de plaquetas.  Seguidamente se retira el plasma pobre y medio en plaquetas, que </w:t>
      </w:r>
      <w:r w:rsidRPr="00F11603">
        <w:rPr>
          <w:sz w:val="24"/>
          <w:szCs w:val="24"/>
        </w:rPr>
        <w:lastRenderedPageBreak/>
        <w:t>corresponde a los dos tercios superiores del tubo, y el resto lo mezclamos con los glóbulos rojos para obtener el PRP. Se debe usar la suspensión antes de los 7 días aproximadamente, ya que este es el tiempo en que las plaquetas son viables y conservan la capacidad de liberar factores de crecimiento</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15001C"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15001C" w:rsidRPr="00FB5BBD">
        <w:rPr>
          <w:sz w:val="24"/>
          <w:szCs w:val="24"/>
        </w:rPr>
        <w:fldChar w:fldCharType="separate"/>
      </w:r>
      <w:r w:rsidR="00034ED5" w:rsidRPr="00034ED5">
        <w:rPr>
          <w:noProof/>
          <w:sz w:val="24"/>
          <w:szCs w:val="24"/>
        </w:rPr>
        <w:t>(12)</w:t>
      </w:r>
      <w:r w:rsidR="0015001C" w:rsidRPr="00FB5BBD">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(13)</w:t>
      </w:r>
      <w:r w:rsidR="007F5FB2" w:rsidRPr="006B0987">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{"citationItems":[{"id":"ITEM-1","itemData":{"abstract":"RESUMEN La plasmaféresis trata procedimientos extracorpóreos cuya fi nalidad es la remoción de plasma, elementos formes de la sangre o bien de sustancias de alto peso molecular con-sideradas como responsables de procesos patológicos. En el caso del recambio plasmático, se trata de una técnica de reciente introducción cuyos benefi cios han sido documen-tados en diversos trabajos; sin embargo, su elevado costo la hace inaccesible sobre todo en países subdesarrollados y en aquéllos en vías de desarrollo. El presente artículo es una revisión del tema. ABSTRACT Are extracorporeal procedures whose purpose is the removal of plasm, elements form of the blood or of substances of high molecular weight, considered as responsible of pathological processes. In the case of the plasma replacement , it is a technique of recent introduction whose benefi ts have been documented in diverse works; however their high cost makes it inaccessible mainly in underdeveloped countries and in those developing. The present article is a revision of the topic. Palabras clave: Plasmaféresis, aféresis, recambio plasmático terapéutico. INTRODUCCIÓN L a palabra aféresis proviene del griego «aphaíresis» y significa «separar» o «remo-ver» por la fuerza. Este tipo de procedimientos puede ser utilizado para: a. La eliminación de plasma o recolección de componentes destinados como apoyo en la terapia transfusional sustitutiva, por lo cual y, de acuerdo con necesidades específicas, puede obtenerse plasma (plasmaféresis), leucocitos (leucoaféresis), hematíes (eritro-aféresis), plaquetas (plaquetoaféresis) e in-cluso células progenitoras hematopoyéticas de sangre periférica. Este procedimiento se caracteriza por la extracción de menor can-tidad de plasma (600 mL) sin reposición de volumen, la cual se realiza en menor tiempo y con técnicas de separación más simples en comparación con el recambio plasmático. 1,2 b. Se usa para la remoción de una proporción grande de plasma (1.2 veces del volumen circulante) con fines terapéuticos, o bien, para la eliminación (de 63 a 72%) por medio de transporte colectivo a través de una mem-brana semipermeable separadora o columna de aquellas sustancias de alto peso molecular presentes en el plasma como: autoanticuer-pos, complejos inmunes, cadenas ligeras de inmunoglobulinas, endotoxinas, crioglobu-linas, lipoproteínas, etc., causantes de una determinada patología. Las columnas más empleadas son las que se utilizan para elimi-nar los anticuerpos tipo IgG en enfer…","author":[{"dropping-particle":"","family":"Roberto","given":"José","non-dropping-particle":"","parse-names":false,"suffix":""},{"dropping-particle":"","family":"Evia","given":"Barba","non-dropping-particle":"","parse-names":false,"suffix":""}],"container-title":"Rev Latinoam Patol Clin Med Lab","id":"ITEM-1","issue":"3","issued":{"date-parts":[["2014"]]},"page":"163-174","title":"Plasmaféresis y recambio plasmático","type":"article-magazine","volume":"61"},"uris":["http://www.mendeley.com/documents/?uuid=78eb4a24-3dab-3c32-b1e7-8caac9838d7a"]}],"mendeley":{"formattedCitation":"(14)","plainTextFormattedCitation":"(14)","previouslyFormattedCitation":"(14)"},"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(14)</w:t>
      </w:r>
      <w:r w:rsidR="007F5FB2" w:rsidRPr="006B0987">
        <w:rPr>
          <w:sz w:val="24"/>
          <w:szCs w:val="24"/>
        </w:rPr>
        <w:fldChar w:fldCharType="end"/>
      </w:r>
      <w:r w:rsidR="00313A51" w:rsidRPr="006B0987">
        <w:rPr>
          <w:sz w:val="24"/>
          <w:szCs w:val="24"/>
        </w:rPr>
        <w:t xml:space="preserve">. </w:t>
      </w:r>
    </w:p>
    <w:p w14:paraId="49C79C62" w14:textId="1AF01816" w:rsidR="00AE33AE" w:rsidRDefault="00F11603" w:rsidP="00FE3A97">
      <w:pPr>
        <w:spacing w:line="360" w:lineRule="auto"/>
        <w:jc w:val="both"/>
        <w:rPr>
          <w:sz w:val="24"/>
          <w:szCs w:val="24"/>
        </w:rPr>
      </w:pPr>
      <w:r w:rsidRPr="00F11603">
        <w:rPr>
          <w:sz w:val="24"/>
          <w:szCs w:val="24"/>
        </w:rPr>
        <w:t xml:space="preserve">En el año 2018 en España, gracias a la Organización Colegial de Dentistas, después de una lucha de largos años, y muchas negociaciones con los servicios jurídicos del Ministerio de Sanidad, Servicios Sociales e Igualdad, se les brindó a los odontólogos con la atribución de la venopunción. Desde esa fecha hasta día de hoy, ya no se requiere de una persona con titulación de enfermería para la extracción sanguínea en el consultorio dental, es el propio odontólogo quien, formado previamente, puede realizar dichas tareas. Este hito beneficiará tanto al odontólogo como al paciente, y a la sociedad en general visto que esta técnica mejora la eficacia de los tratamientos y la calidad de vida, acelerando el proceso de cicatrización de tejidos duros como blandos, menor dolor y menor inflamación. Este proceso no tiene inconvenientes en ser realizado, siempre y cuando el paciente esté sano y no sufra de ninguna coagulopatía o trastornos sanguíneos. Se deberá excluir a los pacientes con problemas hepáticos, toma de determinados medicamentos y alteraciones genéticas </w:t>
      </w:r>
      <w:r w:rsidR="008305D7">
        <w:rPr>
          <w:sz w:val="24"/>
          <w:szCs w:val="24"/>
        </w:rPr>
        <w:fldChar w:fldCharType="begin" w:fldLock="1"/>
      </w:r>
      <w:r w:rsidR="00A84109">
        <w:rPr>
          <w:sz w:val="24"/>
          <w:szCs w:val="24"/>
        </w:rPr>
        <w:instrText>ADDIN CSL_CITATION {"citationItems":[{"id":"ITEM-1","itemData":{"container-title":"Revista del Consejo General de Dentistas de España","id":"ITEM-1","issued":{"date-parts":[["2018"]]},"page":"6-10","title":"Dentistas","type":"article-journal","volume":"29"},"uris":["http://www.mendeley.com/documents/?uuid=be50728f-5458-4e43-9186-de2c1d2fb608"]}],"mendeley":{"formattedCitation":"(15)","plainTextFormattedCitation":"(15)","previouslyFormattedCitation":"(15)"},"properties":{"noteIndex":0},"schema":"https://github.com/citation-style-language/schema/raw/master/csl-citation.json"}</w:instrText>
      </w:r>
      <w:r w:rsidR="008305D7">
        <w:rPr>
          <w:sz w:val="24"/>
          <w:szCs w:val="24"/>
        </w:rPr>
        <w:fldChar w:fldCharType="separate"/>
      </w:r>
      <w:r w:rsidR="00034ED5" w:rsidRPr="00034ED5">
        <w:rPr>
          <w:noProof/>
          <w:sz w:val="24"/>
          <w:szCs w:val="24"/>
        </w:rPr>
        <w:t>(15)</w:t>
      </w:r>
      <w:r w:rsidR="008305D7">
        <w:rPr>
          <w:sz w:val="24"/>
          <w:szCs w:val="24"/>
        </w:rPr>
        <w:fldChar w:fldCharType="end"/>
      </w:r>
      <w:r w:rsidR="00A57FDC">
        <w:rPr>
          <w:sz w:val="24"/>
          <w:szCs w:val="24"/>
        </w:rPr>
        <w:t xml:space="preserve">. </w:t>
      </w:r>
    </w:p>
    <w:p w14:paraId="2D40ECAF" w14:textId="58708925" w:rsidR="00AE33AE" w:rsidRDefault="00F11603" w:rsidP="00FE3A97">
      <w:pPr>
        <w:spacing w:line="360" w:lineRule="auto"/>
        <w:jc w:val="both"/>
        <w:rPr>
          <w:sz w:val="24"/>
          <w:szCs w:val="24"/>
        </w:rPr>
      </w:pPr>
      <w:r w:rsidRPr="00F11603">
        <w:rPr>
          <w:sz w:val="24"/>
          <w:szCs w:val="24"/>
        </w:rPr>
        <w:t xml:space="preserve">En la siguiente ilustración podemos observar el proceso de extracción de sangre y centrifugación y como se aprecian las 3 capas explicadas anteriormente, más el segundo centrifugado necesario para obtener el PRP </w:t>
      </w:r>
      <w:r w:rsidR="00005BF4">
        <w:rPr>
          <w:sz w:val="24"/>
          <w:szCs w:val="24"/>
        </w:rPr>
        <w:t xml:space="preserve">(Ilustración 1). </w:t>
      </w:r>
    </w:p>
    <w:p w14:paraId="49EC578E" w14:textId="77777777" w:rsidR="00707427" w:rsidRDefault="00707427" w:rsidP="00FE3A97">
      <w:pPr>
        <w:spacing w:line="360" w:lineRule="auto"/>
        <w:jc w:val="both"/>
        <w:rPr>
          <w:sz w:val="24"/>
          <w:szCs w:val="24"/>
        </w:rPr>
      </w:pPr>
    </w:p>
    <w:p w14:paraId="6D5A1E76" w14:textId="77777777" w:rsidR="008A6E6D" w:rsidRDefault="00FE1D6C" w:rsidP="008A6E6D">
      <w:pPr>
        <w:keepNext/>
        <w:spacing w:line="360" w:lineRule="auto"/>
        <w:jc w:val="center"/>
      </w:pPr>
      <w:r w:rsidRPr="000B7365">
        <w:rPr>
          <w:noProof/>
          <w:sz w:val="24"/>
          <w:szCs w:val="24"/>
        </w:rPr>
        <w:lastRenderedPageBreak/>
        <w:drawing>
          <wp:inline distT="0" distB="0" distL="0" distR="0" wp14:anchorId="203FCD48" wp14:editId="31531311">
            <wp:extent cx="3776400" cy="2520000"/>
            <wp:effectExtent l="0" t="0" r="0" b="0"/>
            <wp:docPr id="1" name="Imagen 1" descr="Figura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10;">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a:ln>
                      <a:noFill/>
                    </a:ln>
                  </pic:spPr>
                </pic:pic>
              </a:graphicData>
            </a:graphic>
          </wp:inline>
        </w:drawing>
      </w:r>
    </w:p>
    <w:p w14:paraId="28FEAF19" w14:textId="1E093F66" w:rsidR="00183E0B" w:rsidRPr="007E7796" w:rsidRDefault="008A6E6D" w:rsidP="00BA494A">
      <w:pPr>
        <w:pStyle w:val="Descripcin"/>
        <w:spacing w:line="360" w:lineRule="auto"/>
        <w:jc w:val="center"/>
        <w:rPr>
          <w:color w:val="auto"/>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1</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84109">
        <w:rPr>
          <w:color w:val="auto"/>
        </w:rPr>
        <w:fldChar w:fldCharType="separate"/>
      </w:r>
      <w:r w:rsidR="00A84109" w:rsidRPr="00A84109">
        <w:rPr>
          <w:i w:val="0"/>
          <w:noProof/>
          <w:color w:val="auto"/>
        </w:rPr>
        <w:t>(10)</w:t>
      </w:r>
      <w:r w:rsidR="00A84109">
        <w:rPr>
          <w:color w:val="auto"/>
        </w:rPr>
        <w:fldChar w:fldCharType="end"/>
      </w:r>
    </w:p>
    <w:p w14:paraId="464CA840" w14:textId="6DB99487" w:rsidR="00E1710C" w:rsidRDefault="00F11603" w:rsidP="00707427">
      <w:pPr>
        <w:spacing w:before="240" w:line="360" w:lineRule="auto"/>
        <w:jc w:val="both"/>
        <w:rPr>
          <w:sz w:val="24"/>
          <w:szCs w:val="24"/>
        </w:rPr>
      </w:pPr>
      <w:r w:rsidRPr="00F11603">
        <w:rPr>
          <w:rFonts w:ascii="Calibri" w:hAnsi="Calibri" w:cs="Calibri"/>
          <w:sz w:val="24"/>
          <w:szCs w:val="24"/>
        </w:rPr>
        <w:t>Sin embargo, al tener una gran variedad de técnicas para obtener PRP se obtiene de igual modo una gran variedad de sus productos. Estos pueden divergir según el volumen de la muestra sanguínea recogida, ya que al recoger una muestra de sangre mayor tendrá más cantidad de plaquetas. Hay que tener en cuenta la inclusión o exclusión de glóbulos blancos puesto que se ha visto que el preparado que contiene glóbulos blancos puede inhibir la curación e inducir mayor dolor local. La activación de trombina exógena plaquetaria, en consecuencia, a que sí hay niveles demasiado altos de trombina exógena se reduce el efecto biológico del PRP activado por trombina, en comparación al PRP no activado. Y, por último, la formación de una matriz de fibrina. Incluso, dependiendo de la fuerza y duración de la centrifugación puede afectar a la concentración y composición de las plaqueta</w:t>
      </w:r>
      <w:r w:rsidR="00A4217B" w:rsidRPr="00A4217B">
        <w:rPr>
          <w:rFonts w:ascii="Calibri" w:hAnsi="Calibri" w:cs="Calibri"/>
          <w:sz w:val="24"/>
          <w:szCs w:val="24"/>
        </w:rPr>
        <w:t xml:space="preserve">s </w:t>
      </w:r>
      <w:r w:rsidR="00E1710C"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E1710C" w:rsidRPr="006B0987">
        <w:rPr>
          <w:sz w:val="24"/>
          <w:szCs w:val="24"/>
        </w:rPr>
        <w:fldChar w:fldCharType="separate"/>
      </w:r>
      <w:r w:rsidR="00034ED5" w:rsidRPr="00034ED5">
        <w:rPr>
          <w:noProof/>
          <w:sz w:val="24"/>
          <w:szCs w:val="24"/>
        </w:rPr>
        <w:t>(13)</w:t>
      </w:r>
      <w:r w:rsidR="00E1710C" w:rsidRPr="006B0987">
        <w:rPr>
          <w:sz w:val="24"/>
          <w:szCs w:val="24"/>
        </w:rPr>
        <w:fldChar w:fldCharType="end"/>
      </w:r>
      <w:r w:rsidR="00E1710C" w:rsidRPr="006B0987">
        <w:rPr>
          <w:sz w:val="24"/>
          <w:szCs w:val="24"/>
        </w:rPr>
        <w:t>.</w:t>
      </w:r>
    </w:p>
    <w:p w14:paraId="7D5848AD" w14:textId="2CFF5FA7" w:rsidR="00D433EE" w:rsidRDefault="00A4217B" w:rsidP="00E1710C">
      <w:pPr>
        <w:spacing w:line="360" w:lineRule="auto"/>
        <w:jc w:val="both"/>
        <w:rPr>
          <w:sz w:val="24"/>
          <w:szCs w:val="24"/>
        </w:rPr>
      </w:pPr>
      <w:r w:rsidRPr="00A4217B">
        <w:rPr>
          <w:sz w:val="24"/>
          <w:szCs w:val="24"/>
        </w:rPr>
        <w:t xml:space="preserve">Se reconocen cuatro categorías de preparados de plaquetas: Plasma Rico en Plaquetas puro (P-PRP), Plasma Rico en Plaquetas y Leucocitos (L-PRP), Fibrina Rica en Plaquetas puro (P-PRF), y Fibrina Rica en Plaquetas y Leucocitos (L-PRF) </w:t>
      </w:r>
      <w:r w:rsidR="00FE3A9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FE3A97">
        <w:rPr>
          <w:sz w:val="24"/>
          <w:szCs w:val="24"/>
        </w:rPr>
        <w:fldChar w:fldCharType="separate"/>
      </w:r>
      <w:r w:rsidR="00034ED5" w:rsidRPr="00034ED5">
        <w:rPr>
          <w:noProof/>
          <w:sz w:val="24"/>
          <w:szCs w:val="24"/>
        </w:rPr>
        <w:t>(13)</w:t>
      </w:r>
      <w:r w:rsidR="00FE3A97">
        <w:rPr>
          <w:sz w:val="24"/>
          <w:szCs w:val="24"/>
        </w:rPr>
        <w:fldChar w:fldCharType="end"/>
      </w:r>
      <w:r w:rsidR="00E1710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1710C">
        <w:rPr>
          <w:sz w:val="24"/>
          <w:szCs w:val="24"/>
        </w:rPr>
        <w:fldChar w:fldCharType="separate"/>
      </w:r>
      <w:r w:rsidR="00034ED5" w:rsidRPr="00034ED5">
        <w:rPr>
          <w:noProof/>
          <w:sz w:val="24"/>
          <w:szCs w:val="24"/>
        </w:rPr>
        <w:t>(16)</w:t>
      </w:r>
      <w:r w:rsidR="00E1710C">
        <w:rPr>
          <w:sz w:val="24"/>
          <w:szCs w:val="24"/>
        </w:rPr>
        <w:fldChar w:fldCharType="end"/>
      </w:r>
      <w:r w:rsidR="00FE3A97">
        <w:rPr>
          <w:sz w:val="24"/>
          <w:szCs w:val="24"/>
        </w:rPr>
        <w:t xml:space="preserve">. </w:t>
      </w:r>
    </w:p>
    <w:p w14:paraId="6FA28DA1" w14:textId="2D0CA449" w:rsidR="00FE1D6C" w:rsidRDefault="00F11603" w:rsidP="00E1710C">
      <w:pPr>
        <w:spacing w:line="360" w:lineRule="auto"/>
        <w:jc w:val="both"/>
        <w:rPr>
          <w:sz w:val="24"/>
          <w:szCs w:val="24"/>
        </w:rPr>
      </w:pPr>
      <w:r w:rsidRPr="00F11603">
        <w:rPr>
          <w:sz w:val="24"/>
          <w:szCs w:val="24"/>
        </w:rPr>
        <w:t>P-PRP se desarrolló como una aplicación adicional al PRP en cirugías maxilofaciales, aun así, es raro ver este protocolo en el día a día ya que es complicado y requiere de un trabajo intenso y laborioso, e incluso se puede necesitar la ayuda de un hematólogo, aunque no deja de ser uno de los sistemas más precisos</w:t>
      </w:r>
      <w:r w:rsidR="00A4217B" w:rsidRPr="00A4217B">
        <w:rPr>
          <w:sz w:val="24"/>
          <w:szCs w:val="24"/>
        </w:rPr>
        <w:t xml:space="preserve"> </w:t>
      </w:r>
      <w:r w:rsidR="008E2B74">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2B74">
        <w:rPr>
          <w:sz w:val="24"/>
          <w:szCs w:val="24"/>
        </w:rPr>
        <w:fldChar w:fldCharType="separate"/>
      </w:r>
      <w:r w:rsidR="00034ED5" w:rsidRPr="00034ED5">
        <w:rPr>
          <w:noProof/>
          <w:sz w:val="24"/>
          <w:szCs w:val="24"/>
        </w:rPr>
        <w:t>(16)</w:t>
      </w:r>
      <w:r w:rsidR="008E2B74">
        <w:rPr>
          <w:sz w:val="24"/>
          <w:szCs w:val="24"/>
        </w:rPr>
        <w:fldChar w:fldCharType="end"/>
      </w:r>
      <w:r w:rsidR="008E2B74">
        <w:rPr>
          <w:sz w:val="24"/>
          <w:szCs w:val="24"/>
        </w:rPr>
        <w:t xml:space="preserve">. </w:t>
      </w:r>
    </w:p>
    <w:p w14:paraId="687AB7AC" w14:textId="21BDD45F" w:rsidR="008E7F6C" w:rsidRDefault="00F11603" w:rsidP="00E1710C">
      <w:pPr>
        <w:spacing w:line="360" w:lineRule="auto"/>
        <w:jc w:val="both"/>
        <w:rPr>
          <w:sz w:val="24"/>
          <w:szCs w:val="24"/>
        </w:rPr>
      </w:pPr>
      <w:r w:rsidRPr="00F11603">
        <w:rPr>
          <w:sz w:val="24"/>
          <w:szCs w:val="24"/>
        </w:rPr>
        <w:t xml:space="preserve">Como el sistema anterior requiere de un trabajo meticuloso y costoso, se propuso el L-PRP con la finalidad de hacer posible el uso en la práctica diaria sin la necesidad de un </w:t>
      </w:r>
      <w:r w:rsidRPr="00F11603">
        <w:rPr>
          <w:sz w:val="24"/>
          <w:szCs w:val="24"/>
        </w:rPr>
        <w:lastRenderedPageBreak/>
        <w:t>laboratorio o un hematólogo. A pesar de intentarlo, se vio que el proceso de preparación requería invertir demasiado tiempo y resultaba en volúmenes limitados de L-PRP. Además, si la capa leucocitaria no es recolectada correctamente se puede obtener P-PRP antes que L-PRP</w:t>
      </w:r>
      <w:r>
        <w:rPr>
          <w:sz w:val="24"/>
          <w:szCs w:val="24"/>
        </w:rPr>
        <w:t xml:space="preserve"> </w:t>
      </w:r>
      <w:r w:rsidR="008E7F6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7F6C">
        <w:rPr>
          <w:sz w:val="24"/>
          <w:szCs w:val="24"/>
        </w:rPr>
        <w:fldChar w:fldCharType="separate"/>
      </w:r>
      <w:r w:rsidR="00034ED5" w:rsidRPr="00034ED5">
        <w:rPr>
          <w:noProof/>
          <w:sz w:val="24"/>
          <w:szCs w:val="24"/>
        </w:rPr>
        <w:t>(16)</w:t>
      </w:r>
      <w:r w:rsidR="008E7F6C">
        <w:rPr>
          <w:sz w:val="24"/>
          <w:szCs w:val="24"/>
        </w:rPr>
        <w:fldChar w:fldCharType="end"/>
      </w:r>
      <w:r w:rsidR="008E7F6C">
        <w:rPr>
          <w:sz w:val="24"/>
          <w:szCs w:val="24"/>
        </w:rPr>
        <w:t>.</w:t>
      </w:r>
    </w:p>
    <w:p w14:paraId="3279E21B" w14:textId="1ADAC0CD" w:rsidR="008E2B74" w:rsidRDefault="00F11603" w:rsidP="000C084C">
      <w:pPr>
        <w:spacing w:line="360" w:lineRule="auto"/>
        <w:jc w:val="both"/>
        <w:rPr>
          <w:sz w:val="24"/>
          <w:szCs w:val="24"/>
        </w:rPr>
      </w:pPr>
      <w:r w:rsidRPr="00F11603">
        <w:rPr>
          <w:sz w:val="24"/>
          <w:szCs w:val="24"/>
        </w:rPr>
        <w:t>Para la obtención del P-PRF solo hay un método disponible, y si bien el protocolo es muy parecido al de L-PRP, la principal diferencia es que en este producto se recogen cantidades muy bajas de leucocitos. Al solo haber un método para obtener P-PRF este es costoso y difícil de aplicar en la práctica diaria</w:t>
      </w:r>
      <w:r>
        <w:rPr>
          <w:sz w:val="24"/>
          <w:szCs w:val="24"/>
        </w:rPr>
        <w:t xml:space="preserve"> </w:t>
      </w:r>
      <w:r w:rsidR="00EF2789">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F2789">
        <w:rPr>
          <w:sz w:val="24"/>
          <w:szCs w:val="24"/>
        </w:rPr>
        <w:fldChar w:fldCharType="separate"/>
      </w:r>
      <w:r w:rsidR="00034ED5" w:rsidRPr="00034ED5">
        <w:rPr>
          <w:noProof/>
          <w:sz w:val="24"/>
          <w:szCs w:val="24"/>
        </w:rPr>
        <w:t>(16)</w:t>
      </w:r>
      <w:r w:rsidR="00EF2789">
        <w:rPr>
          <w:sz w:val="24"/>
          <w:szCs w:val="24"/>
        </w:rPr>
        <w:fldChar w:fldCharType="end"/>
      </w:r>
      <w:r w:rsidR="00EF2789">
        <w:rPr>
          <w:sz w:val="24"/>
          <w:szCs w:val="24"/>
        </w:rPr>
        <w:t>.</w:t>
      </w:r>
    </w:p>
    <w:p w14:paraId="6BBAAB4D" w14:textId="734A98FD" w:rsidR="00F11603" w:rsidRDefault="00F11603" w:rsidP="00A4217B">
      <w:pPr>
        <w:keepNext/>
        <w:spacing w:line="360" w:lineRule="auto"/>
        <w:jc w:val="both"/>
        <w:rPr>
          <w:sz w:val="24"/>
          <w:szCs w:val="24"/>
        </w:rPr>
      </w:pPr>
      <w:r w:rsidRPr="00F11603">
        <w:rPr>
          <w:sz w:val="24"/>
          <w:szCs w:val="24"/>
        </w:rPr>
        <w:t>En la Ilustración 2 podemos diferenciar los diferentes procesos de centrifugación. Se empieza con la extracción de sangre con anticoagulantes y un centrifugado a baja fuerza, así obtendremos las 3 capas principales: glóbulos rojos, capa leucocítica y PPP, desde la parte más baja del tubo a la más alta respectivamente. Dependiendo de los productos mezclados en el segundo centrifugado podemos lograr dos productos finales; obtendremos PRP Puro si mezclamos la capa leucocitaria y el PPP, o, por otro lado, produciremos L-PRP si combinamos PPP, la capa leucocítica y glóbulos rojos residuales</w:t>
      </w:r>
      <w:r w:rsidR="00A4217B">
        <w:rPr>
          <w:sz w:val="24"/>
          <w:szCs w:val="24"/>
        </w:rPr>
        <w:t>.</w:t>
      </w:r>
    </w:p>
    <w:p w14:paraId="764A30FD" w14:textId="73750642" w:rsidR="008A6E6D" w:rsidRDefault="008A6E6D" w:rsidP="008A6E6D">
      <w:pPr>
        <w:keepNext/>
        <w:spacing w:line="360" w:lineRule="auto"/>
        <w:jc w:val="center"/>
      </w:pPr>
      <w:r w:rsidRPr="006444CE">
        <w:rPr>
          <w:noProof/>
          <w:sz w:val="24"/>
          <w:szCs w:val="24"/>
        </w:rPr>
        <w:drawing>
          <wp:inline distT="0" distB="0" distL="0" distR="0" wp14:anchorId="23D4BAEA" wp14:editId="33135D74">
            <wp:extent cx="43092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9200" cy="2520000"/>
                    </a:xfrm>
                    <a:prstGeom prst="rect">
                      <a:avLst/>
                    </a:prstGeom>
                    <a:noFill/>
                    <a:ln>
                      <a:noFill/>
                    </a:ln>
                  </pic:spPr>
                </pic:pic>
              </a:graphicData>
            </a:graphic>
          </wp:inline>
        </w:drawing>
      </w:r>
    </w:p>
    <w:p w14:paraId="78D6A87C" w14:textId="67180109" w:rsidR="008A6E6D" w:rsidRPr="007E7796" w:rsidRDefault="008A6E6D" w:rsidP="00BA494A">
      <w:pPr>
        <w:pStyle w:val="Descripcin"/>
        <w:spacing w:line="360" w:lineRule="auto"/>
        <w:jc w:val="center"/>
        <w:rPr>
          <w:color w:val="auto"/>
          <w:sz w:val="24"/>
          <w:szCs w:val="24"/>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2</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operties":{"noteIndex":0},"schema":"https://github.com/citation-style-language/schema/raw/master/csl-citation.json"}</w:instrText>
      </w:r>
      <w:r w:rsidR="00A84109">
        <w:rPr>
          <w:color w:val="auto"/>
        </w:rPr>
        <w:fldChar w:fldCharType="separate"/>
      </w:r>
      <w:r w:rsidR="00A84109" w:rsidRPr="00A84109">
        <w:rPr>
          <w:i w:val="0"/>
          <w:noProof/>
          <w:color w:val="auto"/>
        </w:rPr>
        <w:t>(16)</w:t>
      </w:r>
      <w:r w:rsidR="00A84109">
        <w:rPr>
          <w:color w:val="auto"/>
        </w:rPr>
        <w:fldChar w:fldCharType="end"/>
      </w:r>
    </w:p>
    <w:p w14:paraId="6442E2DE" w14:textId="4F51AFF3" w:rsidR="00AC14EF" w:rsidRDefault="00F11603" w:rsidP="00FA028D">
      <w:pPr>
        <w:spacing w:line="360" w:lineRule="auto"/>
        <w:jc w:val="both"/>
        <w:rPr>
          <w:sz w:val="24"/>
          <w:szCs w:val="24"/>
        </w:rPr>
      </w:pPr>
      <w:r w:rsidRPr="00F11603">
        <w:rPr>
          <w:sz w:val="24"/>
          <w:szCs w:val="24"/>
        </w:rPr>
        <w:t xml:space="preserve">Pero en este trabajo nos queremos centrar en el L-PRF concretamente. Este se obtiene mediante el protocolo de PRF del francés </w:t>
      </w:r>
      <w:proofErr w:type="spellStart"/>
      <w:r w:rsidRPr="00F11603">
        <w:rPr>
          <w:sz w:val="24"/>
          <w:szCs w:val="24"/>
        </w:rPr>
        <w:t>Choukroun</w:t>
      </w:r>
      <w:proofErr w:type="spellEnd"/>
      <w:r w:rsidRPr="00F11603">
        <w:rPr>
          <w:sz w:val="24"/>
          <w:szCs w:val="24"/>
        </w:rPr>
        <w:t xml:space="preserve"> quien fue el pionero de la preparación de PRF a principios de este siglo, el L-PRF se considera la segunda generación de concentrado plaquetario. Esta técnica es sencilla y económica, ya que no requiere ni de anticoagulantes, ni de trombina bovina, ni de cloruro cálcico, </w:t>
      </w:r>
      <w:r w:rsidRPr="00F11603">
        <w:rPr>
          <w:sz w:val="24"/>
          <w:szCs w:val="24"/>
        </w:rPr>
        <w:lastRenderedPageBreak/>
        <w:t>simplemente se extrae unos 10 ml de sangre al paciente y se centrifuga inmediatamente a 3.000 rpm, aproximadamente unos 400G, durante 10 minutos. Al no añadir ningún anticoagulante, la muestra de sangre empezará la cascada de coagulación cuando entre en contacto con las paredes del tubo de muestra. En la parte superior del tubo podemos encontrar fibrinógeno sin activar, pero al interactuar con la trombina, esta se transforma en fibrina, por ese motivo, se formará un coágulo de fibrina en la zona media del tubo. En la Ilustración 2 y 3 podemos observar la separación entre las 3 capas y como se ha formado un coágulo de fibrina entre el plasma acelular y los glóbulos rojos</w:t>
      </w:r>
      <w:r>
        <w:rPr>
          <w:sz w:val="24"/>
          <w:szCs w:val="24"/>
        </w:rPr>
        <w:t xml:space="preserve"> </w:t>
      </w:r>
      <w:r w:rsidR="00D31958">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D31958">
        <w:rPr>
          <w:sz w:val="24"/>
          <w:szCs w:val="24"/>
        </w:rPr>
        <w:fldChar w:fldCharType="separate"/>
      </w:r>
      <w:r w:rsidR="00034ED5" w:rsidRPr="00034ED5">
        <w:rPr>
          <w:noProof/>
          <w:sz w:val="24"/>
          <w:szCs w:val="24"/>
        </w:rPr>
        <w:t>(17)</w:t>
      </w:r>
      <w:r w:rsidR="00D31958">
        <w:rPr>
          <w:sz w:val="24"/>
          <w:szCs w:val="24"/>
        </w:rPr>
        <w:fldChar w:fldCharType="end"/>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E93760">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E93760">
        <w:rPr>
          <w:sz w:val="24"/>
          <w:szCs w:val="24"/>
        </w:rPr>
        <w:fldChar w:fldCharType="separate"/>
      </w:r>
      <w:r w:rsidR="00034ED5" w:rsidRPr="00034ED5">
        <w:rPr>
          <w:noProof/>
          <w:sz w:val="24"/>
          <w:szCs w:val="24"/>
        </w:rPr>
        <w:t>(19)</w:t>
      </w:r>
      <w:r w:rsidR="00E93760">
        <w:rPr>
          <w:sz w:val="24"/>
          <w:szCs w:val="24"/>
        </w:rPr>
        <w:fldChar w:fldCharType="end"/>
      </w:r>
      <w:r w:rsidR="00D31958">
        <w:rPr>
          <w:sz w:val="24"/>
          <w:szCs w:val="24"/>
        </w:rPr>
        <w:t>.</w:t>
      </w:r>
    </w:p>
    <w:p w14:paraId="60A1C83B" w14:textId="77777777" w:rsidR="00867B48" w:rsidRPr="00174004" w:rsidRDefault="00867B48" w:rsidP="00FA028D">
      <w:pPr>
        <w:spacing w:line="360" w:lineRule="auto"/>
        <w:jc w:val="both"/>
        <w:rPr>
          <w:sz w:val="24"/>
          <w:szCs w:val="24"/>
        </w:rPr>
      </w:pPr>
    </w:p>
    <w:p w14:paraId="5600B6A2" w14:textId="52929123" w:rsidR="00174004" w:rsidRDefault="00174004" w:rsidP="00174004">
      <w:pPr>
        <w:keepNext/>
        <w:spacing w:line="360" w:lineRule="auto"/>
        <w:jc w:val="both"/>
      </w:pPr>
      <w:r>
        <w:rPr>
          <w:noProof/>
        </w:rPr>
        <mc:AlternateContent>
          <mc:Choice Requires="wps">
            <w:drawing>
              <wp:anchor distT="0" distB="0" distL="114300" distR="114300" simplePos="0" relativeHeight="251660288" behindDoc="1" locked="0" layoutInCell="1" allowOverlap="1" wp14:anchorId="5BD6E001" wp14:editId="70B0B2E1">
                <wp:simplePos x="0" y="0"/>
                <wp:positionH relativeFrom="column">
                  <wp:posOffset>2419350</wp:posOffset>
                </wp:positionH>
                <wp:positionV relativeFrom="paragraph">
                  <wp:posOffset>2593340</wp:posOffset>
                </wp:positionV>
                <wp:extent cx="334073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6E001" id="Cuadro de texto 6" o:spid="_x0000_s1028" type="#_x0000_t202" style="position:absolute;left:0;text-align:left;margin-left:190.5pt;margin-top:204.2pt;width:26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sMwIAAGs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" stroked="f">
                <v:textbox style="mso-fit-shape-to-text:t" inset="0,0,0,0">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v:textbox>
              </v:shape>
            </w:pict>
          </mc:Fallback>
        </mc:AlternateContent>
      </w:r>
      <w:r w:rsidRPr="00D17D42">
        <w:rPr>
          <w:noProof/>
          <w:sz w:val="24"/>
          <w:szCs w:val="24"/>
        </w:rPr>
        <w:drawing>
          <wp:anchor distT="0" distB="0" distL="114300" distR="114300" simplePos="0" relativeHeight="251658240" behindDoc="1" locked="0" layoutInCell="1" allowOverlap="1" wp14:anchorId="580ED62D" wp14:editId="22F1F51C">
            <wp:simplePos x="0" y="0"/>
            <wp:positionH relativeFrom="margin">
              <wp:posOffset>2419985</wp:posOffset>
            </wp:positionH>
            <wp:positionV relativeFrom="paragraph">
              <wp:posOffset>14605</wp:posOffset>
            </wp:positionV>
            <wp:extent cx="3340735" cy="2519680"/>
            <wp:effectExtent l="0" t="0" r="0" b="0"/>
            <wp:wrapThrough wrapText="bothSides">
              <wp:wrapPolygon edited="0">
                <wp:start x="0" y="0"/>
                <wp:lineTo x="0" y="21393"/>
                <wp:lineTo x="21432" y="21393"/>
                <wp:lineTo x="214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447" b="50172"/>
                    <a:stretch/>
                  </pic:blipFill>
                  <pic:spPr bwMode="auto">
                    <a:xfrm>
                      <a:off x="0" y="0"/>
                      <a:ext cx="334073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4EF" w:rsidRPr="00D17D42">
        <w:rPr>
          <w:noProof/>
          <w:sz w:val="24"/>
          <w:szCs w:val="24"/>
        </w:rPr>
        <w:drawing>
          <wp:inline distT="0" distB="0" distL="0" distR="0" wp14:anchorId="2C1C8E7C" wp14:editId="78F2EEEF">
            <wp:extent cx="1663200"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200" cy="2520000"/>
                    </a:xfrm>
                    <a:prstGeom prst="rect">
                      <a:avLst/>
                    </a:prstGeom>
                    <a:noFill/>
                    <a:ln>
                      <a:noFill/>
                    </a:ln>
                  </pic:spPr>
                </pic:pic>
              </a:graphicData>
            </a:graphic>
          </wp:inline>
        </w:drawing>
      </w:r>
    </w:p>
    <w:p w14:paraId="07690E24" w14:textId="5CA505E0" w:rsidR="00867B48" w:rsidRPr="00BA494A" w:rsidRDefault="00174004" w:rsidP="00B40FA3">
      <w:pPr>
        <w:pStyle w:val="Descripcin"/>
        <w:spacing w:line="360" w:lineRule="auto"/>
        <w:rPr>
          <w:color w:val="auto"/>
          <w:sz w:val="22"/>
          <w:szCs w:val="22"/>
        </w:rPr>
      </w:pPr>
      <w:r w:rsidRPr="007E7796">
        <w:rPr>
          <w:color w:val="auto"/>
        </w:rPr>
        <w:t xml:space="preserve">Ilustración 2 </w:t>
      </w:r>
      <w:r w:rsidRPr="007E7796">
        <w:rPr>
          <w:color w:val="auto"/>
        </w:rPr>
        <w:fldChar w:fldCharType="begin" w:fldLock="1"/>
      </w:r>
      <w:r w:rsidR="00A84109">
        <w:rPr>
          <w:color w:val="auto"/>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Pr="007E7796">
        <w:rPr>
          <w:color w:val="auto"/>
        </w:rPr>
        <w:fldChar w:fldCharType="separate"/>
      </w:r>
      <w:r w:rsidR="00034ED5" w:rsidRPr="00034ED5">
        <w:rPr>
          <w:i w:val="0"/>
          <w:noProof/>
          <w:color w:val="auto"/>
        </w:rPr>
        <w:t>(17)</w:t>
      </w:r>
      <w:r w:rsidRPr="007E7796">
        <w:rPr>
          <w:color w:val="auto"/>
        </w:rPr>
        <w:fldChar w:fldCharType="end"/>
      </w:r>
    </w:p>
    <w:p w14:paraId="32B157A4" w14:textId="0A1E7176" w:rsidR="00D31958" w:rsidRDefault="00F11603" w:rsidP="000C084C">
      <w:pPr>
        <w:spacing w:line="360" w:lineRule="auto"/>
        <w:jc w:val="both"/>
        <w:rPr>
          <w:sz w:val="24"/>
          <w:szCs w:val="24"/>
        </w:rPr>
      </w:pPr>
      <w:r w:rsidRPr="00F11603">
        <w:rPr>
          <w:sz w:val="24"/>
          <w:szCs w:val="24"/>
        </w:rPr>
        <w:t xml:space="preserve">Esta sencilla y modesta técnica depende, esencialmente, del tiempo que se tarda entre la recolección de la muestra de sangre y llevarla a la centrifugadora, dado que, sin ningún anticoagulante añadido previamente, la muestra empezará a coagular en el momento que entre en contacto con las paredes del tubo de muestra </w:t>
      </w:r>
      <w:r w:rsidR="0021772C">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21772C">
        <w:rPr>
          <w:sz w:val="24"/>
          <w:szCs w:val="24"/>
        </w:rPr>
        <w:fldChar w:fldCharType="separate"/>
      </w:r>
      <w:r w:rsidR="00034ED5" w:rsidRPr="00034ED5">
        <w:rPr>
          <w:noProof/>
          <w:sz w:val="24"/>
          <w:szCs w:val="24"/>
        </w:rPr>
        <w:t>(17)</w:t>
      </w:r>
      <w:r w:rsidR="0021772C">
        <w:rPr>
          <w:sz w:val="24"/>
          <w:szCs w:val="24"/>
        </w:rPr>
        <w:fldChar w:fldCharType="end"/>
      </w:r>
      <w:r w:rsidR="0021772C">
        <w:rPr>
          <w:sz w:val="24"/>
          <w:szCs w:val="24"/>
        </w:rPr>
        <w:t xml:space="preserve">. </w:t>
      </w:r>
    </w:p>
    <w:p w14:paraId="24D873D0" w14:textId="40F31A74" w:rsidR="00BA5642" w:rsidRDefault="00F11603" w:rsidP="00FA028D">
      <w:pPr>
        <w:spacing w:line="360" w:lineRule="auto"/>
        <w:jc w:val="both"/>
        <w:rPr>
          <w:sz w:val="24"/>
          <w:szCs w:val="24"/>
        </w:rPr>
      </w:pPr>
      <w:r w:rsidRPr="00F11603">
        <w:rPr>
          <w:sz w:val="24"/>
          <w:szCs w:val="24"/>
        </w:rPr>
        <w:t xml:space="preserve">La estructura trimolecular L-PRF está compuesta mayoritariamente de una densa matriz de fibrina que permite un entramado de plaquetas, leucocitos, y células madre. Estas liberarán proteínas tales como proteínas adhesivas, citoquinas, quimiocinas, factores de la coagulación, proteínas antimicrobianas, glicoproteínas (fibronectina y </w:t>
      </w:r>
      <w:proofErr w:type="spellStart"/>
      <w:r w:rsidRPr="00F11603">
        <w:rPr>
          <w:sz w:val="24"/>
          <w:szCs w:val="24"/>
        </w:rPr>
        <w:t>vitronectina</w:t>
      </w:r>
      <w:proofErr w:type="spellEnd"/>
      <w:r w:rsidRPr="00F11603">
        <w:rPr>
          <w:sz w:val="24"/>
          <w:szCs w:val="24"/>
        </w:rPr>
        <w:t xml:space="preserve">), proteasas y </w:t>
      </w:r>
      <w:proofErr w:type="spellStart"/>
      <w:r w:rsidRPr="00F11603">
        <w:rPr>
          <w:sz w:val="24"/>
          <w:szCs w:val="24"/>
        </w:rPr>
        <w:t>antiproteasas</w:t>
      </w:r>
      <w:proofErr w:type="spellEnd"/>
      <w:r w:rsidRPr="00F11603">
        <w:rPr>
          <w:sz w:val="24"/>
          <w:szCs w:val="24"/>
        </w:rPr>
        <w:t xml:space="preserve">, condroitina, albúmina, inmunoglobulinas, factor plaquetario, la β </w:t>
      </w:r>
      <w:proofErr w:type="spellStart"/>
      <w:r w:rsidRPr="00F11603">
        <w:rPr>
          <w:sz w:val="24"/>
          <w:szCs w:val="24"/>
        </w:rPr>
        <w:t>tromboglobulina</w:t>
      </w:r>
      <w:proofErr w:type="spellEnd"/>
      <w:r w:rsidRPr="00F11603">
        <w:rPr>
          <w:sz w:val="24"/>
          <w:szCs w:val="24"/>
        </w:rPr>
        <w:t xml:space="preserve"> y </w:t>
      </w:r>
      <w:proofErr w:type="spellStart"/>
      <w:r w:rsidRPr="00F11603">
        <w:rPr>
          <w:sz w:val="24"/>
          <w:szCs w:val="24"/>
        </w:rPr>
        <w:t>endostatinas</w:t>
      </w:r>
      <w:proofErr w:type="spellEnd"/>
      <w:r w:rsidRPr="00F11603">
        <w:rPr>
          <w:sz w:val="24"/>
          <w:szCs w:val="24"/>
        </w:rPr>
        <w:t xml:space="preserve">.  Sin olvidar también factores de crecimiento derivados de las plaquetas, factor de crecimiento transformante β1, y factores de </w:t>
      </w:r>
      <w:r w:rsidRPr="00F11603">
        <w:rPr>
          <w:sz w:val="24"/>
          <w:szCs w:val="24"/>
        </w:rPr>
        <w:lastRenderedPageBreak/>
        <w:t xml:space="preserve">crecimiento endotelial vascular, que ayudan a la cicatrización gracias a que promueve la angiogénesis y la proliferación celular de diferentes células como fibroblastos, osteoblastos, adipocitos y queratinocitos. Estos elementos son liberados lentamente en un periodo de 7 días aproximadamente </w:t>
      </w:r>
      <w:r w:rsidR="008609E3">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8609E3">
        <w:rPr>
          <w:sz w:val="24"/>
          <w:szCs w:val="24"/>
        </w:rPr>
        <w:fldChar w:fldCharType="separate"/>
      </w:r>
      <w:r w:rsidR="00034ED5" w:rsidRPr="00034ED5">
        <w:rPr>
          <w:noProof/>
          <w:sz w:val="24"/>
          <w:szCs w:val="24"/>
        </w:rPr>
        <w:t>(19)</w:t>
      </w:r>
      <w:r w:rsidR="008609E3">
        <w:rPr>
          <w:sz w:val="24"/>
          <w:szCs w:val="24"/>
        </w:rPr>
        <w:fldChar w:fldCharType="end"/>
      </w:r>
      <w:r w:rsidR="009D2F47">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9D2F47">
        <w:rPr>
          <w:sz w:val="24"/>
          <w:szCs w:val="24"/>
        </w:rPr>
        <w:fldChar w:fldCharType="separate"/>
      </w:r>
      <w:r w:rsidR="00034ED5" w:rsidRPr="00034ED5">
        <w:rPr>
          <w:noProof/>
          <w:sz w:val="24"/>
          <w:szCs w:val="24"/>
        </w:rPr>
        <w:t>(20)</w:t>
      </w:r>
      <w:r w:rsidR="009D2F47">
        <w:rPr>
          <w:sz w:val="24"/>
          <w:szCs w:val="24"/>
        </w:rPr>
        <w:fldChar w:fldCharType="end"/>
      </w:r>
      <w:r w:rsidR="001566C5">
        <w:rPr>
          <w:sz w:val="24"/>
          <w:szCs w:val="24"/>
        </w:rPr>
        <w:fldChar w:fldCharType="begin" w:fldLock="1"/>
      </w:r>
      <w:r w:rsidR="00A84109">
        <w:rPr>
          <w:sz w:val="24"/>
          <w:szCs w:val="24"/>
        </w:rPr>
        <w:instrText>ADDIN CSL_CITATION {"citationItems":[{"id":"ITEM-1","itemData":{"abstract":"RESUMEN Introducción: múltiples han sido las aplicaciones de los concentrados plaquetarios; recientemente se destacan sus beneficios como sustratos básicos para la obtención de biomateriales, por lo que resulta prometedor este nuevo uso que exige, de forma razonable, la delimitación de sus indicaciones y una mejor comprensión de los procesos biológicos que conducen a la regeneración. Objetivo: exponer las ventajas que, desde la evidencia, muestra la fibrina rica en plaquetas y leucocitos, biomaterial autólogo utilizado en la regeneración tisular. Método: la búsqueda especializada de la bibliografía se realizó entre los meses de octubre y noviembre de 2017; se seleccionaron los artículos más destacados en prestigiosas bases de datos, de los cuales el 90 %, fueron publicados en los últimos cinco años. Conclusiones: la regeneración tisular tiene en la fibrina rica en plaquetas y leucocitos, un biomaterial que está mostrando, desde la evidencia, su pertinencia de aplicación multidisciplinaria. Sus ventajas abarcan desde su esencia autóloga, hasta las sencillas y rápidas vías para su obtención. El estado actual del conocimiento en este campo transdisciplinario sugiere el diseño de nuevas investigaciones que permitan reforzar su cuerpo de evidencias, y establecer un adecuado marco regulatorio para su uso. ABSTRACT Introduction: platelet concentrates have had multiple uses; their benefits are recently highlighted as basic substrates for obtaining biomaterials that is why this new use results promising as they require, in a reasonable way, the delimitation of their indications, as well as, a better comprehension of the biological processes that lead to regeneration. Objective: to present the advantages that, based on the evidence, show leukocyte-and platelet-rich fibrin, as an autologous biomaterial used in tissue regeneration. Methods: the specialized bibliographic search was conducted between October and November 2017 where the most outstanding articles from prestigious databases were selected; 90 % of them were published in the last five years.","author":[{"dropping-particle":"","family":"Antonio","given":"Manuel","non-dropping-particle":"","parse-names":false,"suffix":""},{"dropping-particle":"","family":"González","given":"Arce","non-dropping-particle":"","parse-names":false,"suffix":""},{"dropping-particle":"","family":"Marina","given":"Alba","non-dropping-particle":"","parse-names":false,"suffix":""},{"dropping-particle":"","family":"Suárez","given":"Díaz","non-dropping-particle":"","parse-names":false,"suffix":""},{"dropping-particle":"","family":"Hernández","given":"Mireisy Díaz","non-dropping-particle":"","parse-names":false,"suffix":""},{"dropping-particle":"","family":"José","given":"Vicente","non-dropping-particle":"","parse-names":false,"suffix":""}],"container-title":"Medicentro Electrónica","id":"ITEM-1","issue":"1","issued":{"date-parts":[["2018"]]},"page":"19-26","title":"Fibrina rica en plaquetas y leucocitos: biomaterial autólogo excelente para la regeneración tisular","type":"article-journal","volume":"22"},"uris":["http://www.mendeley.com/documents/?uuid=9a2a91b5-eaa8-4257-9216-a6fd70bc31a2"]}],"mendeley":{"formattedCitation":"(21)","plainTextFormattedCitation":"(21)","previouslyFormattedCitation":"(21)"},"properties":{"noteIndex":0},"schema":"https://github.com/citation-style-language/schema/raw/master/csl-citation.json"}</w:instrText>
      </w:r>
      <w:r w:rsidR="001566C5">
        <w:rPr>
          <w:sz w:val="24"/>
          <w:szCs w:val="24"/>
        </w:rPr>
        <w:fldChar w:fldCharType="separate"/>
      </w:r>
      <w:r w:rsidR="00034ED5" w:rsidRPr="00034ED5">
        <w:rPr>
          <w:noProof/>
          <w:sz w:val="24"/>
          <w:szCs w:val="24"/>
        </w:rPr>
        <w:t>(21)</w:t>
      </w:r>
      <w:r w:rsidR="001566C5">
        <w:rPr>
          <w:sz w:val="24"/>
          <w:szCs w:val="24"/>
        </w:rPr>
        <w:fldChar w:fldCharType="end"/>
      </w:r>
      <w:r w:rsidR="009D2F47">
        <w:rPr>
          <w:sz w:val="24"/>
          <w:szCs w:val="24"/>
        </w:rPr>
        <w:t>.</w:t>
      </w:r>
    </w:p>
    <w:p w14:paraId="04005063" w14:textId="68CC5E1D" w:rsidR="00FA028D" w:rsidRPr="00FA028D" w:rsidRDefault="006C2584" w:rsidP="00FA028D">
      <w:pPr>
        <w:spacing w:line="360" w:lineRule="auto"/>
        <w:jc w:val="both"/>
        <w:rPr>
          <w:sz w:val="24"/>
          <w:szCs w:val="24"/>
        </w:rPr>
      </w:pPr>
      <w:r w:rsidRPr="006C2584">
        <w:rPr>
          <w:sz w:val="24"/>
          <w:szCs w:val="24"/>
        </w:rPr>
        <w:t xml:space="preserve">Se ha podido comprobar que mejora la curación de los tejidos blandos en elevaciones de senos y preservación alveolar, ayuda a reducir la inflamación postoperatoria y la sensación de dolor del paciente. Se emplea en tratamientos como afectaciones de </w:t>
      </w:r>
      <w:proofErr w:type="spellStart"/>
      <w:r w:rsidRPr="006C2584">
        <w:rPr>
          <w:sz w:val="24"/>
          <w:szCs w:val="24"/>
        </w:rPr>
        <w:t>furca</w:t>
      </w:r>
      <w:proofErr w:type="spellEnd"/>
      <w:r w:rsidRPr="006C2584">
        <w:rPr>
          <w:sz w:val="24"/>
          <w:szCs w:val="24"/>
        </w:rPr>
        <w:t xml:space="preserve">, defectos intraóseos y recesiones periodontales, cierre de comunicaciones oro-sinusales, como membrana en implantología o en exodoncias. Ayuda a prevenir el riesgo de infección gracias a su habilidad de modular la fagocitosis y la degradación enzimática de los neutrófilos que junto con los macrófagos eliminan bacterias y tejido necrótico. Sin embargo, también se cree que la evidencia científica es aún limitada y se debería seguir investigando </w:t>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FA028D">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FA028D">
        <w:rPr>
          <w:sz w:val="24"/>
          <w:szCs w:val="24"/>
        </w:rPr>
        <w:fldChar w:fldCharType="separate"/>
      </w:r>
      <w:r w:rsidR="00034ED5" w:rsidRPr="00034ED5">
        <w:rPr>
          <w:noProof/>
          <w:sz w:val="24"/>
          <w:szCs w:val="24"/>
        </w:rPr>
        <w:t>(20)</w:t>
      </w:r>
      <w:r w:rsidR="00FA028D">
        <w:rPr>
          <w:sz w:val="24"/>
          <w:szCs w:val="24"/>
        </w:rPr>
        <w:fldChar w:fldCharType="end"/>
      </w:r>
      <w:r w:rsidR="0059249C">
        <w:rPr>
          <w:sz w:val="24"/>
          <w:szCs w:val="24"/>
        </w:rPr>
        <w:fldChar w:fldCharType="begin" w:fldLock="1"/>
      </w:r>
      <w:r w:rsidR="00A84109">
        <w:rPr>
          <w:sz w:val="24"/>
          <w:szCs w:val="24"/>
        </w:rPr>
        <w:instrText>ADDIN CSL_CITATION {"citationItems":[{"id":"ITEM-1","itemData":{"DOI":"10.1016/j.cden.2019.12.012","ISSN":"15580512","PMID":"32111269","abstract":"Platelet-rich fibrin (PRF) is an autogenous material that is derived from a person's own platelets and is used to enhance wound healing and tissue regeneration. Platelet concentrates have been applied in dermatology, pain management, sports medicine, plastic surgery, cardiac surgery, urology, and also dentistry. PRF has garnered significant interest in the dental community because of its proposed regenerative properties and its ability to aid in wound healing. PRF is proposed to have a direct effect on enhancing a patient's wound healing by suprasaturating the wound with growth factors that promote tissue healing. Clinically, PRF is easily produced chairside from the patient's own blood. The autologous nature of PRF makes it preferred over a variety of allografts used in dentistry today. Therefore, PRF has significant potential in being applicable to all areas of dentistry, including oral and maxillofacial surgeries.","author":[{"dropping-particle":"","family":"Fan","given":"Yijao","non-dropping-particle":"","parse-names":false,"suffix":""},{"dropping-particle":"","family":"Perez","given":"Karla","non-dropping-particle":"","parse-names":false,"suffix":""},{"dropping-particle":"","family":"Dym","given":"Harry","non-dropping-particle":"","parse-names":false,"suffix":""}],"container-title":"Dental Clinics of North America","id":"ITEM-1","issue":"2","issued":{"date-parts":[["2020"]]},"page":"291-303","publisher":"Elsevier Inc","title":"Clinical Uses of Platelet-Rich Fibrin in Oral and Maxillofacial Surgery","type":"article-journal","volume":"64"},"uris":["http://www.mendeley.com/documents/?uuid=efe46a58-1f10-4d32-9f68-1c9e53013f94"]}],"mendeley":{"formattedCitation":"(22)","plainTextFormattedCitation":"(22)","previouslyFormattedCitation":"(22)"},"properties":{"noteIndex":0},"schema":"https://github.com/citation-style-language/schema/raw/master/csl-citation.json"}</w:instrText>
      </w:r>
      <w:r w:rsidR="0059249C">
        <w:rPr>
          <w:sz w:val="24"/>
          <w:szCs w:val="24"/>
        </w:rPr>
        <w:fldChar w:fldCharType="separate"/>
      </w:r>
      <w:r w:rsidR="00034ED5" w:rsidRPr="00034ED5">
        <w:rPr>
          <w:noProof/>
          <w:sz w:val="24"/>
          <w:szCs w:val="24"/>
        </w:rPr>
        <w:t>(22)</w:t>
      </w:r>
      <w:r w:rsidR="0059249C">
        <w:rPr>
          <w:sz w:val="24"/>
          <w:szCs w:val="24"/>
        </w:rPr>
        <w:fldChar w:fldCharType="end"/>
      </w:r>
      <w:r w:rsidR="00FA028D" w:rsidRPr="00FA028D">
        <w:rPr>
          <w:sz w:val="24"/>
          <w:szCs w:val="24"/>
        </w:rPr>
        <w:t>.</w:t>
      </w:r>
    </w:p>
    <w:p w14:paraId="55340D7F" w14:textId="466BC049" w:rsidR="00D17D42" w:rsidRDefault="006C2584" w:rsidP="00FA028D">
      <w:pPr>
        <w:spacing w:line="360" w:lineRule="auto"/>
        <w:jc w:val="both"/>
        <w:rPr>
          <w:sz w:val="24"/>
          <w:szCs w:val="24"/>
        </w:rPr>
      </w:pPr>
      <w:r w:rsidRPr="006C2584">
        <w:rPr>
          <w:sz w:val="24"/>
          <w:szCs w:val="24"/>
        </w:rPr>
        <w:t>Es por ello que, con este trabajo, se pretende diseñar un protocolo de estudio para evaluar la influencia en la morbilidad después de la utilización de un coágulo de L-PRF en el alveolo en los pacientes tras una extracción dental en vista de todo lo mencionado anteriormente</w:t>
      </w:r>
      <w:r w:rsidR="00FA028D" w:rsidRPr="00FA028D">
        <w:rPr>
          <w:sz w:val="24"/>
          <w:szCs w:val="24"/>
        </w:rPr>
        <w:t>.</w:t>
      </w:r>
    </w:p>
    <w:p w14:paraId="1BB655AB" w14:textId="37B59812" w:rsidR="00E1710C" w:rsidRDefault="00E1710C" w:rsidP="000C084C">
      <w:pPr>
        <w:spacing w:line="360" w:lineRule="auto"/>
        <w:jc w:val="both"/>
        <w:rPr>
          <w:sz w:val="24"/>
          <w:szCs w:val="24"/>
        </w:rPr>
      </w:pPr>
    </w:p>
    <w:p w14:paraId="4735BE74" w14:textId="77777777" w:rsidR="00B40FA3" w:rsidRDefault="00B40FA3" w:rsidP="00B40FA3">
      <w:pPr>
        <w:sectPr w:rsidR="00B40FA3" w:rsidSect="00405542">
          <w:headerReference w:type="default" r:id="rId17"/>
          <w:headerReference w:type="first" r:id="rId18"/>
          <w:pgSz w:w="11906" w:h="16838"/>
          <w:pgMar w:top="1417" w:right="1701" w:bottom="1417" w:left="1701" w:header="708" w:footer="708" w:gutter="0"/>
          <w:cols w:space="708"/>
          <w:titlePg/>
          <w:docGrid w:linePitch="360"/>
        </w:sectPr>
      </w:pPr>
      <w:bookmarkStart w:id="4" w:name="_Toc58171762"/>
    </w:p>
    <w:p w14:paraId="649D247F" w14:textId="58762351" w:rsidR="00BF59CE" w:rsidRPr="00B40FA3" w:rsidRDefault="00BF59CE" w:rsidP="00B40FA3">
      <w:pPr>
        <w:pStyle w:val="Ttulo1"/>
        <w:spacing w:after="240" w:line="360" w:lineRule="auto"/>
        <w:jc w:val="both"/>
        <w:rPr>
          <w:color w:val="auto"/>
          <w:sz w:val="24"/>
          <w:szCs w:val="24"/>
        </w:rPr>
      </w:pPr>
      <w:r w:rsidRPr="00B40FA3">
        <w:rPr>
          <w:color w:val="auto"/>
        </w:rPr>
        <w:lastRenderedPageBreak/>
        <w:t>Objetivos</w:t>
      </w:r>
      <w:bookmarkEnd w:id="4"/>
    </w:p>
    <w:p w14:paraId="645965DD" w14:textId="46CF5E14" w:rsidR="00BF59CE" w:rsidRPr="00FB5BBD" w:rsidRDefault="00D74229" w:rsidP="00FA028D">
      <w:pPr>
        <w:spacing w:before="240" w:line="360" w:lineRule="auto"/>
        <w:jc w:val="both"/>
        <w:rPr>
          <w:sz w:val="24"/>
          <w:szCs w:val="24"/>
        </w:rPr>
      </w:pPr>
      <w:r w:rsidRPr="00FB5BBD">
        <w:rPr>
          <w:sz w:val="24"/>
          <w:szCs w:val="24"/>
        </w:rPr>
        <w:t xml:space="preserve">Este trabajo de final de carrera tiene como objetivo principal diseñar un estudio para </w:t>
      </w:r>
      <w:r w:rsidR="00576C78" w:rsidRPr="00FB5BBD">
        <w:rPr>
          <w:sz w:val="24"/>
          <w:szCs w:val="24"/>
        </w:rPr>
        <w:t>evaluar</w:t>
      </w:r>
      <w:r w:rsidRPr="00FB5BBD">
        <w:rPr>
          <w:sz w:val="24"/>
          <w:szCs w:val="24"/>
        </w:rPr>
        <w:t xml:space="preserve"> la morbilidad de los pacientes </w:t>
      </w:r>
      <w:r w:rsidR="00576C78" w:rsidRPr="00FB5BBD">
        <w:rPr>
          <w:sz w:val="24"/>
          <w:szCs w:val="24"/>
        </w:rPr>
        <w:t>después de una</w:t>
      </w:r>
      <w:r w:rsidRPr="00FB5BBD">
        <w:rPr>
          <w:sz w:val="24"/>
          <w:szCs w:val="24"/>
        </w:rPr>
        <w:t xml:space="preserve"> extracción sencilla habiendo aplicado </w:t>
      </w:r>
      <w:r w:rsidR="00B73344">
        <w:rPr>
          <w:sz w:val="24"/>
          <w:szCs w:val="24"/>
        </w:rPr>
        <w:t>Fibrina Rica en Plaquetas y Leucocitos (L-PRF)</w:t>
      </w:r>
      <w:r w:rsidRPr="00FB5BBD">
        <w:rPr>
          <w:sz w:val="24"/>
          <w:szCs w:val="24"/>
        </w:rPr>
        <w:t>.</w:t>
      </w:r>
    </w:p>
    <w:p w14:paraId="6FD22599" w14:textId="7A7E1069" w:rsidR="00D74229" w:rsidRPr="00FB5BBD" w:rsidRDefault="00D74229" w:rsidP="00FA028D">
      <w:pPr>
        <w:spacing w:before="240" w:line="360" w:lineRule="auto"/>
        <w:jc w:val="both"/>
        <w:rPr>
          <w:sz w:val="24"/>
          <w:szCs w:val="24"/>
        </w:rPr>
      </w:pPr>
      <w:r w:rsidRPr="00FB5BBD">
        <w:rPr>
          <w:sz w:val="24"/>
          <w:szCs w:val="24"/>
        </w:rPr>
        <w:t>Como objetivos específicos:</w:t>
      </w:r>
    </w:p>
    <w:p w14:paraId="0C09F6D7" w14:textId="0975E2E9" w:rsidR="00334C83" w:rsidRPr="00334C83" w:rsidRDefault="00D74229" w:rsidP="0059249C">
      <w:pPr>
        <w:pStyle w:val="Prrafodelista"/>
        <w:numPr>
          <w:ilvl w:val="0"/>
          <w:numId w:val="2"/>
        </w:numPr>
        <w:spacing w:line="360" w:lineRule="auto"/>
        <w:jc w:val="both"/>
        <w:rPr>
          <w:sz w:val="24"/>
          <w:szCs w:val="24"/>
        </w:rPr>
      </w:pPr>
      <w:r w:rsidRPr="00FB5BBD">
        <w:rPr>
          <w:sz w:val="24"/>
          <w:szCs w:val="24"/>
        </w:rPr>
        <w:t>Aprender sobre el plasma rico en plaquetas y sus utilidades clínicas</w:t>
      </w:r>
      <w:r w:rsidR="00334C83">
        <w:rPr>
          <w:sz w:val="24"/>
          <w:szCs w:val="24"/>
        </w:rPr>
        <w:t>.</w:t>
      </w:r>
    </w:p>
    <w:p w14:paraId="1B3FD781" w14:textId="0E6B8E3E" w:rsidR="00B73344" w:rsidRPr="00FB5BBD" w:rsidRDefault="00B73344" w:rsidP="0059249C">
      <w:pPr>
        <w:pStyle w:val="Prrafodelista"/>
        <w:numPr>
          <w:ilvl w:val="0"/>
          <w:numId w:val="2"/>
        </w:numPr>
        <w:spacing w:line="360" w:lineRule="auto"/>
        <w:jc w:val="both"/>
        <w:rPr>
          <w:sz w:val="24"/>
          <w:szCs w:val="24"/>
        </w:rPr>
      </w:pPr>
      <w:r w:rsidRPr="00FB5BBD">
        <w:rPr>
          <w:sz w:val="24"/>
          <w:szCs w:val="24"/>
        </w:rPr>
        <w:t xml:space="preserve">Aprender sobre </w:t>
      </w:r>
      <w:r>
        <w:rPr>
          <w:sz w:val="24"/>
          <w:szCs w:val="24"/>
        </w:rPr>
        <w:t xml:space="preserve">la fibrina </w:t>
      </w:r>
      <w:r w:rsidRPr="00FB5BBD">
        <w:rPr>
          <w:sz w:val="24"/>
          <w:szCs w:val="24"/>
        </w:rPr>
        <w:t>ric</w:t>
      </w:r>
      <w:r>
        <w:rPr>
          <w:sz w:val="24"/>
          <w:szCs w:val="24"/>
        </w:rPr>
        <w:t>a</w:t>
      </w:r>
      <w:r w:rsidRPr="00FB5BBD">
        <w:rPr>
          <w:sz w:val="24"/>
          <w:szCs w:val="24"/>
        </w:rPr>
        <w:t xml:space="preserve"> en plaquetas y sus utilidades clínicas</w:t>
      </w:r>
      <w:r w:rsidR="00334C83">
        <w:rPr>
          <w:sz w:val="24"/>
          <w:szCs w:val="24"/>
        </w:rPr>
        <w:t>.</w:t>
      </w:r>
    </w:p>
    <w:p w14:paraId="48034731" w14:textId="4F3C999E" w:rsidR="00D74229" w:rsidRPr="00FB5BBD" w:rsidRDefault="00D74229" w:rsidP="0059249C">
      <w:pPr>
        <w:pStyle w:val="Prrafodelista"/>
        <w:numPr>
          <w:ilvl w:val="0"/>
          <w:numId w:val="2"/>
        </w:numPr>
        <w:spacing w:line="360" w:lineRule="auto"/>
        <w:jc w:val="both"/>
        <w:rPr>
          <w:sz w:val="24"/>
          <w:szCs w:val="24"/>
        </w:rPr>
      </w:pPr>
      <w:r w:rsidRPr="00FB5BBD">
        <w:rPr>
          <w:sz w:val="24"/>
          <w:szCs w:val="24"/>
        </w:rPr>
        <w:t>Diferenciar entre PRP y PRFC</w:t>
      </w:r>
      <w:r w:rsidR="00334C83">
        <w:rPr>
          <w:sz w:val="24"/>
          <w:szCs w:val="24"/>
        </w:rPr>
        <w:t>.</w:t>
      </w:r>
    </w:p>
    <w:p w14:paraId="16D5794F" w14:textId="77777777" w:rsidR="0059249C" w:rsidRDefault="005A614F" w:rsidP="0059249C">
      <w:pPr>
        <w:pStyle w:val="Prrafodelista"/>
        <w:numPr>
          <w:ilvl w:val="0"/>
          <w:numId w:val="2"/>
        </w:numPr>
        <w:spacing w:line="360" w:lineRule="auto"/>
        <w:jc w:val="both"/>
        <w:rPr>
          <w:sz w:val="24"/>
          <w:szCs w:val="24"/>
        </w:rPr>
      </w:pPr>
      <w:r w:rsidRPr="00FB5BBD">
        <w:rPr>
          <w:sz w:val="24"/>
          <w:szCs w:val="24"/>
        </w:rPr>
        <w:t>Estudiar el proceso de cicatrización de un alveolo después de una extracción</w:t>
      </w:r>
      <w:r w:rsidR="00334C83">
        <w:rPr>
          <w:sz w:val="24"/>
          <w:szCs w:val="24"/>
        </w:rPr>
        <w:t>.</w:t>
      </w:r>
    </w:p>
    <w:p w14:paraId="0F980551" w14:textId="6CC2D196" w:rsidR="005A614F" w:rsidRPr="0059249C" w:rsidRDefault="005A614F" w:rsidP="0059249C">
      <w:pPr>
        <w:pStyle w:val="Prrafodelista"/>
        <w:numPr>
          <w:ilvl w:val="0"/>
          <w:numId w:val="2"/>
        </w:numPr>
        <w:spacing w:line="360" w:lineRule="auto"/>
        <w:jc w:val="both"/>
        <w:rPr>
          <w:sz w:val="24"/>
          <w:szCs w:val="24"/>
        </w:rPr>
      </w:pPr>
      <w:r w:rsidRPr="0059249C">
        <w:rPr>
          <w:sz w:val="24"/>
          <w:szCs w:val="24"/>
        </w:rPr>
        <w:t xml:space="preserve">Conocer </w:t>
      </w:r>
      <w:r w:rsidR="005C78B4" w:rsidRPr="0059249C">
        <w:rPr>
          <w:sz w:val="24"/>
          <w:szCs w:val="24"/>
        </w:rPr>
        <w:t>la evolución clínica del alveolo post extracción</w:t>
      </w:r>
      <w:r w:rsidR="006C2584">
        <w:rPr>
          <w:sz w:val="24"/>
          <w:szCs w:val="24"/>
        </w:rPr>
        <w:t xml:space="preserve"> con y sin PRP</w:t>
      </w:r>
      <w:r w:rsidR="00334C83" w:rsidRPr="0059249C">
        <w:rPr>
          <w:sz w:val="24"/>
          <w:szCs w:val="24"/>
        </w:rPr>
        <w:t>.</w:t>
      </w:r>
    </w:p>
    <w:p w14:paraId="186F98C6" w14:textId="7863D044" w:rsidR="00BF59CE" w:rsidRDefault="00BF59CE"/>
    <w:p w14:paraId="2839B585" w14:textId="48F569AF" w:rsidR="00BF59CE" w:rsidRDefault="00BF59CE">
      <w:r>
        <w:br w:type="page"/>
      </w:r>
    </w:p>
    <w:p w14:paraId="3F06B70B" w14:textId="0416CB0D" w:rsidR="004105D3" w:rsidRPr="004105D3" w:rsidRDefault="004105D3" w:rsidP="004105D3">
      <w:pPr>
        <w:pStyle w:val="Ttulo1"/>
        <w:spacing w:after="240" w:line="360" w:lineRule="auto"/>
        <w:rPr>
          <w:color w:val="auto"/>
        </w:rPr>
      </w:pPr>
      <w:bookmarkStart w:id="5" w:name="_Toc58171763"/>
      <w:r w:rsidRPr="004105D3">
        <w:rPr>
          <w:color w:val="auto"/>
        </w:rPr>
        <w:lastRenderedPageBreak/>
        <w:t>Hipótesis</w:t>
      </w:r>
      <w:bookmarkEnd w:id="5"/>
    </w:p>
    <w:p w14:paraId="209523BB" w14:textId="29579ECF"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El L-PRF post extracción ayuda a disminuir la morbilidad del paciente</w:t>
      </w:r>
      <w:r w:rsidR="00334C83">
        <w:rPr>
          <w:sz w:val="24"/>
          <w:szCs w:val="24"/>
        </w:rPr>
        <w:t>.</w:t>
      </w:r>
    </w:p>
    <w:p w14:paraId="30AC5EF6" w14:textId="21743B60"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 xml:space="preserve">El L-PRF post extracción </w:t>
      </w:r>
      <w:r w:rsidR="00DE1160">
        <w:rPr>
          <w:sz w:val="24"/>
          <w:szCs w:val="24"/>
        </w:rPr>
        <w:t>no</w:t>
      </w:r>
      <w:r w:rsidRPr="00DC63DA">
        <w:rPr>
          <w:sz w:val="24"/>
          <w:szCs w:val="24"/>
        </w:rPr>
        <w:t xml:space="preserve"> ayuda a disminuir la morbilidad del paciente</w:t>
      </w:r>
      <w:r w:rsidR="00334C83">
        <w:rPr>
          <w:sz w:val="24"/>
          <w:szCs w:val="24"/>
        </w:rPr>
        <w:t>.</w:t>
      </w:r>
    </w:p>
    <w:p w14:paraId="1D15FC66" w14:textId="77777777" w:rsidR="004105D3" w:rsidRPr="00DC63DA" w:rsidRDefault="004105D3" w:rsidP="00DC63DA">
      <w:pPr>
        <w:spacing w:line="360" w:lineRule="auto"/>
        <w:jc w:val="both"/>
        <w:rPr>
          <w:rFonts w:asciiTheme="majorHAnsi" w:eastAsiaTheme="majorEastAsia" w:hAnsiTheme="majorHAnsi" w:cstheme="majorBidi"/>
          <w:sz w:val="24"/>
          <w:szCs w:val="24"/>
        </w:rPr>
      </w:pPr>
    </w:p>
    <w:p w14:paraId="71C36BD1" w14:textId="77777777" w:rsidR="00183A4F" w:rsidRDefault="00183A4F" w:rsidP="00183A4F">
      <w:pPr>
        <w:sectPr w:rsidR="00183A4F" w:rsidSect="00405542">
          <w:headerReference w:type="default" r:id="rId19"/>
          <w:headerReference w:type="first" r:id="rId20"/>
          <w:pgSz w:w="11906" w:h="16838"/>
          <w:pgMar w:top="1417" w:right="1701" w:bottom="1417" w:left="1701" w:header="708" w:footer="708" w:gutter="0"/>
          <w:cols w:space="708"/>
          <w:titlePg/>
          <w:docGrid w:linePitch="360"/>
        </w:sectPr>
      </w:pPr>
      <w:bookmarkStart w:id="6" w:name="_Toc58171764"/>
    </w:p>
    <w:p w14:paraId="09E44B86" w14:textId="2C81270A" w:rsidR="00BF59CE" w:rsidRPr="00183A4F" w:rsidRDefault="00BF59CE" w:rsidP="00183A4F">
      <w:pPr>
        <w:pStyle w:val="Ttulo1"/>
        <w:spacing w:after="240" w:line="360" w:lineRule="auto"/>
        <w:rPr>
          <w:color w:val="auto"/>
        </w:rPr>
      </w:pPr>
      <w:bookmarkStart w:id="7" w:name="_Hlk58173548"/>
      <w:r w:rsidRPr="00183A4F">
        <w:rPr>
          <w:color w:val="auto"/>
        </w:rPr>
        <w:lastRenderedPageBreak/>
        <w:t>Materiales y métodos</w:t>
      </w:r>
      <w:bookmarkEnd w:id="6"/>
    </w:p>
    <w:bookmarkEnd w:id="7"/>
    <w:p w14:paraId="2203080F"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realizó una búsqueda bibliográfica en las siguientes bases de datos: </w:t>
      </w:r>
      <w:proofErr w:type="spellStart"/>
      <w:r w:rsidRPr="006C2584">
        <w:rPr>
          <w:rFonts w:ascii="Calibri" w:eastAsia="Arial Unicode MS" w:hAnsi="Calibri" w:cs="Arial Unicode MS"/>
          <w:color w:val="000000"/>
          <w:sz w:val="24"/>
          <w:szCs w:val="24"/>
          <w:u w:color="000000"/>
          <w:bdr w:val="nil"/>
          <w:lang w:eastAsia="es-ES"/>
        </w:rPr>
        <w:t>Pubmed</w:t>
      </w:r>
      <w:proofErr w:type="spellEnd"/>
      <w:r w:rsidRPr="006C2584">
        <w:rPr>
          <w:rFonts w:ascii="Calibri" w:eastAsia="Arial Unicode MS" w:hAnsi="Calibri" w:cs="Arial Unicode MS"/>
          <w:color w:val="000000"/>
          <w:sz w:val="24"/>
          <w:szCs w:val="24"/>
          <w:u w:color="000000"/>
          <w:bdr w:val="nil"/>
          <w:lang w:eastAsia="es-ES"/>
        </w:rPr>
        <w:t xml:space="preserve">, Google Académico, </w:t>
      </w:r>
      <w:proofErr w:type="spellStart"/>
      <w:r w:rsidRPr="006C2584">
        <w:rPr>
          <w:rFonts w:ascii="Calibri" w:eastAsia="Arial Unicode MS" w:hAnsi="Calibri" w:cs="Arial Unicode MS"/>
          <w:color w:val="000000"/>
          <w:sz w:val="24"/>
          <w:szCs w:val="24"/>
          <w:u w:color="000000"/>
          <w:bdr w:val="nil"/>
          <w:lang w:eastAsia="es-ES"/>
        </w:rPr>
        <w:t>ScienceDirect</w:t>
      </w:r>
      <w:proofErr w:type="spellEnd"/>
      <w:r w:rsidRPr="006C2584">
        <w:rPr>
          <w:rFonts w:ascii="Calibri" w:eastAsia="Arial Unicode MS" w:hAnsi="Calibri" w:cs="Arial Unicode MS"/>
          <w:color w:val="000000"/>
          <w:sz w:val="24"/>
          <w:szCs w:val="24"/>
          <w:u w:color="000000"/>
          <w:bdr w:val="nil"/>
          <w:lang w:eastAsia="es-ES"/>
        </w:rPr>
        <w:t xml:space="preserve">, SciELO, Base de datos de la Universidad Internacional de Cataluña (UIC), ProQuest y Web </w:t>
      </w:r>
      <w:proofErr w:type="spellStart"/>
      <w:r w:rsidRPr="006C2584">
        <w:rPr>
          <w:rFonts w:ascii="Calibri" w:eastAsia="Arial Unicode MS" w:hAnsi="Calibri" w:cs="Arial Unicode MS"/>
          <w:color w:val="000000"/>
          <w:sz w:val="24"/>
          <w:szCs w:val="24"/>
          <w:u w:color="000000"/>
          <w:bdr w:val="nil"/>
          <w:lang w:eastAsia="es-ES"/>
        </w:rPr>
        <w:t>of</w:t>
      </w:r>
      <w:proofErr w:type="spellEnd"/>
      <w:r w:rsidRPr="006C2584">
        <w:rPr>
          <w:rFonts w:ascii="Calibri" w:eastAsia="Arial Unicode MS" w:hAnsi="Calibri" w:cs="Arial Unicode MS"/>
          <w:color w:val="000000"/>
          <w:sz w:val="24"/>
          <w:szCs w:val="24"/>
          <w:u w:color="000000"/>
          <w:bdr w:val="nil"/>
          <w:lang w:eastAsia="es-ES"/>
        </w:rPr>
        <w:t xml:space="preserve"> </w:t>
      </w:r>
      <w:proofErr w:type="spellStart"/>
      <w:r w:rsidRPr="006C2584">
        <w:rPr>
          <w:rFonts w:ascii="Calibri" w:eastAsia="Arial Unicode MS" w:hAnsi="Calibri" w:cs="Arial Unicode MS"/>
          <w:color w:val="000000"/>
          <w:sz w:val="24"/>
          <w:szCs w:val="24"/>
          <w:u w:color="000000"/>
          <w:bdr w:val="nil"/>
          <w:lang w:eastAsia="es-ES"/>
        </w:rPr>
        <w:t>Science</w:t>
      </w:r>
      <w:proofErr w:type="spellEnd"/>
      <w:r w:rsidRPr="006C2584">
        <w:rPr>
          <w:rFonts w:ascii="Calibri" w:eastAsia="Arial Unicode MS" w:hAnsi="Calibri" w:cs="Arial Unicode MS"/>
          <w:color w:val="000000"/>
          <w:sz w:val="24"/>
          <w:szCs w:val="24"/>
          <w:u w:color="000000"/>
          <w:bdr w:val="nil"/>
          <w:lang w:eastAsia="es-ES"/>
        </w:rPr>
        <w:t>, que evaluasen la morbilidad del paciente post exodoncia con el empleo de PRP, con unos límites de entre 2015 y 2020.</w:t>
      </w:r>
    </w:p>
    <w:p w14:paraId="6958FDD7" w14:textId="16AE5F41"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Las palabras clave empleadas para la búsqueda fueron: “</w:t>
      </w:r>
      <w:r w:rsidRPr="006C2584">
        <w:rPr>
          <w:rFonts w:ascii="Calibri" w:eastAsia="Arial Unicode MS" w:hAnsi="Calibri" w:cs="Arial Unicode MS"/>
          <w:i/>
          <w:iCs/>
          <w:color w:val="000000"/>
          <w:sz w:val="24"/>
          <w:szCs w:val="24"/>
          <w:u w:color="000000"/>
          <w:bdr w:val="nil"/>
          <w:lang w:eastAsia="es-ES"/>
        </w:rPr>
        <w:t>plasma rico en plaquetas”, “PRP”,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plasma”,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mouth</w:t>
      </w:r>
      <w:proofErr w:type="spellEnd"/>
      <w:r w:rsidRPr="006C2584">
        <w:rPr>
          <w:rFonts w:ascii="Calibri" w:eastAsia="Arial Unicode MS" w:hAnsi="Calibri" w:cs="Arial Unicode MS"/>
          <w:i/>
          <w:iCs/>
          <w:color w:val="000000"/>
          <w:sz w:val="24"/>
          <w:szCs w:val="24"/>
          <w:u w:color="000000"/>
          <w:bdr w:val="nil"/>
          <w:lang w:eastAsia="es-ES"/>
        </w:rPr>
        <w:t>”, “odontología”, “</w:t>
      </w:r>
      <w:proofErr w:type="spellStart"/>
      <w:r w:rsidRPr="006C2584">
        <w:rPr>
          <w:rFonts w:ascii="Calibri" w:eastAsia="Arial Unicode MS" w:hAnsi="Calibri" w:cs="Arial Unicode MS"/>
          <w:i/>
          <w:iCs/>
          <w:color w:val="000000"/>
          <w:sz w:val="24"/>
          <w:szCs w:val="24"/>
          <w:u w:color="000000"/>
          <w:bdr w:val="nil"/>
          <w:lang w:eastAsia="es-ES"/>
        </w:rPr>
        <w:t>dentistry</w:t>
      </w:r>
      <w:proofErr w:type="spellEnd"/>
      <w:r w:rsidRPr="006C2584">
        <w:rPr>
          <w:rFonts w:ascii="Calibri" w:eastAsia="Arial Unicode MS" w:hAnsi="Calibri" w:cs="Arial Unicode MS"/>
          <w:i/>
          <w:iCs/>
          <w:color w:val="000000"/>
          <w:sz w:val="24"/>
          <w:szCs w:val="24"/>
          <w:u w:color="000000"/>
          <w:bdr w:val="nil"/>
          <w:lang w:eastAsia="es-ES"/>
        </w:rPr>
        <w:t>”, “extracción”, “extracción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xml:space="preserve">”,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“cicatrización”,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“curación”, “alvéolo”, “</w:t>
      </w:r>
      <w:proofErr w:type="spellStart"/>
      <w:r w:rsidRPr="006C2584">
        <w:rPr>
          <w:rFonts w:ascii="Calibri" w:eastAsia="Arial Unicode MS" w:hAnsi="Calibri" w:cs="Arial Unicode MS"/>
          <w:i/>
          <w:iCs/>
          <w:color w:val="000000"/>
          <w:sz w:val="24"/>
          <w:szCs w:val="24"/>
          <w:u w:color="000000"/>
          <w:bdr w:val="nil"/>
          <w:lang w:eastAsia="es-ES"/>
        </w:rPr>
        <w:t>alveoli</w:t>
      </w:r>
      <w:proofErr w:type="spellEnd"/>
      <w:r w:rsidRPr="006C2584">
        <w:rPr>
          <w:rFonts w:ascii="Calibri" w:eastAsia="Arial Unicode MS" w:hAnsi="Calibri" w:cs="Arial Unicode MS"/>
          <w:i/>
          <w:iCs/>
          <w:color w:val="000000"/>
          <w:sz w:val="24"/>
          <w:szCs w:val="24"/>
          <w:u w:color="000000"/>
          <w:bdr w:val="nil"/>
          <w:lang w:eastAsia="es-ES"/>
        </w:rPr>
        <w:t>”, “herida”,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“plasma rico en factores de crecimiento”, “PRF-L”, “fibrina rica en plaquetas y leucocitos,” “</w:t>
      </w:r>
      <w:proofErr w:type="spellStart"/>
      <w:r w:rsidRPr="006C2584">
        <w:rPr>
          <w:rFonts w:ascii="Calibri" w:eastAsia="Arial Unicode MS" w:hAnsi="Calibri" w:cs="Arial Unicode MS"/>
          <w:i/>
          <w:iCs/>
          <w:color w:val="000000"/>
          <w:sz w:val="24"/>
          <w:szCs w:val="24"/>
          <w:u w:color="000000"/>
          <w:bdr w:val="nil"/>
          <w:lang w:eastAsia="es-ES"/>
        </w:rPr>
        <w:t>leucocyte</w:t>
      </w:r>
      <w:proofErr w:type="spellEnd"/>
      <w:r w:rsidRPr="006C2584">
        <w:rPr>
          <w:rFonts w:ascii="Calibri" w:eastAsia="Arial Unicode MS" w:hAnsi="Calibri" w:cs="Arial Unicode MS"/>
          <w:i/>
          <w:iCs/>
          <w:color w:val="000000"/>
          <w:sz w:val="24"/>
          <w:szCs w:val="24"/>
          <w:u w:color="000000"/>
          <w:bdr w:val="nil"/>
          <w:lang w:eastAsia="es-ES"/>
        </w:rPr>
        <w:t xml:space="preserve"> and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fibrin</w:t>
      </w:r>
      <w:proofErr w:type="spellEnd"/>
      <w:r w:rsidRPr="006C2584">
        <w:rPr>
          <w:rFonts w:ascii="Calibri" w:eastAsia="Arial Unicode MS" w:hAnsi="Calibri" w:cs="Arial Unicode MS"/>
          <w:i/>
          <w:iCs/>
          <w:color w:val="000000"/>
          <w:sz w:val="24"/>
          <w:szCs w:val="24"/>
          <w:u w:color="000000"/>
          <w:bdr w:val="nil"/>
          <w:lang w:eastAsia="es-ES"/>
        </w:rPr>
        <w:t>”</w:t>
      </w:r>
      <w:r w:rsidRPr="006C2584">
        <w:rPr>
          <w:rFonts w:ascii="Calibri" w:eastAsia="Arial Unicode MS" w:hAnsi="Calibri" w:cs="Arial Unicode MS"/>
          <w:color w:val="000000"/>
          <w:sz w:val="24"/>
          <w:szCs w:val="24"/>
          <w:u w:color="000000"/>
          <w:bdr w:val="nil"/>
          <w:lang w:eastAsia="es-ES"/>
        </w:rPr>
        <w:t> en distintas combinaciones.</w:t>
      </w:r>
    </w:p>
    <w:p w14:paraId="160F0B82"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para la inclusión fueron: </w:t>
      </w:r>
    </w:p>
    <w:p w14:paraId="5A392B01"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Artículos en </w:t>
      </w:r>
      <w:proofErr w:type="gramStart"/>
      <w:r w:rsidRPr="006C2584">
        <w:rPr>
          <w:rFonts w:ascii="Calibri" w:eastAsia="Arial Unicode MS" w:hAnsi="Calibri" w:cs="Arial Unicode MS"/>
          <w:color w:val="000000"/>
          <w:sz w:val="24"/>
          <w:szCs w:val="24"/>
          <w:u w:color="000000"/>
          <w:bdr w:val="nil"/>
          <w:lang w:eastAsia="es-ES"/>
        </w:rPr>
        <w:t>Inglés</w:t>
      </w:r>
      <w:proofErr w:type="gramEnd"/>
      <w:r w:rsidRPr="006C2584">
        <w:rPr>
          <w:rFonts w:ascii="Calibri" w:eastAsia="Arial Unicode MS" w:hAnsi="Calibri" w:cs="Arial Unicode MS"/>
          <w:color w:val="000000"/>
          <w:sz w:val="24"/>
          <w:szCs w:val="24"/>
          <w:u w:color="000000"/>
          <w:bdr w:val="nil"/>
          <w:lang w:eastAsia="es-ES"/>
        </w:rPr>
        <w:t xml:space="preserve"> o Español. </w:t>
      </w:r>
    </w:p>
    <w:p w14:paraId="5E33A8B7"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Deben utilizarse los últimos datos científicos, cuya publicación se produjo después de 2015. </w:t>
      </w:r>
    </w:p>
    <w:p w14:paraId="7EDC6F22"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Revisión de la literatura.</w:t>
      </w:r>
    </w:p>
    <w:p w14:paraId="69A078D0"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de exclusión fueron:</w:t>
      </w:r>
    </w:p>
    <w:p w14:paraId="4C47C15E"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no indexados.</w:t>
      </w:r>
    </w:p>
    <w:p w14:paraId="77D20C0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anteriores a 2015.</w:t>
      </w:r>
    </w:p>
    <w:p w14:paraId="5023B94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PRP en exodoncias quirúrgicas.</w:t>
      </w:r>
    </w:p>
    <w:p w14:paraId="05872805"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implantología.</w:t>
      </w:r>
    </w:p>
    <w:p w14:paraId="2D16F1C7"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cirugías orales avanzadas.</w:t>
      </w:r>
    </w:p>
    <w:p w14:paraId="64462E57" w14:textId="794F9BF8"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leyeron los resúmenes de ellos y en función de si cumplían o no los criterios de inclusión/exclusión, fueron aceptados o rechazados. En una primera búsqueda en las bases de datos, encontramos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de los cuales descartamos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después de </w:t>
      </w:r>
      <w:r w:rsidRPr="006C2584">
        <w:rPr>
          <w:rFonts w:ascii="Calibri" w:eastAsia="Arial Unicode MS" w:hAnsi="Calibri" w:cs="Arial Unicode MS"/>
          <w:color w:val="000000"/>
          <w:sz w:val="24"/>
          <w:szCs w:val="24"/>
          <w:u w:color="000000"/>
          <w:bdr w:val="nil"/>
          <w:lang w:eastAsia="es-ES"/>
        </w:rPr>
        <w:lastRenderedPageBreak/>
        <w:t xml:space="preserve">leer los resúmenes, seleccionando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para la revisión. Aunque para realizar la introducción aceptamos algunos artículos clásicos de la literatura disponible.</w:t>
      </w:r>
    </w:p>
    <w:p w14:paraId="52BFFDB8" w14:textId="77777777" w:rsidR="00FB03BA" w:rsidRDefault="00FB03BA" w:rsidP="00FB03BA">
      <w:pPr>
        <w:sectPr w:rsidR="00FB03BA" w:rsidSect="00405542">
          <w:headerReference w:type="default" r:id="rId21"/>
          <w:headerReference w:type="first" r:id="rId22"/>
          <w:pgSz w:w="11906" w:h="16838"/>
          <w:pgMar w:top="1417" w:right="1701" w:bottom="1417" w:left="1701" w:header="708" w:footer="708" w:gutter="0"/>
          <w:cols w:space="708"/>
          <w:titlePg/>
          <w:docGrid w:linePitch="360"/>
        </w:sectPr>
      </w:pPr>
      <w:bookmarkStart w:id="8" w:name="_Toc58171765"/>
    </w:p>
    <w:p w14:paraId="21AC6F9F" w14:textId="67AC2979" w:rsidR="00B22F83" w:rsidRPr="00FB03BA" w:rsidRDefault="00B22F83" w:rsidP="00FB03BA">
      <w:pPr>
        <w:pStyle w:val="Ttulo1"/>
        <w:spacing w:after="240" w:line="360" w:lineRule="auto"/>
        <w:rPr>
          <w:color w:val="auto"/>
        </w:rPr>
      </w:pPr>
      <w:r w:rsidRPr="00FB03BA">
        <w:rPr>
          <w:color w:val="auto"/>
        </w:rPr>
        <w:lastRenderedPageBreak/>
        <w:t>Referencias bibliográficas</w:t>
      </w:r>
      <w:bookmarkEnd w:id="8"/>
    </w:p>
    <w:p w14:paraId="6BBAC46C" w14:textId="6B0BFE36" w:rsidR="00A84109" w:rsidRPr="00A84109" w:rsidRDefault="00E87B54" w:rsidP="00A84109">
      <w:pPr>
        <w:widowControl w:val="0"/>
        <w:autoSpaceDE w:val="0"/>
        <w:autoSpaceDN w:val="0"/>
        <w:adjustRightInd w:val="0"/>
        <w:spacing w:line="360" w:lineRule="auto"/>
        <w:ind w:left="640" w:hanging="640"/>
        <w:rPr>
          <w:rFonts w:ascii="Calibri" w:hAnsi="Calibri" w:cs="Calibri"/>
          <w:noProof/>
          <w:sz w:val="24"/>
          <w:szCs w:val="24"/>
        </w:rPr>
      </w:pPr>
      <w:r w:rsidRPr="00D30649">
        <w:rPr>
          <w:sz w:val="24"/>
          <w:szCs w:val="24"/>
        </w:rPr>
        <w:fldChar w:fldCharType="begin" w:fldLock="1"/>
      </w:r>
      <w:r w:rsidRPr="00D30649">
        <w:rPr>
          <w:sz w:val="24"/>
          <w:szCs w:val="24"/>
        </w:rPr>
        <w:instrText xml:space="preserve">ADDIN Mendeley Bibliography CSL_BIBLIOGRAPHY </w:instrText>
      </w:r>
      <w:r w:rsidRPr="00D30649">
        <w:rPr>
          <w:sz w:val="24"/>
          <w:szCs w:val="24"/>
        </w:rPr>
        <w:fldChar w:fldCharType="separate"/>
      </w:r>
      <w:r w:rsidR="00A84109" w:rsidRPr="00A84109">
        <w:rPr>
          <w:rFonts w:ascii="Calibri" w:hAnsi="Calibri" w:cs="Calibri"/>
          <w:noProof/>
          <w:sz w:val="24"/>
          <w:szCs w:val="24"/>
        </w:rPr>
        <w:t xml:space="preserve">1. </w:t>
      </w:r>
      <w:r w:rsidR="00A84109" w:rsidRPr="00A84109">
        <w:rPr>
          <w:rFonts w:ascii="Calibri" w:hAnsi="Calibri" w:cs="Calibri"/>
          <w:noProof/>
          <w:sz w:val="24"/>
          <w:szCs w:val="24"/>
        </w:rPr>
        <w:tab/>
        <w:t xml:space="preserve">Araújo MG, Silva CO, Misawa M, Sukekava F. Alveolar socket healing: What can we learn? Periodontol 2000. 2015;68(1):122–34. </w:t>
      </w:r>
    </w:p>
    <w:p w14:paraId="770E4CF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 </w:t>
      </w:r>
      <w:r w:rsidRPr="00A84109">
        <w:rPr>
          <w:rFonts w:ascii="Calibri" w:hAnsi="Calibri" w:cs="Calibri"/>
          <w:noProof/>
          <w:sz w:val="24"/>
          <w:szCs w:val="24"/>
        </w:rPr>
        <w:tab/>
        <w:t xml:space="preserve">Adeyemo WL, Ladeinde AL, Ogunlewe MO. Clinical Evaluation of Post-Extraction Site Wound Healing. J Contemp Dent Pr. 2006;7(3):1–9. </w:t>
      </w:r>
    </w:p>
    <w:p w14:paraId="7AAB383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3. </w:t>
      </w:r>
      <w:r w:rsidRPr="00A84109">
        <w:rPr>
          <w:rFonts w:ascii="Calibri" w:hAnsi="Calibri" w:cs="Calibri"/>
          <w:noProof/>
          <w:sz w:val="24"/>
          <w:szCs w:val="24"/>
        </w:rPr>
        <w:tab/>
        <w:t xml:space="preserve">Amler MH. Disturbed healing of extraction wounds. J Oral Implantol. 1999;25(3):179–84. </w:t>
      </w:r>
    </w:p>
    <w:p w14:paraId="1599189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4. </w:t>
      </w:r>
      <w:r w:rsidRPr="00A84109">
        <w:rPr>
          <w:rFonts w:ascii="Calibri" w:hAnsi="Calibri" w:cs="Calibri"/>
          <w:noProof/>
          <w:sz w:val="24"/>
          <w:szCs w:val="24"/>
        </w:rPr>
        <w:tab/>
        <w:t xml:space="preserve">Araújo MG, Lindhe J. Dimensional ridge alterations following tooth extraction. An experimental study in the dog. J Clin Periodontol. 2005;32(2):212–8. </w:t>
      </w:r>
    </w:p>
    <w:p w14:paraId="2D4FF9CC"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5. </w:t>
      </w:r>
      <w:r w:rsidRPr="00A84109">
        <w:rPr>
          <w:rFonts w:ascii="Calibri" w:hAnsi="Calibri" w:cs="Calibri"/>
          <w:noProof/>
          <w:sz w:val="24"/>
          <w:szCs w:val="24"/>
        </w:rPr>
        <w:tab/>
        <w:t xml:space="preserve">Bertl K, Kukla EB, Albugami R, Beck F, Gahleitner A, Stavropoulos A. Timeframe of socket cortication after tooth extraction: A retrospective radiographic study. Clin Oral Implants Res. 2018;29(1):130–8. </w:t>
      </w:r>
    </w:p>
    <w:p w14:paraId="702EC466"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6. </w:t>
      </w:r>
      <w:r w:rsidRPr="00A84109">
        <w:rPr>
          <w:rFonts w:ascii="Calibri" w:hAnsi="Calibri" w:cs="Calibri"/>
          <w:noProof/>
          <w:sz w:val="24"/>
          <w:szCs w:val="24"/>
        </w:rPr>
        <w:tab/>
        <w:t xml:space="preserve">Guglielmotti MB, Cabrini RL. Alveolar wound healing and ridge remodeling after tooth extraction in the rat: A histologic, radiographic, and histometric study. J Oral Maxillofac Surg. 1985;43(5):359–64. </w:t>
      </w:r>
    </w:p>
    <w:p w14:paraId="4D316D39"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7. </w:t>
      </w:r>
      <w:r w:rsidRPr="00A84109">
        <w:rPr>
          <w:rFonts w:ascii="Calibri" w:hAnsi="Calibri" w:cs="Calibri"/>
          <w:noProof/>
          <w:sz w:val="24"/>
          <w:szCs w:val="24"/>
        </w:rPr>
        <w:tab/>
        <w:t>Fee L. Socket preservation. Br Dent J [Internet]. 2017;222(8):579–82. Available from: http://dx.doi.org/10.1038/sj.bdj.2017.355</w:t>
      </w:r>
    </w:p>
    <w:p w14:paraId="7C37FA6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8. </w:t>
      </w:r>
      <w:r w:rsidRPr="00A84109">
        <w:rPr>
          <w:rFonts w:ascii="Calibri" w:hAnsi="Calibri" w:cs="Calibri"/>
          <w:noProof/>
          <w:sz w:val="24"/>
          <w:szCs w:val="24"/>
        </w:rPr>
        <w:tab/>
        <w:t xml:space="preserve">AMLER MH, JOHNSON PL, SALMAN I. Histological and histochemical investigation of human alveolar socket healing in undisturbed extraction wounds. J Am Dent Assoc. 1960;61(1):32–44. </w:t>
      </w:r>
    </w:p>
    <w:p w14:paraId="0A8DFAF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9. </w:t>
      </w:r>
      <w:r w:rsidRPr="00A84109">
        <w:rPr>
          <w:rFonts w:ascii="Calibri" w:hAnsi="Calibri" w:cs="Calibri"/>
          <w:noProof/>
          <w:sz w:val="24"/>
          <w:szCs w:val="24"/>
        </w:rPr>
        <w:tab/>
        <w:t>Lamano Carvalho TL, Bombonato KF, Brentegani LG. Histometric analysis of rat alveolar wound healing. Braz Dent J [Internet]. 1997 [cited 2020 Nov 22];8(1):9–12. Available from: https://www.forp.usp.br/bdj/t0281.html#results</w:t>
      </w:r>
    </w:p>
    <w:p w14:paraId="03E19C64"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10. </w:t>
      </w:r>
      <w:r w:rsidRPr="00A84109">
        <w:rPr>
          <w:rFonts w:ascii="Calibri" w:hAnsi="Calibri" w:cs="Calibri"/>
          <w:noProof/>
          <w:sz w:val="24"/>
          <w:szCs w:val="24"/>
        </w:rPr>
        <w:tab/>
        <w:t xml:space="preserve">Marques LF, Stessuk T, Camargo ICC, Sabeh Junior N, Santos L Dos, Ribeiro-Paes JT. Platelet-rich plasma (PRP): Methodological aspects and clinical applications. Platelets. 2015;26(2):101–13. </w:t>
      </w:r>
    </w:p>
    <w:p w14:paraId="013966D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11. </w:t>
      </w:r>
      <w:r w:rsidRPr="00A84109">
        <w:rPr>
          <w:rFonts w:ascii="Calibri" w:hAnsi="Calibri" w:cs="Calibri"/>
          <w:noProof/>
          <w:sz w:val="24"/>
          <w:szCs w:val="24"/>
        </w:rPr>
        <w:tab/>
        <w:t xml:space="preserve">Gaßling VLW, Açil Y, Springer IN, Hubert N, Wiltfang J. Platelet-rich Plasma and </w:t>
      </w:r>
      <w:r w:rsidRPr="00A84109">
        <w:rPr>
          <w:rFonts w:ascii="Calibri" w:hAnsi="Calibri" w:cs="Calibri"/>
          <w:noProof/>
          <w:sz w:val="24"/>
          <w:szCs w:val="24"/>
        </w:rPr>
        <w:lastRenderedPageBreak/>
        <w:t xml:space="preserve">Platelet-rich fibrin in human cell culture. Oral Surgery, Oral Med Oral Pathol Oral Radiol Endodontology. 2009;108(1):48–55. </w:t>
      </w:r>
    </w:p>
    <w:p w14:paraId="122A4C8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12. </w:t>
      </w:r>
      <w:r w:rsidRPr="00A84109">
        <w:rPr>
          <w:rFonts w:ascii="Calibri" w:hAnsi="Calibri" w:cs="Calibri"/>
          <w:noProof/>
          <w:sz w:val="24"/>
          <w:szCs w:val="24"/>
        </w:rPr>
        <w:tab/>
        <w:t xml:space="preserve">Carrillo-Mora P, González-Villalva A, Macías-Hernández SI, Pineda-Villaseñor C. Plasma rico en plaquetas. Herramienta versátil de la medicina regenerativa? Cir Cir. 2013;81(1):74–82. </w:t>
      </w:r>
    </w:p>
    <w:p w14:paraId="7BC5858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13. </w:t>
      </w:r>
      <w:r w:rsidRPr="00A84109">
        <w:rPr>
          <w:rFonts w:ascii="Calibri" w:hAnsi="Calibri" w:cs="Calibri"/>
          <w:noProof/>
          <w:sz w:val="24"/>
          <w:szCs w:val="24"/>
        </w:rPr>
        <w:tab/>
        <w:t xml:space="preserve">Arnoczky SP, Shebani-Rad S. The basic science of platelet-rich plasma (PRP): What clinicians need to know. Sports Med Arthrosc. 2013;21(4):180–5. </w:t>
      </w:r>
    </w:p>
    <w:p w14:paraId="63A10FEE"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14. </w:t>
      </w:r>
      <w:r w:rsidRPr="00A84109">
        <w:rPr>
          <w:rFonts w:ascii="Calibri" w:hAnsi="Calibri" w:cs="Calibri"/>
          <w:noProof/>
          <w:sz w:val="24"/>
          <w:szCs w:val="24"/>
        </w:rPr>
        <w:tab/>
        <w:t xml:space="preserve">Roberto J, Evia B. Plasmaféresis y recambio plasmático. Rev Latinoam Patol Clin Med Lab. 2014;61(3):163–74. </w:t>
      </w:r>
    </w:p>
    <w:p w14:paraId="34ED0B6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15. </w:t>
      </w:r>
      <w:r w:rsidRPr="00A84109">
        <w:rPr>
          <w:rFonts w:ascii="Calibri" w:hAnsi="Calibri" w:cs="Calibri"/>
          <w:noProof/>
          <w:sz w:val="24"/>
          <w:szCs w:val="24"/>
        </w:rPr>
        <w:tab/>
        <w:t>Dentistas. Rev del Cons Gen Dent España [Internet]. 2018;29:6–10. Available from: https://www.consejodentistas.es/comunicacion/actualidad-consejo/notas-de-prensa-consejo/item/1453-el-consejo-general-de-dentistas-consigue-que-se-reconozca-la-venopuncion-como-competencia-propia.html</w:t>
      </w:r>
    </w:p>
    <w:p w14:paraId="04DA73F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16. </w:t>
      </w:r>
      <w:r w:rsidRPr="00A84109">
        <w:rPr>
          <w:rFonts w:ascii="Calibri" w:hAnsi="Calibri" w:cs="Calibri"/>
          <w:noProof/>
          <w:sz w:val="24"/>
          <w:szCs w:val="24"/>
        </w:rPr>
        <w:tab/>
        <w:t xml:space="preserve">Dohan Ehrenfest DM, Rasmusson L, Albrektsson T. Classification of platelet concentrates: from pure platelet-rich plasma (P-PRP) to leucocyte- and platelet-rich fibrin (L-PRF). Trends Biotechnol. 2009;27(3):158–67. </w:t>
      </w:r>
    </w:p>
    <w:p w14:paraId="4BA06C0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17. </w:t>
      </w:r>
      <w:r w:rsidRPr="00A84109">
        <w:rPr>
          <w:rFonts w:ascii="Calibri" w:hAnsi="Calibri" w:cs="Calibri"/>
          <w:noProof/>
          <w:sz w:val="24"/>
          <w:szCs w:val="24"/>
        </w:rPr>
        <w:tab/>
        <w:t xml:space="preserve">Dohan DM, Choukroun J, Diss A, Dohan SL, Dohan AJJ, Mouhyi J, et al. Platelet-rich fibrin (PRF): A second-generation platelet concentrate. Part I: Technological concepts and evolution. Oral Surgery, Oral Med Oral Pathol Oral Radiol Endodontology. 2006;101(3). </w:t>
      </w:r>
    </w:p>
    <w:p w14:paraId="645D2E7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18. </w:t>
      </w:r>
      <w:r w:rsidRPr="00A84109">
        <w:rPr>
          <w:rFonts w:ascii="Calibri" w:hAnsi="Calibri" w:cs="Calibri"/>
          <w:noProof/>
          <w:sz w:val="24"/>
          <w:szCs w:val="24"/>
        </w:rPr>
        <w:tab/>
        <w:t xml:space="preserve">Halawani S, Hamdi B, Al-Henaky M, Almotawa Z, Al-Harbi S. The role of Platelet-rich fibrin (PRF) in Periodontology. Int J Med Dev Ctries. 2019;3(February):214–8. </w:t>
      </w:r>
    </w:p>
    <w:p w14:paraId="65CBA67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19. </w:t>
      </w:r>
      <w:r w:rsidRPr="00A84109">
        <w:rPr>
          <w:rFonts w:ascii="Calibri" w:hAnsi="Calibri" w:cs="Calibri"/>
          <w:noProof/>
          <w:sz w:val="24"/>
          <w:szCs w:val="24"/>
        </w:rPr>
        <w:tab/>
        <w:t xml:space="preserve">Del Corso M, Toffler M, Dohan Ehrenfest DM. Use of an Autologous Leukocyte and Platelet-Rich Fibrin (L-PRF) Membrane in Post-Avulsion Sites: An Overview of Choukroun’s PRF. J Implant Adv Clin Dent. 2010;1(9):27–35. </w:t>
      </w:r>
    </w:p>
    <w:p w14:paraId="50BD7E3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20. </w:t>
      </w:r>
      <w:r w:rsidRPr="00A84109">
        <w:rPr>
          <w:rFonts w:ascii="Calibri" w:hAnsi="Calibri" w:cs="Calibri"/>
          <w:noProof/>
          <w:sz w:val="24"/>
          <w:szCs w:val="24"/>
        </w:rPr>
        <w:tab/>
        <w:t xml:space="preserve">Dragonas P, Katsaros T, Avila-Ortiz G, Chambrone L, Schiavo JH, Palaiologou A. Effects of leukocyte–platelet-rich fibrin (L-PRF) in different intraoral bone </w:t>
      </w:r>
      <w:r w:rsidRPr="00A84109">
        <w:rPr>
          <w:rFonts w:ascii="Calibri" w:hAnsi="Calibri" w:cs="Calibri"/>
          <w:noProof/>
          <w:sz w:val="24"/>
          <w:szCs w:val="24"/>
        </w:rPr>
        <w:lastRenderedPageBreak/>
        <w:t xml:space="preserve">grafting procedures: a systematic review. Vol. 48, International Journal of Oral and Maxillofacial Surgery. Churchill Livingstone; 2019. p. 250–62. </w:t>
      </w:r>
    </w:p>
    <w:p w14:paraId="109FE82A"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21. </w:t>
      </w:r>
      <w:r w:rsidRPr="00A84109">
        <w:rPr>
          <w:rFonts w:ascii="Calibri" w:hAnsi="Calibri" w:cs="Calibri"/>
          <w:noProof/>
          <w:sz w:val="24"/>
          <w:szCs w:val="24"/>
        </w:rPr>
        <w:tab/>
        <w:t xml:space="preserve">Antonio M, González A, Marina A, Suárez D, Hernández MD, José V. Fibrina rica en plaquetas y leucocitos: biomaterial autólogo excelente para la regeneración tisular. Medicentro Electrónica. 2018;22(1):19–26. </w:t>
      </w:r>
    </w:p>
    <w:p w14:paraId="619A411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rPr>
      </w:pPr>
      <w:r w:rsidRPr="00A84109">
        <w:rPr>
          <w:rFonts w:ascii="Calibri" w:hAnsi="Calibri" w:cs="Calibri"/>
          <w:noProof/>
          <w:sz w:val="24"/>
          <w:szCs w:val="24"/>
        </w:rPr>
        <w:t xml:space="preserve">22. </w:t>
      </w:r>
      <w:r w:rsidRPr="00A84109">
        <w:rPr>
          <w:rFonts w:ascii="Calibri" w:hAnsi="Calibri" w:cs="Calibri"/>
          <w:noProof/>
          <w:sz w:val="24"/>
          <w:szCs w:val="24"/>
        </w:rPr>
        <w:tab/>
        <w:t>Fan Y, Perez K, Dym H. Clinical Uses of Platelet-Rich Fibrin in Oral and Maxillofacial Surgery. Dent Clin North Am [Internet]. 2020;64(2):291–303. Available from: https://doi.org/10.1016/j.cden.2019.12.012</w:t>
      </w:r>
    </w:p>
    <w:p w14:paraId="3211BCE5" w14:textId="42E4FF24" w:rsidR="00BA494A" w:rsidRDefault="00E87B54" w:rsidP="0034601F">
      <w:pPr>
        <w:spacing w:line="360" w:lineRule="auto"/>
        <w:jc w:val="both"/>
        <w:rPr>
          <w:sz w:val="24"/>
          <w:szCs w:val="24"/>
        </w:rPr>
      </w:pPr>
      <w:r w:rsidRPr="00D30649">
        <w:rPr>
          <w:sz w:val="24"/>
          <w:szCs w:val="24"/>
        </w:rPr>
        <w:fldChar w:fldCharType="end"/>
      </w:r>
    </w:p>
    <w:p w14:paraId="003A073A" w14:textId="77777777" w:rsidR="00FB03BA" w:rsidRDefault="00FB03BA" w:rsidP="00FB03BA">
      <w:pPr>
        <w:rPr>
          <w:sz w:val="96"/>
          <w:szCs w:val="96"/>
        </w:rPr>
        <w:sectPr w:rsidR="00FB03BA" w:rsidSect="00405542">
          <w:headerReference w:type="default" r:id="rId23"/>
          <w:headerReference w:type="first" r:id="rId24"/>
          <w:pgSz w:w="11906" w:h="16838"/>
          <w:pgMar w:top="1417" w:right="1701" w:bottom="1417" w:left="1701" w:header="708" w:footer="708" w:gutter="0"/>
          <w:cols w:space="708"/>
          <w:titlePg/>
          <w:docGrid w:linePitch="360"/>
        </w:sectPr>
      </w:pPr>
      <w:bookmarkStart w:id="9" w:name="_Toc58171766"/>
    </w:p>
    <w:p w14:paraId="0EB4A32F" w14:textId="6568CAD4" w:rsidR="0034601F" w:rsidRPr="00FB03BA" w:rsidRDefault="00BA494A" w:rsidP="00D123EA">
      <w:pPr>
        <w:jc w:val="center"/>
        <w:rPr>
          <w:sz w:val="24"/>
          <w:szCs w:val="24"/>
        </w:rPr>
      </w:pPr>
      <w:r w:rsidRPr="00BA494A">
        <w:rPr>
          <w:sz w:val="96"/>
          <w:szCs w:val="96"/>
        </w:rPr>
        <w:lastRenderedPageBreak/>
        <w:t>Anexos</w:t>
      </w:r>
      <w:bookmarkEnd w:id="9"/>
    </w:p>
    <w:p w14:paraId="531AC829" w14:textId="57C381BC" w:rsidR="00BA494A" w:rsidRDefault="00BA494A">
      <w:r>
        <w:br w:type="page"/>
      </w:r>
    </w:p>
    <w:p w14:paraId="0254E8FC" w14:textId="645F38F5" w:rsidR="00BA494A" w:rsidRDefault="00BA494A" w:rsidP="00BA494A">
      <w:r>
        <w:rPr>
          <w:noProof/>
        </w:rPr>
        <w:lastRenderedPageBreak/>
        <w:drawing>
          <wp:anchor distT="0" distB="0" distL="114300" distR="114300" simplePos="0" relativeHeight="251670528" behindDoc="0" locked="0" layoutInCell="1" allowOverlap="1" wp14:anchorId="34190983" wp14:editId="3BFC58C2">
            <wp:simplePos x="0" y="0"/>
            <wp:positionH relativeFrom="margin">
              <wp:align>center</wp:align>
            </wp:positionH>
            <wp:positionV relativeFrom="paragraph">
              <wp:posOffset>0</wp:posOffset>
            </wp:positionV>
            <wp:extent cx="5958840" cy="8197613"/>
            <wp:effectExtent l="0" t="0" r="3810" b="0"/>
            <wp:wrapThrough wrapText="bothSides">
              <wp:wrapPolygon edited="0">
                <wp:start x="0" y="0"/>
                <wp:lineTo x="0" y="21535"/>
                <wp:lineTo x="21545" y="21535"/>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8840" cy="8197613"/>
                    </a:xfrm>
                    <a:prstGeom prst="rect">
                      <a:avLst/>
                    </a:prstGeom>
                    <a:noFill/>
                    <a:ln>
                      <a:noFill/>
                    </a:ln>
                  </pic:spPr>
                </pic:pic>
              </a:graphicData>
            </a:graphic>
          </wp:anchor>
        </w:drawing>
      </w:r>
      <w:r>
        <w:br w:type="page"/>
      </w:r>
    </w:p>
    <w:p w14:paraId="15BCFDD5" w14:textId="39813487" w:rsidR="00BA494A" w:rsidRPr="004C719D" w:rsidRDefault="00BA494A" w:rsidP="0034601F">
      <w:pPr>
        <w:spacing w:line="360" w:lineRule="auto"/>
        <w:jc w:val="both"/>
      </w:pPr>
    </w:p>
    <w:sectPr w:rsidR="00BA494A" w:rsidRPr="004C719D" w:rsidSect="00405542">
      <w:headerReference w:type="default" r:id="rId26"/>
      <w:footerReference w:type="default" r:id="rId27"/>
      <w:headerReference w:type="first" r:id="rId28"/>
      <w:footerReference w:type="firs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43699" w14:textId="77777777" w:rsidR="00F72272" w:rsidRDefault="00F72272" w:rsidP="004105D3">
      <w:pPr>
        <w:spacing w:after="0" w:line="240" w:lineRule="auto"/>
      </w:pPr>
      <w:r>
        <w:separator/>
      </w:r>
    </w:p>
  </w:endnote>
  <w:endnote w:type="continuationSeparator" w:id="0">
    <w:p w14:paraId="19EAF019" w14:textId="77777777" w:rsidR="00F72272" w:rsidRDefault="00F72272" w:rsidP="0041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868053"/>
      <w:docPartObj>
        <w:docPartGallery w:val="Page Numbers (Bottom of Page)"/>
        <w:docPartUnique/>
      </w:docPartObj>
    </w:sdtPr>
    <w:sdtEndPr/>
    <w:sdtContent>
      <w:p w14:paraId="6B9FEC72" w14:textId="11053745" w:rsidR="004D4913" w:rsidRDefault="004D4913">
        <w:pPr>
          <w:pStyle w:val="Piedepgina"/>
          <w:jc w:val="center"/>
        </w:pPr>
        <w:r>
          <w:fldChar w:fldCharType="begin"/>
        </w:r>
        <w:r>
          <w:instrText>PAGE   \* MERGEFORMAT</w:instrText>
        </w:r>
        <w:r>
          <w:fldChar w:fldCharType="separate"/>
        </w:r>
        <w:r>
          <w:t>2</w:t>
        </w:r>
        <w:r>
          <w:fldChar w:fldCharType="end"/>
        </w:r>
      </w:p>
    </w:sdtContent>
  </w:sdt>
  <w:p w14:paraId="38027F20" w14:textId="77777777" w:rsidR="004050B6" w:rsidRDefault="004050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31863"/>
      <w:docPartObj>
        <w:docPartGallery w:val="Page Numbers (Bottom of Page)"/>
        <w:docPartUnique/>
      </w:docPartObj>
    </w:sdtPr>
    <w:sdtContent>
      <w:p w14:paraId="7A16D479" w14:textId="7740803E" w:rsidR="00D123EA" w:rsidRDefault="00D123EA">
        <w:pPr>
          <w:pStyle w:val="Piedepgina"/>
          <w:jc w:val="center"/>
        </w:pPr>
        <w:r>
          <w:fldChar w:fldCharType="begin"/>
        </w:r>
        <w:r>
          <w:instrText>PAGE   \* MERGEFORMAT</w:instrText>
        </w:r>
        <w:r>
          <w:fldChar w:fldCharType="separate"/>
        </w:r>
        <w:r>
          <w:t>2</w:t>
        </w:r>
        <w:r>
          <w:fldChar w:fldCharType="end"/>
        </w:r>
      </w:p>
    </w:sdtContent>
  </w:sdt>
  <w:p w14:paraId="33AA2321" w14:textId="77777777" w:rsidR="00B40FA3" w:rsidRDefault="00B40FA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BAC55" w14:textId="081EE0A2" w:rsidR="00D123EA" w:rsidRDefault="00D123EA" w:rsidP="00D123EA">
    <w:pPr>
      <w:pStyle w:val="Piedepgina"/>
      <w:tabs>
        <w:tab w:val="left" w:pos="5595"/>
      </w:tabs>
    </w:pPr>
    <w:r>
      <w:tab/>
    </w:r>
  </w:p>
  <w:p w14:paraId="10BF387C" w14:textId="77777777" w:rsidR="00D123EA" w:rsidRDefault="00D123E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4786164"/>
      <w:docPartObj>
        <w:docPartGallery w:val="Page Numbers (Bottom of Page)"/>
        <w:docPartUnique/>
      </w:docPartObj>
    </w:sdtPr>
    <w:sdtContent>
      <w:p w14:paraId="1705EB7C" w14:textId="77777777" w:rsidR="00D123EA" w:rsidRDefault="00D123EA">
        <w:pPr>
          <w:pStyle w:val="Piedepgina"/>
          <w:jc w:val="center"/>
        </w:pPr>
        <w:r>
          <w:fldChar w:fldCharType="begin"/>
        </w:r>
        <w:r>
          <w:instrText>PAGE   \* MERGEFORMAT</w:instrText>
        </w:r>
        <w:r>
          <w:fldChar w:fldCharType="separate"/>
        </w:r>
        <w:r>
          <w:t>2</w:t>
        </w:r>
        <w:r>
          <w:fldChar w:fldCharType="end"/>
        </w:r>
      </w:p>
    </w:sdtContent>
  </w:sdt>
  <w:p w14:paraId="5927BAEE" w14:textId="77777777" w:rsidR="00D123EA" w:rsidRDefault="00D123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1716C" w14:textId="77777777" w:rsidR="00F72272" w:rsidRDefault="00F72272" w:rsidP="004105D3">
      <w:pPr>
        <w:spacing w:after="0" w:line="240" w:lineRule="auto"/>
      </w:pPr>
      <w:r>
        <w:separator/>
      </w:r>
    </w:p>
  </w:footnote>
  <w:footnote w:type="continuationSeparator" w:id="0">
    <w:p w14:paraId="250C9A09" w14:textId="77777777" w:rsidR="00F72272" w:rsidRDefault="00F72272" w:rsidP="00410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17611" w14:textId="3EA5D747" w:rsidR="004D4913" w:rsidRDefault="00EB77C7" w:rsidP="00B40FA3">
    <w:pPr>
      <w:pStyle w:val="Encabezado"/>
      <w:jc w:val="right"/>
    </w:pPr>
    <w:r>
      <w:rPr>
        <w:sz w:val="20"/>
        <w:szCs w:val="20"/>
      </w:rPr>
      <w:t xml:space="preserve">Índice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A8F2D" w14:textId="105F0838" w:rsidR="00FB03BA" w:rsidRPr="00B03C42" w:rsidRDefault="00B03C42" w:rsidP="00FB03BA">
    <w:pPr>
      <w:pStyle w:val="Encabezado"/>
      <w:jc w:val="right"/>
      <w:rPr>
        <w:sz w:val="20"/>
        <w:szCs w:val="20"/>
      </w:rPr>
    </w:pPr>
    <w:r w:rsidRPr="00B03C42">
      <w:rPr>
        <w:sz w:val="20"/>
        <w:szCs w:val="20"/>
      </w:rPr>
      <w:t>Referencias bibliográficas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FA014" w14:textId="5429C9C3" w:rsidR="00EB77C7" w:rsidRPr="00B03C42" w:rsidRDefault="00EB77C7" w:rsidP="00EB77C7">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A361" w14:textId="77777777" w:rsidR="00FB03BA" w:rsidRPr="00FB03BA" w:rsidRDefault="00FB03BA" w:rsidP="00FB03BA">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9F81" w14:textId="4752B5C7" w:rsidR="00B40FA3" w:rsidRDefault="00B40FA3" w:rsidP="00B40FA3">
    <w:pPr>
      <w:pStyle w:val="Encabezado"/>
      <w:tabs>
        <w:tab w:val="clear" w:pos="4252"/>
        <w:tab w:val="clear" w:pos="8504"/>
        <w:tab w:val="left" w:pos="3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307B4" w14:textId="77777777" w:rsidR="00EB77C7" w:rsidRDefault="00EB77C7" w:rsidP="00B40FA3">
    <w:pPr>
      <w:pStyle w:val="Encabezado"/>
      <w:jc w:val="right"/>
    </w:pPr>
    <w:r>
      <w:rPr>
        <w:sz w:val="20"/>
        <w:szCs w:val="20"/>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0F44F" w14:textId="4C9865D5" w:rsidR="00B40FA3" w:rsidRPr="00B40FA3" w:rsidRDefault="00B40FA3" w:rsidP="00B40FA3">
    <w:pPr>
      <w:pStyle w:val="Encabezado"/>
      <w:tabs>
        <w:tab w:val="clear" w:pos="4252"/>
        <w:tab w:val="clear" w:pos="8504"/>
        <w:tab w:val="left" w:pos="3680"/>
      </w:tabs>
      <w:jc w:val="right"/>
      <w:rPr>
        <w:sz w:val="20"/>
        <w:szCs w:val="20"/>
      </w:rPr>
    </w:pPr>
    <w:r w:rsidRPr="00B40FA3">
      <w:rPr>
        <w:sz w:val="20"/>
        <w:szCs w:val="20"/>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3217D" w14:textId="210820BD" w:rsidR="00B40FA3" w:rsidRPr="00B03C42" w:rsidRDefault="00EB77C7" w:rsidP="00EB77C7">
    <w:pPr>
      <w:pStyle w:val="Encabezado"/>
      <w:jc w:val="right"/>
    </w:pPr>
    <w:r>
      <w:rPr>
        <w:sz w:val="20"/>
        <w:szCs w:val="20"/>
      </w:rPr>
      <w:t xml:space="preserve">Hipótesis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6536D" w14:textId="5E40C129" w:rsidR="00B40FA3" w:rsidRPr="00B40FA3" w:rsidRDefault="00B40FA3" w:rsidP="00B40FA3">
    <w:pPr>
      <w:pStyle w:val="Encabezado"/>
      <w:tabs>
        <w:tab w:val="clear" w:pos="4252"/>
        <w:tab w:val="clear" w:pos="8504"/>
        <w:tab w:val="left" w:pos="3680"/>
      </w:tabs>
      <w:jc w:val="right"/>
      <w:rPr>
        <w:sz w:val="20"/>
        <w:szCs w:val="20"/>
      </w:rPr>
    </w:pPr>
    <w:r>
      <w:rPr>
        <w:sz w:val="20"/>
        <w:szCs w:val="20"/>
      </w:rPr>
      <w:t>Objetivos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9249D" w14:textId="77777777" w:rsidR="00EB77C7" w:rsidRPr="00183A4F" w:rsidRDefault="00EB77C7" w:rsidP="00EB77C7">
    <w:pPr>
      <w:pStyle w:val="Encabezado"/>
      <w:jc w:val="right"/>
    </w:pPr>
    <w:r w:rsidRPr="00183A4F">
      <w:rPr>
        <w:sz w:val="20"/>
        <w:szCs w:val="20"/>
      </w:rPr>
      <w:t>Materiales y métodos</w:t>
    </w:r>
  </w:p>
  <w:p w14:paraId="52E46352" w14:textId="74D696EE" w:rsidR="00EB77C7" w:rsidRPr="00EB77C7" w:rsidRDefault="00EB77C7" w:rsidP="00EB77C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26ACA" w14:textId="32EF8FFE" w:rsidR="00183A4F" w:rsidRPr="00183A4F" w:rsidRDefault="00183A4F" w:rsidP="00183A4F">
    <w:pPr>
      <w:pStyle w:val="Encabezado"/>
      <w:jc w:val="right"/>
    </w:pPr>
    <w:r w:rsidRPr="00183A4F">
      <w:rPr>
        <w:sz w:val="20"/>
        <w:szCs w:val="20"/>
      </w:rPr>
      <w:t>Materiales y métodos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55DD" w14:textId="77777777" w:rsidR="00EB77C7" w:rsidRPr="00B03C42" w:rsidRDefault="00EB77C7" w:rsidP="00EB77C7">
    <w:pPr>
      <w:pStyle w:val="Encabezado"/>
      <w:jc w:val="right"/>
      <w:rPr>
        <w:sz w:val="20"/>
        <w:szCs w:val="20"/>
      </w:rPr>
    </w:pPr>
    <w:r w:rsidRPr="00B03C42">
      <w:rPr>
        <w:sz w:val="20"/>
        <w:szCs w:val="20"/>
      </w:rPr>
      <w:t>Referencias bibliográficas</w:t>
    </w:r>
  </w:p>
  <w:p w14:paraId="0E3CC318" w14:textId="10698621" w:rsidR="00EB77C7" w:rsidRPr="00EB77C7" w:rsidRDefault="00EB77C7" w:rsidP="00EB77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1BDB48E1"/>
    <w:multiLevelType w:val="hybridMultilevel"/>
    <w:tmpl w:val="2200B8F2"/>
    <w:lvl w:ilvl="0" w:tplc="BCE059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03E86"/>
    <w:multiLevelType w:val="hybridMultilevel"/>
    <w:tmpl w:val="11DEF25C"/>
    <w:lvl w:ilvl="0" w:tplc="0C0A0013">
      <w:start w:val="1"/>
      <w:numFmt w:val="upperRoman"/>
      <w:lvlText w:val="%1."/>
      <w:lvlJc w:val="right"/>
      <w:pPr>
        <w:ind w:left="720" w:hanging="360"/>
      </w:pPr>
    </w:lvl>
    <w:lvl w:ilvl="1" w:tplc="81FC0A5E">
      <w:start w:val="1"/>
      <w:numFmt w:val="lowerRoman"/>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0D416E"/>
    <w:multiLevelType w:val="multilevel"/>
    <w:tmpl w:val="66EA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ADB2434"/>
    <w:multiLevelType w:val="multilevel"/>
    <w:tmpl w:val="01D4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40013"/>
    <w:multiLevelType w:val="hybridMultilevel"/>
    <w:tmpl w:val="878EB770"/>
    <w:lvl w:ilvl="0" w:tplc="AEBCD64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E72559"/>
    <w:multiLevelType w:val="hybridMultilevel"/>
    <w:tmpl w:val="FF8C3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70"/>
    <w:rsid w:val="00001EED"/>
    <w:rsid w:val="00005BF4"/>
    <w:rsid w:val="00014606"/>
    <w:rsid w:val="00014F4A"/>
    <w:rsid w:val="00017309"/>
    <w:rsid w:val="000209CD"/>
    <w:rsid w:val="000345C5"/>
    <w:rsid w:val="00034ED5"/>
    <w:rsid w:val="00036367"/>
    <w:rsid w:val="00046E68"/>
    <w:rsid w:val="00047B8A"/>
    <w:rsid w:val="00055001"/>
    <w:rsid w:val="00055135"/>
    <w:rsid w:val="000640A6"/>
    <w:rsid w:val="00081241"/>
    <w:rsid w:val="00082DA7"/>
    <w:rsid w:val="00093F1B"/>
    <w:rsid w:val="000A128A"/>
    <w:rsid w:val="000A1F2D"/>
    <w:rsid w:val="000A3D78"/>
    <w:rsid w:val="000B2BFD"/>
    <w:rsid w:val="000B7365"/>
    <w:rsid w:val="000C084C"/>
    <w:rsid w:val="000D57F6"/>
    <w:rsid w:val="000E54A2"/>
    <w:rsid w:val="001159DF"/>
    <w:rsid w:val="00117192"/>
    <w:rsid w:val="00134837"/>
    <w:rsid w:val="0015001C"/>
    <w:rsid w:val="00150FA6"/>
    <w:rsid w:val="001547E9"/>
    <w:rsid w:val="001566C5"/>
    <w:rsid w:val="00165425"/>
    <w:rsid w:val="00174004"/>
    <w:rsid w:val="00180C56"/>
    <w:rsid w:val="00183A4F"/>
    <w:rsid w:val="00183E0B"/>
    <w:rsid w:val="00184309"/>
    <w:rsid w:val="001876F9"/>
    <w:rsid w:val="001B39C6"/>
    <w:rsid w:val="001C7290"/>
    <w:rsid w:val="001D541E"/>
    <w:rsid w:val="001D546C"/>
    <w:rsid w:val="001D747F"/>
    <w:rsid w:val="001D792C"/>
    <w:rsid w:val="001F0CE1"/>
    <w:rsid w:val="002037B5"/>
    <w:rsid w:val="0021772C"/>
    <w:rsid w:val="00227823"/>
    <w:rsid w:val="00253567"/>
    <w:rsid w:val="0026690D"/>
    <w:rsid w:val="00287082"/>
    <w:rsid w:val="00296ACD"/>
    <w:rsid w:val="002A5997"/>
    <w:rsid w:val="002C0D97"/>
    <w:rsid w:val="002E43E2"/>
    <w:rsid w:val="002E7A08"/>
    <w:rsid w:val="002F180E"/>
    <w:rsid w:val="00313A51"/>
    <w:rsid w:val="00334C83"/>
    <w:rsid w:val="0034601F"/>
    <w:rsid w:val="00372407"/>
    <w:rsid w:val="00384369"/>
    <w:rsid w:val="003B360C"/>
    <w:rsid w:val="003D55CB"/>
    <w:rsid w:val="003D5B3A"/>
    <w:rsid w:val="003D75F5"/>
    <w:rsid w:val="003E1B5B"/>
    <w:rsid w:val="003E5458"/>
    <w:rsid w:val="003E58C4"/>
    <w:rsid w:val="003F6A1D"/>
    <w:rsid w:val="00401026"/>
    <w:rsid w:val="004020BF"/>
    <w:rsid w:val="004049C8"/>
    <w:rsid w:val="004050B6"/>
    <w:rsid w:val="00405542"/>
    <w:rsid w:val="004105D3"/>
    <w:rsid w:val="004156E2"/>
    <w:rsid w:val="00421EAC"/>
    <w:rsid w:val="00426EDA"/>
    <w:rsid w:val="00434078"/>
    <w:rsid w:val="0046659D"/>
    <w:rsid w:val="00466F49"/>
    <w:rsid w:val="004C719D"/>
    <w:rsid w:val="004D4913"/>
    <w:rsid w:val="005130B1"/>
    <w:rsid w:val="00516442"/>
    <w:rsid w:val="00517224"/>
    <w:rsid w:val="005252EB"/>
    <w:rsid w:val="00525C08"/>
    <w:rsid w:val="00545112"/>
    <w:rsid w:val="00547CA7"/>
    <w:rsid w:val="00576C78"/>
    <w:rsid w:val="00580D64"/>
    <w:rsid w:val="0059249C"/>
    <w:rsid w:val="005A2C91"/>
    <w:rsid w:val="005A614F"/>
    <w:rsid w:val="005C5AB9"/>
    <w:rsid w:val="005C78B4"/>
    <w:rsid w:val="005F522C"/>
    <w:rsid w:val="005F5E40"/>
    <w:rsid w:val="00617F40"/>
    <w:rsid w:val="006444CE"/>
    <w:rsid w:val="0064655F"/>
    <w:rsid w:val="006658A9"/>
    <w:rsid w:val="006722C9"/>
    <w:rsid w:val="00675333"/>
    <w:rsid w:val="00677000"/>
    <w:rsid w:val="006B0987"/>
    <w:rsid w:val="006C2584"/>
    <w:rsid w:val="006C28C2"/>
    <w:rsid w:val="006C4A6B"/>
    <w:rsid w:val="006C518D"/>
    <w:rsid w:val="006E277A"/>
    <w:rsid w:val="006F30AA"/>
    <w:rsid w:val="00703AC9"/>
    <w:rsid w:val="0070654C"/>
    <w:rsid w:val="00707427"/>
    <w:rsid w:val="007076B4"/>
    <w:rsid w:val="0071458C"/>
    <w:rsid w:val="00750061"/>
    <w:rsid w:val="00764CC5"/>
    <w:rsid w:val="00783CD2"/>
    <w:rsid w:val="007850BC"/>
    <w:rsid w:val="007868CE"/>
    <w:rsid w:val="00790039"/>
    <w:rsid w:val="007A45F8"/>
    <w:rsid w:val="007E0FAA"/>
    <w:rsid w:val="007E7796"/>
    <w:rsid w:val="007F5FB2"/>
    <w:rsid w:val="007F6259"/>
    <w:rsid w:val="008217C0"/>
    <w:rsid w:val="008305D7"/>
    <w:rsid w:val="00841AFC"/>
    <w:rsid w:val="00844198"/>
    <w:rsid w:val="008609E3"/>
    <w:rsid w:val="00866EC6"/>
    <w:rsid w:val="00867B48"/>
    <w:rsid w:val="008741B2"/>
    <w:rsid w:val="00875C33"/>
    <w:rsid w:val="008A6E6D"/>
    <w:rsid w:val="008B0F7C"/>
    <w:rsid w:val="008B47F4"/>
    <w:rsid w:val="008C4E97"/>
    <w:rsid w:val="008E217A"/>
    <w:rsid w:val="008E2B74"/>
    <w:rsid w:val="008E7F6C"/>
    <w:rsid w:val="0091313C"/>
    <w:rsid w:val="00927DE3"/>
    <w:rsid w:val="00947350"/>
    <w:rsid w:val="009530FB"/>
    <w:rsid w:val="009606D6"/>
    <w:rsid w:val="009A16A4"/>
    <w:rsid w:val="009B1319"/>
    <w:rsid w:val="009D08D4"/>
    <w:rsid w:val="009D2CB7"/>
    <w:rsid w:val="009D2F47"/>
    <w:rsid w:val="009D5823"/>
    <w:rsid w:val="009F4EE2"/>
    <w:rsid w:val="00A1798F"/>
    <w:rsid w:val="00A31D43"/>
    <w:rsid w:val="00A36D40"/>
    <w:rsid w:val="00A4217B"/>
    <w:rsid w:val="00A50520"/>
    <w:rsid w:val="00A51558"/>
    <w:rsid w:val="00A530B8"/>
    <w:rsid w:val="00A5437B"/>
    <w:rsid w:val="00A57FDC"/>
    <w:rsid w:val="00A801FB"/>
    <w:rsid w:val="00A84109"/>
    <w:rsid w:val="00A9668B"/>
    <w:rsid w:val="00AA3330"/>
    <w:rsid w:val="00AC14EF"/>
    <w:rsid w:val="00AE2633"/>
    <w:rsid w:val="00AE33AE"/>
    <w:rsid w:val="00AF6B84"/>
    <w:rsid w:val="00B00CC9"/>
    <w:rsid w:val="00B03C42"/>
    <w:rsid w:val="00B22F83"/>
    <w:rsid w:val="00B40FA3"/>
    <w:rsid w:val="00B5640B"/>
    <w:rsid w:val="00B73344"/>
    <w:rsid w:val="00B86B69"/>
    <w:rsid w:val="00B91909"/>
    <w:rsid w:val="00BA494A"/>
    <w:rsid w:val="00BA5642"/>
    <w:rsid w:val="00BB31E2"/>
    <w:rsid w:val="00BC10E0"/>
    <w:rsid w:val="00BC2C84"/>
    <w:rsid w:val="00BD0882"/>
    <w:rsid w:val="00BE0FD6"/>
    <w:rsid w:val="00BF1856"/>
    <w:rsid w:val="00BF59CE"/>
    <w:rsid w:val="00BF7B8A"/>
    <w:rsid w:val="00C07A2E"/>
    <w:rsid w:val="00C13D70"/>
    <w:rsid w:val="00C4365A"/>
    <w:rsid w:val="00C537FC"/>
    <w:rsid w:val="00C807A8"/>
    <w:rsid w:val="00C87B2C"/>
    <w:rsid w:val="00C93B4C"/>
    <w:rsid w:val="00CA46F9"/>
    <w:rsid w:val="00CC1485"/>
    <w:rsid w:val="00CC47B8"/>
    <w:rsid w:val="00CD13A6"/>
    <w:rsid w:val="00CE2A57"/>
    <w:rsid w:val="00D123EA"/>
    <w:rsid w:val="00D17D42"/>
    <w:rsid w:val="00D30649"/>
    <w:rsid w:val="00D31958"/>
    <w:rsid w:val="00D418A6"/>
    <w:rsid w:val="00D433EE"/>
    <w:rsid w:val="00D43E1E"/>
    <w:rsid w:val="00D508EF"/>
    <w:rsid w:val="00D74229"/>
    <w:rsid w:val="00D818D7"/>
    <w:rsid w:val="00D83119"/>
    <w:rsid w:val="00DB7D01"/>
    <w:rsid w:val="00DC63DA"/>
    <w:rsid w:val="00DE04EF"/>
    <w:rsid w:val="00DE1160"/>
    <w:rsid w:val="00DF4F0B"/>
    <w:rsid w:val="00E143E0"/>
    <w:rsid w:val="00E1710C"/>
    <w:rsid w:val="00E21DBF"/>
    <w:rsid w:val="00E2213E"/>
    <w:rsid w:val="00E23CAF"/>
    <w:rsid w:val="00E370C1"/>
    <w:rsid w:val="00E445C2"/>
    <w:rsid w:val="00E51BE7"/>
    <w:rsid w:val="00E520CC"/>
    <w:rsid w:val="00E623CD"/>
    <w:rsid w:val="00E7765E"/>
    <w:rsid w:val="00E87B54"/>
    <w:rsid w:val="00E93760"/>
    <w:rsid w:val="00E957C7"/>
    <w:rsid w:val="00E958B7"/>
    <w:rsid w:val="00EB77C7"/>
    <w:rsid w:val="00ED7B8D"/>
    <w:rsid w:val="00EF2789"/>
    <w:rsid w:val="00F06D3F"/>
    <w:rsid w:val="00F11603"/>
    <w:rsid w:val="00F16505"/>
    <w:rsid w:val="00F25179"/>
    <w:rsid w:val="00F41E1F"/>
    <w:rsid w:val="00F47619"/>
    <w:rsid w:val="00F567AF"/>
    <w:rsid w:val="00F72272"/>
    <w:rsid w:val="00F92F39"/>
    <w:rsid w:val="00FA028D"/>
    <w:rsid w:val="00FB03BA"/>
    <w:rsid w:val="00FB38F7"/>
    <w:rsid w:val="00FB5BBD"/>
    <w:rsid w:val="00FD4491"/>
    <w:rsid w:val="00FE1D6C"/>
    <w:rsid w:val="00FE3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F5BF"/>
  <w15:chartTrackingRefBased/>
  <w15:docId w15:val="{20F0589D-3CEA-4615-8581-25F98B8B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2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59C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4229"/>
    <w:pPr>
      <w:ind w:left="720"/>
      <w:contextualSpacing/>
    </w:pPr>
  </w:style>
  <w:style w:type="character" w:customStyle="1" w:styleId="Ttulo1Car">
    <w:name w:val="Título 1 Car"/>
    <w:basedOn w:val="Fuentedeprrafopredeter"/>
    <w:link w:val="Ttulo1"/>
    <w:uiPriority w:val="9"/>
    <w:rsid w:val="00B73344"/>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7334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2C8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4F4A"/>
    <w:pPr>
      <w:outlineLvl w:val="9"/>
    </w:pPr>
    <w:rPr>
      <w:lang w:eastAsia="es-ES"/>
    </w:rPr>
  </w:style>
  <w:style w:type="paragraph" w:styleId="TDC1">
    <w:name w:val="toc 1"/>
    <w:basedOn w:val="Normal"/>
    <w:next w:val="Normal"/>
    <w:autoRedefine/>
    <w:uiPriority w:val="39"/>
    <w:unhideWhenUsed/>
    <w:rsid w:val="00334C83"/>
    <w:pPr>
      <w:tabs>
        <w:tab w:val="right" w:leader="dot" w:pos="8494"/>
      </w:tabs>
      <w:spacing w:after="100" w:line="360" w:lineRule="auto"/>
    </w:pPr>
  </w:style>
  <w:style w:type="paragraph" w:styleId="TDC2">
    <w:name w:val="toc 2"/>
    <w:basedOn w:val="Normal"/>
    <w:next w:val="Normal"/>
    <w:autoRedefine/>
    <w:uiPriority w:val="39"/>
    <w:unhideWhenUsed/>
    <w:rsid w:val="00014F4A"/>
    <w:pPr>
      <w:spacing w:after="100"/>
      <w:ind w:left="220"/>
    </w:pPr>
  </w:style>
  <w:style w:type="character" w:styleId="Hipervnculo">
    <w:name w:val="Hyperlink"/>
    <w:basedOn w:val="Fuentedeprrafopredeter"/>
    <w:uiPriority w:val="99"/>
    <w:unhideWhenUsed/>
    <w:rsid w:val="00014F4A"/>
    <w:rPr>
      <w:color w:val="0563C1" w:themeColor="hyperlink"/>
      <w:u w:val="single"/>
    </w:rPr>
  </w:style>
  <w:style w:type="paragraph" w:styleId="Encabezado">
    <w:name w:val="header"/>
    <w:basedOn w:val="Normal"/>
    <w:link w:val="EncabezadoCar"/>
    <w:uiPriority w:val="99"/>
    <w:unhideWhenUsed/>
    <w:rsid w:val="004105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05D3"/>
  </w:style>
  <w:style w:type="paragraph" w:styleId="Piedepgina">
    <w:name w:val="footer"/>
    <w:basedOn w:val="Normal"/>
    <w:link w:val="PiedepginaCar"/>
    <w:uiPriority w:val="99"/>
    <w:unhideWhenUsed/>
    <w:rsid w:val="004105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05D3"/>
  </w:style>
  <w:style w:type="paragraph" w:styleId="TDC3">
    <w:name w:val="toc 3"/>
    <w:basedOn w:val="Normal"/>
    <w:next w:val="Normal"/>
    <w:autoRedefine/>
    <w:uiPriority w:val="39"/>
    <w:unhideWhenUsed/>
    <w:rsid w:val="004105D3"/>
    <w:pPr>
      <w:spacing w:after="100"/>
      <w:ind w:left="440"/>
    </w:pPr>
    <w:rPr>
      <w:rFonts w:eastAsiaTheme="minorEastAsia" w:cs="Times New Roman"/>
      <w:lang w:eastAsia="es-ES"/>
    </w:rPr>
  </w:style>
  <w:style w:type="numbering" w:customStyle="1" w:styleId="Importacidelestil2">
    <w:name w:val="Importació de l’estil 2"/>
    <w:rsid w:val="00DE116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8246">
      <w:bodyDiv w:val="1"/>
      <w:marLeft w:val="0"/>
      <w:marRight w:val="0"/>
      <w:marTop w:val="0"/>
      <w:marBottom w:val="0"/>
      <w:divBdr>
        <w:top w:val="none" w:sz="0" w:space="0" w:color="auto"/>
        <w:left w:val="none" w:sz="0" w:space="0" w:color="auto"/>
        <w:bottom w:val="none" w:sz="0" w:space="0" w:color="auto"/>
        <w:right w:val="none" w:sz="0" w:space="0" w:color="auto"/>
      </w:divBdr>
    </w:div>
    <w:div w:id="89531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6.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9.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8.xml"/><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FEC9-D555-4E14-9BE1-81D1539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22</Pages>
  <Words>25127</Words>
  <Characters>138199</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Yorda  Ibañez</dc:creator>
  <cp:keywords/>
  <dc:description/>
  <cp:lastModifiedBy>Anna Paula Yorda  Ibañez</cp:lastModifiedBy>
  <cp:revision>19</cp:revision>
  <cp:lastPrinted>2020-12-04T16:47:00Z</cp:lastPrinted>
  <dcterms:created xsi:type="dcterms:W3CDTF">2020-12-04T18:59:00Z</dcterms:created>
  <dcterms:modified xsi:type="dcterms:W3CDTF">2020-12-06T18:20:00Z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2b3c3c8e-8760-3b23-9f38-776c7115e0d5</vt:lpwstr>
  </property>
</Properties>
</file>