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13C" w:rsidRPr="0043191E" w:rsidRDefault="00F40C7B" w:rsidP="0043191E">
      <w:pPr>
        <w:pStyle w:val="Title"/>
        <w:pBdr>
          <w:bottom w:val="single" w:sz="4" w:space="4" w:color="8DB3E2" w:themeColor="text2" w:themeTint="66"/>
        </w:pBdr>
        <w:jc w:val="center"/>
        <w:rPr>
          <w:rFonts w:asciiTheme="minorHAnsi" w:hAnsiTheme="minorHAnsi"/>
          <w:b/>
          <w:color w:val="1F497D" w:themeColor="text2"/>
          <w:sz w:val="36"/>
        </w:rPr>
      </w:pPr>
      <w:r w:rsidRPr="0043191E">
        <w:rPr>
          <w:rFonts w:asciiTheme="minorHAnsi" w:hAnsiTheme="minorHAnsi"/>
          <w:b/>
          <w:color w:val="1F497D" w:themeColor="text2"/>
          <w:sz w:val="36"/>
        </w:rPr>
        <w:t>Quality Machine</w:t>
      </w:r>
    </w:p>
    <w:p w:rsidR="004C13CA" w:rsidRDefault="00F40C7B" w:rsidP="004C13CA">
      <w:pPr>
        <w:rPr>
          <w:lang w:val="en-US"/>
        </w:rPr>
      </w:pPr>
      <w:r>
        <w:rPr>
          <w:lang w:val="en-US"/>
        </w:rPr>
        <w:t>B</w:t>
      </w:r>
      <w:r w:rsidR="006D5A92" w:rsidRPr="006D5A92">
        <w:rPr>
          <w:lang w:val="en-US"/>
        </w:rPr>
        <w:t xml:space="preserve">ased on the results in </w:t>
      </w:r>
      <w:r w:rsidR="00461C11" w:rsidRPr="00461C11">
        <w:rPr>
          <w:i/>
          <w:lang w:val="en-US"/>
        </w:rPr>
        <w:t>Quality Minus Junk</w:t>
      </w:r>
      <w:r w:rsidR="00461C11">
        <w:rPr>
          <w:vertAlign w:val="superscript"/>
          <w:lang w:val="en-US"/>
        </w:rPr>
        <w:t>1</w:t>
      </w:r>
      <w:r w:rsidR="006D5A92" w:rsidRPr="006D5A92">
        <w:rPr>
          <w:lang w:val="en-US"/>
        </w:rPr>
        <w:t xml:space="preserve"> by </w:t>
      </w:r>
      <w:proofErr w:type="spellStart"/>
      <w:r w:rsidR="006D5A92" w:rsidRPr="006D5A92">
        <w:rPr>
          <w:lang w:val="en-US"/>
        </w:rPr>
        <w:t>Asness</w:t>
      </w:r>
      <w:proofErr w:type="spellEnd"/>
      <w:r w:rsidR="006D5A92" w:rsidRPr="006D5A92">
        <w:rPr>
          <w:lang w:val="en-US"/>
        </w:rPr>
        <w:t xml:space="preserve">, </w:t>
      </w:r>
      <w:proofErr w:type="spellStart"/>
      <w:r w:rsidR="006D5A92" w:rsidRPr="006D5A92">
        <w:rPr>
          <w:lang w:val="en-US"/>
        </w:rPr>
        <w:t>Frazzini</w:t>
      </w:r>
      <w:proofErr w:type="spellEnd"/>
      <w:r w:rsidR="006D5A92" w:rsidRPr="006D5A92">
        <w:rPr>
          <w:lang w:val="en-US"/>
        </w:rPr>
        <w:t xml:space="preserve"> </w:t>
      </w:r>
      <w:r w:rsidR="001C5740">
        <w:rPr>
          <w:lang w:val="en-US"/>
        </w:rPr>
        <w:t xml:space="preserve">and Pedersen. Their methodology </w:t>
      </w:r>
      <w:r w:rsidR="001C5740" w:rsidRPr="001C5740">
        <w:rPr>
          <w:lang w:val="en-US"/>
        </w:rPr>
        <w:t xml:space="preserve">includes long/short portfolios and in-sample estimated predictors of a company's future default probability. Furthermore, ad hoc choices are made regarding weighting of quality measures and stocks in the actual portfolio. These choices make it virtually impossible to replicate the portfolio in reality. </w:t>
      </w:r>
    </w:p>
    <w:p w:rsidR="004C13CA" w:rsidRDefault="004C13CA" w:rsidP="004C13CA">
      <w:pPr>
        <w:pBdr>
          <w:top w:val="single" w:sz="4" w:space="1" w:color="8DB3E2" w:themeColor="text2" w:themeTint="66"/>
          <w:left w:val="single" w:sz="4" w:space="4" w:color="8DB3E2" w:themeColor="text2" w:themeTint="66"/>
          <w:bottom w:val="single" w:sz="4" w:space="1" w:color="8DB3E2" w:themeColor="text2" w:themeTint="66"/>
          <w:right w:val="single" w:sz="4" w:space="4" w:color="8DB3E2" w:themeColor="text2" w:themeTint="66"/>
        </w:pBdr>
        <w:shd w:val="clear" w:color="auto" w:fill="C6D9F1" w:themeFill="text2" w:themeFillTint="33"/>
        <w:rPr>
          <w:lang w:val="en-US"/>
        </w:rPr>
      </w:pPr>
      <w:r>
        <w:rPr>
          <w:lang w:val="en-US"/>
        </w:rPr>
        <w:t xml:space="preserve">The empirical finance literature often employs averaging methods uses in-sample estimated factors and unrealistic assumptions when creating sample portfolios. These objections call into question the quantitative results. </w:t>
      </w:r>
    </w:p>
    <w:p w:rsidR="004C13CA" w:rsidRDefault="001C5740" w:rsidP="004C13CA">
      <w:pPr>
        <w:pBdr>
          <w:bottom w:val="single" w:sz="4" w:space="1" w:color="8DB3E2" w:themeColor="text2" w:themeTint="66"/>
        </w:pBdr>
        <w:rPr>
          <w:lang w:val="en-US"/>
        </w:rPr>
        <w:sectPr w:rsidR="004C13CA" w:rsidSect="00133035">
          <w:footerReference w:type="even" r:id="rId7"/>
          <w:footerReference w:type="default" r:id="rId8"/>
          <w:footerReference w:type="first" r:id="rId9"/>
          <w:pgSz w:w="11906" w:h="16838"/>
          <w:pgMar w:top="709" w:right="746" w:bottom="851" w:left="900" w:header="708" w:footer="708" w:gutter="0"/>
          <w:cols w:space="708"/>
          <w:titlePg/>
          <w:docGrid w:linePitch="360"/>
        </w:sectPr>
      </w:pPr>
      <w:r w:rsidRPr="001C5740">
        <w:rPr>
          <w:lang w:val="en-US"/>
        </w:rPr>
        <w:t>All these objections are handled by creating a factor that is a long-only portfolio assembled by a Random Forest. This machine learning mechanism is fed with balance sheet and stock return data of companies that existed in the last 5 years. In-sample estimated series are not included. The random forest learns from this data and applies the resulting decision rules to current book data. This approach gives similar results as the original paper, so it appears that the existence of the quality premium is robust to the author's methodology.</w:t>
      </w:r>
      <w:r w:rsidR="004C13CA">
        <w:rPr>
          <w:lang w:val="en-US"/>
        </w:rPr>
        <w:t xml:space="preserve"> </w:t>
      </w:r>
    </w:p>
    <w:p w:rsidR="006D5A92" w:rsidRPr="005968A4" w:rsidRDefault="006D5A92" w:rsidP="005968A4">
      <w:pPr>
        <w:rPr>
          <w:lang w:val="en-US"/>
        </w:rPr>
      </w:pPr>
      <w:r w:rsidRPr="006D5A92">
        <w:rPr>
          <w:lang w:val="en-US"/>
        </w:rPr>
        <w:t xml:space="preserve">Based on empirical results </w:t>
      </w:r>
      <w:proofErr w:type="spellStart"/>
      <w:r w:rsidRPr="006D5A92">
        <w:rPr>
          <w:lang w:val="en-US"/>
        </w:rPr>
        <w:t>Asness</w:t>
      </w:r>
      <w:proofErr w:type="spellEnd"/>
      <w:r w:rsidRPr="006D5A92">
        <w:rPr>
          <w:lang w:val="en-US"/>
        </w:rPr>
        <w:t xml:space="preserve"> et al. [2014] suggest the existence of a quality premium. They argue that investors should be willing t</w:t>
      </w:r>
      <w:r>
        <w:rPr>
          <w:lang w:val="en-US"/>
        </w:rPr>
        <w:t>o pay more for stocks that are:</w:t>
      </w:r>
      <w:r w:rsidR="005968A4">
        <w:rPr>
          <w:lang w:val="en-US"/>
        </w:rPr>
        <w:t xml:space="preserve"> </w:t>
      </w:r>
      <w:r w:rsidRPr="006D5A92">
        <w:rPr>
          <w:lang w:val="en-US"/>
        </w:rPr>
        <w:t>safe,</w:t>
      </w:r>
      <w:r w:rsidR="005968A4">
        <w:rPr>
          <w:lang w:val="en-US"/>
        </w:rPr>
        <w:t xml:space="preserve"> </w:t>
      </w:r>
      <w:r w:rsidRPr="006D5A92">
        <w:rPr>
          <w:lang w:val="en-US"/>
        </w:rPr>
        <w:t>profitable,</w:t>
      </w:r>
      <w:r w:rsidR="005968A4">
        <w:rPr>
          <w:lang w:val="en-US"/>
        </w:rPr>
        <w:t xml:space="preserve"> </w:t>
      </w:r>
      <w:r w:rsidRPr="006D5A92">
        <w:rPr>
          <w:lang w:val="en-US"/>
        </w:rPr>
        <w:t>growing,</w:t>
      </w:r>
      <w:r w:rsidR="005968A4">
        <w:rPr>
          <w:lang w:val="en-US"/>
        </w:rPr>
        <w:t xml:space="preserve"> </w:t>
      </w:r>
      <w:r w:rsidRPr="006D5A92">
        <w:rPr>
          <w:lang w:val="en-US"/>
        </w:rPr>
        <w:t>and well managed.</w:t>
      </w:r>
    </w:p>
    <w:p w:rsidR="006D5A92" w:rsidRPr="006D5A92" w:rsidRDefault="006D5A92" w:rsidP="006D5A92">
      <w:pPr>
        <w:rPr>
          <w:lang w:val="en-US"/>
        </w:rPr>
      </w:pPr>
      <w:r w:rsidRPr="006D5A92">
        <w:rPr>
          <w:lang w:val="en-US"/>
        </w:rPr>
        <w:t xml:space="preserve">These four properties of a company can be translated to more or less quantifiable characteristics. While diverse profitability measures exist in the accounting literature, measuring how well a company is managed is hardly possible. However, five characteristics that relate the </w:t>
      </w:r>
      <w:r w:rsidR="00F42440" w:rsidRPr="006D5A92">
        <w:rPr>
          <w:lang w:val="en-US"/>
        </w:rPr>
        <w:t>basic</w:t>
      </w:r>
      <w:r w:rsidRPr="006D5A92">
        <w:rPr>
          <w:lang w:val="en-US"/>
        </w:rPr>
        <w:t xml:space="preserve"> principles abov</w:t>
      </w:r>
      <w:r>
        <w:rPr>
          <w:lang w:val="en-US"/>
        </w:rPr>
        <w:t>e to balance sheet data emerge:</w:t>
      </w:r>
    </w:p>
    <w:p w:rsidR="006D5A92" w:rsidRPr="006D5A92" w:rsidRDefault="006D5A92" w:rsidP="006D5A92">
      <w:pPr>
        <w:pStyle w:val="ListParagraph"/>
        <w:numPr>
          <w:ilvl w:val="0"/>
          <w:numId w:val="2"/>
        </w:numPr>
        <w:rPr>
          <w:lang w:val="en-US"/>
        </w:rPr>
      </w:pPr>
      <w:r w:rsidRPr="006D5A92">
        <w:rPr>
          <w:lang w:val="en-US"/>
        </w:rPr>
        <w:t>Profitability</w:t>
      </w:r>
    </w:p>
    <w:p w:rsidR="006D5A92" w:rsidRPr="006D5A92" w:rsidRDefault="006D5A92" w:rsidP="006D5A92">
      <w:pPr>
        <w:pStyle w:val="ListParagraph"/>
        <w:numPr>
          <w:ilvl w:val="0"/>
          <w:numId w:val="2"/>
        </w:numPr>
        <w:rPr>
          <w:lang w:val="en-US"/>
        </w:rPr>
      </w:pPr>
      <w:r w:rsidRPr="006D5A92">
        <w:rPr>
          <w:lang w:val="en-US"/>
        </w:rPr>
        <w:t>Growth</w:t>
      </w:r>
    </w:p>
    <w:p w:rsidR="006D5A92" w:rsidRPr="006D5A92" w:rsidRDefault="006D5A92" w:rsidP="006D5A92">
      <w:pPr>
        <w:pStyle w:val="ListParagraph"/>
        <w:numPr>
          <w:ilvl w:val="0"/>
          <w:numId w:val="2"/>
        </w:numPr>
        <w:rPr>
          <w:lang w:val="en-US"/>
        </w:rPr>
      </w:pPr>
      <w:r w:rsidRPr="006D5A92">
        <w:rPr>
          <w:lang w:val="en-US"/>
        </w:rPr>
        <w:t>Safety</w:t>
      </w:r>
    </w:p>
    <w:p w:rsidR="006D5A92" w:rsidRPr="006D5A92" w:rsidRDefault="006D5A92" w:rsidP="006D5A92">
      <w:pPr>
        <w:pStyle w:val="ListParagraph"/>
        <w:numPr>
          <w:ilvl w:val="0"/>
          <w:numId w:val="2"/>
        </w:numPr>
        <w:rPr>
          <w:lang w:val="en-US"/>
        </w:rPr>
      </w:pPr>
      <w:r w:rsidRPr="006D5A92">
        <w:rPr>
          <w:lang w:val="en-US"/>
        </w:rPr>
        <w:t>Payout</w:t>
      </w:r>
    </w:p>
    <w:p w:rsidR="006D5A92" w:rsidRPr="006D5A92" w:rsidRDefault="006D5A92" w:rsidP="006D5A92">
      <w:pPr>
        <w:pStyle w:val="ListParagraph"/>
        <w:numPr>
          <w:ilvl w:val="0"/>
          <w:numId w:val="2"/>
        </w:numPr>
        <w:rPr>
          <w:lang w:val="en-US"/>
        </w:rPr>
      </w:pPr>
      <w:r w:rsidRPr="006D5A92">
        <w:rPr>
          <w:lang w:val="en-US"/>
        </w:rPr>
        <w:t>Book-to-Market</w:t>
      </w:r>
    </w:p>
    <w:p w:rsidR="006D5A92" w:rsidRPr="00F42440" w:rsidRDefault="006D5A92" w:rsidP="006D5A92">
      <w:pPr>
        <w:rPr>
          <w:b/>
          <w:lang w:val="en-US"/>
        </w:rPr>
      </w:pPr>
      <w:r w:rsidRPr="00F42440">
        <w:rPr>
          <w:b/>
          <w:lang w:val="en-US"/>
        </w:rPr>
        <w:t>Benchmark - Long Only</w:t>
      </w:r>
    </w:p>
    <w:p w:rsidR="00E33CCB" w:rsidRPr="00E33CCB" w:rsidRDefault="00E33CCB" w:rsidP="00E33CCB">
      <w:pPr>
        <w:rPr>
          <w:lang w:val="en-US"/>
        </w:rPr>
      </w:pPr>
      <w:r w:rsidRPr="00E33CCB">
        <w:rPr>
          <w:lang w:val="en-US"/>
        </w:rPr>
        <w:t xml:space="preserve">The benchmark portfolio mimics the portfolio constructed in </w:t>
      </w:r>
      <w:proofErr w:type="spellStart"/>
      <w:r w:rsidRPr="00E33CCB">
        <w:rPr>
          <w:lang w:val="en-US"/>
        </w:rPr>
        <w:t>Asness</w:t>
      </w:r>
      <w:proofErr w:type="spellEnd"/>
      <w:r w:rsidRPr="00E33CCB">
        <w:rPr>
          <w:lang w:val="en-US"/>
        </w:rPr>
        <w:t xml:space="preserve"> et al. [2014] in almost all characteristics. The only differences are that it is long only as opposed to long/short, and it weights stocks equally as opposed to linearly. In </w:t>
      </w:r>
      <w:proofErr w:type="spellStart"/>
      <w:r w:rsidRPr="00E33CCB">
        <w:rPr>
          <w:lang w:val="en-US"/>
        </w:rPr>
        <w:t>Asness</w:t>
      </w:r>
      <w:proofErr w:type="spellEnd"/>
      <w:r w:rsidRPr="00E33CCB">
        <w:rPr>
          <w:lang w:val="en-US"/>
        </w:rPr>
        <w:t xml:space="preserve"> et al. [2014] the top 30 percent quality stocks are bought and the worst 30 percent quality stocks are shorted. Their portfolio weights are linear in quality. E.g. the top</w:t>
      </w:r>
      <w:r>
        <w:rPr>
          <w:lang w:val="en-US"/>
        </w:rPr>
        <w:t>-</w:t>
      </w:r>
      <w:r w:rsidRPr="00E33CCB">
        <w:rPr>
          <w:lang w:val="en-US"/>
        </w:rPr>
        <w:t>quality stock has large share in the portfolio, the lowest quality stock that is still bought has a tiny fraction. Since very small and very large positions are infeasible for a real portfolio manager, the benchmark portfolio weights bought stocks equally.</w:t>
      </w:r>
    </w:p>
    <w:p w:rsidR="00E33CCB" w:rsidRPr="00E33CCB" w:rsidRDefault="00E33CCB" w:rsidP="00E33CCB">
      <w:pPr>
        <w:rPr>
          <w:lang w:val="en-US"/>
        </w:rPr>
      </w:pPr>
      <w:r w:rsidRPr="00E33CCB">
        <w:rPr>
          <w:lang w:val="en-US"/>
        </w:rPr>
        <w:t xml:space="preserve">Shorting stocks is also too often infeasible in </w:t>
      </w:r>
      <w:proofErr w:type="gramStart"/>
      <w:r w:rsidRPr="00E33CCB">
        <w:rPr>
          <w:lang w:val="en-US"/>
        </w:rPr>
        <w:t>reality,</w:t>
      </w:r>
      <w:proofErr w:type="gramEnd"/>
      <w:r w:rsidRPr="00E33CCB">
        <w:rPr>
          <w:lang w:val="en-US"/>
        </w:rPr>
        <w:t xml:space="preserve"> therefore the benchmark portfolio is long-only. </w:t>
      </w:r>
    </w:p>
    <w:p w:rsidR="006D5A92" w:rsidRPr="00F42440" w:rsidRDefault="006D5A92" w:rsidP="00E33CCB">
      <w:pPr>
        <w:rPr>
          <w:b/>
          <w:lang w:val="en-US"/>
        </w:rPr>
      </w:pPr>
      <w:r w:rsidRPr="00F42440">
        <w:rPr>
          <w:b/>
          <w:lang w:val="en-US"/>
        </w:rPr>
        <w:t>Random Forest</w:t>
      </w:r>
    </w:p>
    <w:p w:rsidR="00044687" w:rsidRPr="00044687" w:rsidRDefault="00044687" w:rsidP="00044687">
      <w:pPr>
        <w:rPr>
          <w:lang w:val="en-US"/>
        </w:rPr>
      </w:pPr>
      <w:r w:rsidRPr="00044687">
        <w:rPr>
          <w:lang w:val="en-US"/>
        </w:rPr>
        <w:t>The random forest portfolio is created on the basis of predicted return. The</w:t>
      </w:r>
      <w:r>
        <w:rPr>
          <w:lang w:val="en-US"/>
        </w:rPr>
        <w:t xml:space="preserve"> </w:t>
      </w:r>
      <w:r w:rsidRPr="00044687">
        <w:rPr>
          <w:lang w:val="en-US"/>
        </w:rPr>
        <w:t>companies with the top 10 percent predicted return are bought into the portfolio</w:t>
      </w:r>
      <w:r>
        <w:rPr>
          <w:lang w:val="en-US"/>
        </w:rPr>
        <w:t xml:space="preserve"> </w:t>
      </w:r>
      <w:r w:rsidRPr="00044687">
        <w:rPr>
          <w:lang w:val="en-US"/>
        </w:rPr>
        <w:t>with equal weights.</w:t>
      </w:r>
      <w:r w:rsidR="004C13CA">
        <w:rPr>
          <w:lang w:val="en-US"/>
        </w:rPr>
        <w:t xml:space="preserve"> </w:t>
      </w:r>
      <w:r w:rsidRPr="00044687">
        <w:rPr>
          <w:lang w:val="en-US"/>
        </w:rPr>
        <w:t>The return prediction is done using the same balance sheet data in two set ups.</w:t>
      </w:r>
      <w:r w:rsidR="005B3C27">
        <w:rPr>
          <w:lang w:val="en-US"/>
        </w:rPr>
        <w:t xml:space="preserve"> </w:t>
      </w:r>
      <w:r w:rsidRPr="00044687">
        <w:rPr>
          <w:lang w:val="en-US"/>
        </w:rPr>
        <w:t xml:space="preserve">At first </w:t>
      </w:r>
      <w:proofErr w:type="spellStart"/>
      <w:r w:rsidRPr="00044687">
        <w:rPr>
          <w:lang w:val="en-US"/>
        </w:rPr>
        <w:t>Altmann's</w:t>
      </w:r>
      <w:proofErr w:type="spellEnd"/>
      <w:r w:rsidRPr="00044687">
        <w:rPr>
          <w:lang w:val="en-US"/>
        </w:rPr>
        <w:t xml:space="preserve"> Z and </w:t>
      </w:r>
      <w:proofErr w:type="spellStart"/>
      <w:r w:rsidRPr="00044687">
        <w:rPr>
          <w:lang w:val="en-US"/>
        </w:rPr>
        <w:t>Ohlson's</w:t>
      </w:r>
      <w:proofErr w:type="spellEnd"/>
      <w:r w:rsidRPr="00044687">
        <w:rPr>
          <w:lang w:val="en-US"/>
        </w:rPr>
        <w:t xml:space="preserve"> O score are still included, then they are not</w:t>
      </w:r>
      <w:r>
        <w:rPr>
          <w:lang w:val="en-US"/>
        </w:rPr>
        <w:t xml:space="preserve"> </w:t>
      </w:r>
      <w:r w:rsidRPr="00044687">
        <w:rPr>
          <w:lang w:val="en-US"/>
        </w:rPr>
        <w:t>used as predictors.</w:t>
      </w:r>
    </w:p>
    <w:p w:rsidR="00044687" w:rsidRDefault="00044687" w:rsidP="00044687">
      <w:pPr>
        <w:rPr>
          <w:lang w:val="en-US"/>
        </w:rPr>
      </w:pPr>
      <w:r w:rsidRPr="00044687">
        <w:rPr>
          <w:lang w:val="en-US"/>
        </w:rPr>
        <w:t>At each portfolio decision point a forest with 1000 deci</w:t>
      </w:r>
      <w:r w:rsidR="00F35DFE">
        <w:rPr>
          <w:lang w:val="en-US"/>
        </w:rPr>
        <w:t>s</w:t>
      </w:r>
      <w:r w:rsidRPr="00044687">
        <w:rPr>
          <w:lang w:val="en-US"/>
        </w:rPr>
        <w:t>ion trees is grown. Each tree tries to explain annualized returns in the past 5 years as a function of balance sheet data from 5 years ago</w:t>
      </w:r>
      <w:r>
        <w:rPr>
          <w:lang w:val="en-US"/>
        </w:rPr>
        <w:t>.</w:t>
      </w:r>
      <w:r w:rsidR="004C13CA">
        <w:rPr>
          <w:lang w:val="en-US"/>
        </w:rPr>
        <w:t xml:space="preserve"> </w:t>
      </w:r>
      <w:r w:rsidRPr="00044687">
        <w:rPr>
          <w:lang w:val="en-US"/>
        </w:rPr>
        <w:t>For prediction purposes each tree generates a forecast, the final prediction is the</w:t>
      </w:r>
      <w:r>
        <w:rPr>
          <w:lang w:val="en-US"/>
        </w:rPr>
        <w:t xml:space="preserve"> mean over the individual ones.</w:t>
      </w:r>
    </w:p>
    <w:p w:rsidR="006D5A92" w:rsidRPr="00F42440" w:rsidRDefault="006D5A92" w:rsidP="00044687">
      <w:pPr>
        <w:rPr>
          <w:b/>
          <w:lang w:val="en-US"/>
        </w:rPr>
      </w:pPr>
      <w:r w:rsidRPr="00F42440">
        <w:rPr>
          <w:b/>
          <w:lang w:val="en-US"/>
        </w:rPr>
        <w:t>Results</w:t>
      </w:r>
    </w:p>
    <w:p w:rsidR="006D5A92" w:rsidRPr="006D5A92" w:rsidRDefault="00717898" w:rsidP="006D5A92">
      <w:pPr>
        <w:rPr>
          <w:lang w:val="en-US"/>
        </w:rPr>
      </w:pPr>
      <w:r>
        <w:rPr>
          <w:lang w:val="en-US"/>
        </w:rPr>
        <w:t xml:space="preserve">It can be obtained that the development of </w:t>
      </w:r>
      <w:r w:rsidR="00F01E7D">
        <w:rPr>
          <w:lang w:val="en-US"/>
        </w:rPr>
        <w:t xml:space="preserve">the </w:t>
      </w:r>
      <w:r>
        <w:rPr>
          <w:lang w:val="en-US"/>
        </w:rPr>
        <w:t>random forest</w:t>
      </w:r>
      <w:r w:rsidR="00F01E7D">
        <w:rPr>
          <w:lang w:val="en-US"/>
        </w:rPr>
        <w:t xml:space="preserve"> portfolio</w:t>
      </w:r>
      <w:r>
        <w:rPr>
          <w:lang w:val="en-US"/>
        </w:rPr>
        <w:t xml:space="preserve"> is rather good, </w:t>
      </w:r>
      <w:r w:rsidR="006D5A92" w:rsidRPr="006D5A92">
        <w:rPr>
          <w:lang w:val="en-US"/>
        </w:rPr>
        <w:t xml:space="preserve">with some kind of break after 2008, </w:t>
      </w:r>
      <w:r>
        <w:rPr>
          <w:lang w:val="en-US"/>
        </w:rPr>
        <w:t xml:space="preserve">most certainly caused by </w:t>
      </w:r>
      <w:r w:rsidR="006D5A92" w:rsidRPr="006D5A92">
        <w:rPr>
          <w:lang w:val="en-US"/>
        </w:rPr>
        <w:t>the financial crisis.</w:t>
      </w:r>
    </w:p>
    <w:p w:rsidR="008B784A" w:rsidRDefault="005B3C27" w:rsidP="006D5A92">
      <w:pPr>
        <w:rPr>
          <w:lang w:val="en-US"/>
        </w:rPr>
      </w:pPr>
      <w:r>
        <w:rPr>
          <w:noProof/>
          <w:lang w:eastAsia="de-DE"/>
        </w:rPr>
        <w:drawing>
          <wp:inline distT="0" distB="0" distL="0" distR="0" wp14:anchorId="063D09A1" wp14:editId="6EA70A5A">
            <wp:extent cx="2800350" cy="1686008"/>
            <wp:effectExtent l="0" t="0" r="0" b="9525"/>
            <wp:docPr id="7" name="Grafik 7" descr="C:\Users\Anna Sofia\Documents\Portfolio\performance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na Sofia\Documents\Portfolio\performance_al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462" b="8914"/>
                    <a:stretch/>
                  </pic:blipFill>
                  <pic:spPr bwMode="auto">
                    <a:xfrm>
                      <a:off x="0" y="0"/>
                      <a:ext cx="2802735" cy="1687444"/>
                    </a:xfrm>
                    <a:prstGeom prst="rect">
                      <a:avLst/>
                    </a:prstGeom>
                    <a:noFill/>
                    <a:ln>
                      <a:noFill/>
                    </a:ln>
                    <a:extLst>
                      <a:ext uri="{53640926-AAD7-44D8-BBD7-CCE9431645EC}">
                        <a14:shadowObscured xmlns:a14="http://schemas.microsoft.com/office/drawing/2010/main"/>
                      </a:ext>
                    </a:extLst>
                  </pic:spPr>
                </pic:pic>
              </a:graphicData>
            </a:graphic>
          </wp:inline>
        </w:drawing>
      </w:r>
    </w:p>
    <w:p w:rsidR="005B3C27" w:rsidRPr="006D5A92" w:rsidRDefault="005B3C27" w:rsidP="005B3C27">
      <w:pPr>
        <w:rPr>
          <w:lang w:val="en-US"/>
        </w:rPr>
      </w:pPr>
      <w:r w:rsidRPr="006D5A92">
        <w:rPr>
          <w:lang w:val="en-US"/>
        </w:rPr>
        <w:lastRenderedPageBreak/>
        <w:t xml:space="preserve">The results show that the benchmark portfolio (black) has similar results than the factor in </w:t>
      </w:r>
      <w:proofErr w:type="spellStart"/>
      <w:r w:rsidRPr="006D5A92">
        <w:rPr>
          <w:lang w:val="en-US"/>
        </w:rPr>
        <w:t>Asness</w:t>
      </w:r>
      <w:proofErr w:type="spellEnd"/>
      <w:r w:rsidRPr="006D5A92">
        <w:rPr>
          <w:lang w:val="en-US"/>
        </w:rPr>
        <w:t xml:space="preserve"> et al. [2014]. The random forest portfolio in the first set up does so even more, indicating that the existence of a quality premium is not dependent on the standardization of measures of characteristics or linear weighting of portfolio positions.</w:t>
      </w:r>
      <w:r>
        <w:rPr>
          <w:lang w:val="en-US"/>
        </w:rPr>
        <w:t xml:space="preserve"> </w:t>
      </w:r>
      <w:r w:rsidRPr="006D5A92">
        <w:rPr>
          <w:lang w:val="en-US"/>
        </w:rPr>
        <w:t>The second random forest portfolio without Z and O score (dark red) performs as well, even a bit better, than the random forest portfolio utilizing the two predictors (red).</w:t>
      </w:r>
    </w:p>
    <w:p w:rsidR="005B3C27" w:rsidRPr="006D5A92" w:rsidRDefault="005B3C27" w:rsidP="005B3C27">
      <w:pPr>
        <w:rPr>
          <w:lang w:val="en-US"/>
        </w:rPr>
      </w:pPr>
      <w:r w:rsidRPr="006D5A92">
        <w:rPr>
          <w:lang w:val="en-US"/>
        </w:rPr>
        <w:t>Annualized results are:</w:t>
      </w:r>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16"/>
        <w:gridCol w:w="1283"/>
        <w:gridCol w:w="1094"/>
        <w:gridCol w:w="1062"/>
      </w:tblGrid>
      <w:tr w:rsidR="005B3C27" w:rsidTr="00F27D33">
        <w:trPr>
          <w:trHeight w:val="402"/>
          <w:jc w:val="center"/>
        </w:trPr>
        <w:tc>
          <w:tcPr>
            <w:tcW w:w="1516" w:type="dxa"/>
            <w:vAlign w:val="center"/>
          </w:tcPr>
          <w:p w:rsidR="005B3C27" w:rsidRPr="00F27D33" w:rsidRDefault="005B3C27" w:rsidP="00487FC1">
            <w:pPr>
              <w:jc w:val="center"/>
              <w:rPr>
                <w:sz w:val="20"/>
                <w:lang w:val="en-US"/>
              </w:rPr>
            </w:pPr>
            <w:r w:rsidRPr="00F27D33">
              <w:rPr>
                <w:sz w:val="20"/>
                <w:lang w:val="en-US"/>
              </w:rPr>
              <w:t>Results</w:t>
            </w:r>
          </w:p>
        </w:tc>
        <w:tc>
          <w:tcPr>
            <w:tcW w:w="1283" w:type="dxa"/>
            <w:vAlign w:val="center"/>
          </w:tcPr>
          <w:p w:rsidR="005B3C27" w:rsidRPr="00F27D33" w:rsidRDefault="005B3C27" w:rsidP="00487FC1">
            <w:pPr>
              <w:jc w:val="center"/>
              <w:rPr>
                <w:sz w:val="20"/>
                <w:lang w:val="en-US"/>
              </w:rPr>
            </w:pPr>
            <w:r w:rsidRPr="00F27D33">
              <w:rPr>
                <w:sz w:val="20"/>
                <w:lang w:val="en-US"/>
              </w:rPr>
              <w:t>Benchmark</w:t>
            </w:r>
          </w:p>
        </w:tc>
        <w:tc>
          <w:tcPr>
            <w:tcW w:w="1094" w:type="dxa"/>
            <w:vAlign w:val="center"/>
          </w:tcPr>
          <w:p w:rsidR="005B3C27" w:rsidRPr="00F27D33" w:rsidRDefault="005B3C27" w:rsidP="00487FC1">
            <w:pPr>
              <w:jc w:val="center"/>
              <w:rPr>
                <w:sz w:val="20"/>
                <w:lang w:val="en-US"/>
              </w:rPr>
            </w:pPr>
            <w:r w:rsidRPr="00F27D33">
              <w:rPr>
                <w:sz w:val="20"/>
                <w:lang w:val="en-US"/>
              </w:rPr>
              <w:t>Random Forest</w:t>
            </w:r>
          </w:p>
        </w:tc>
        <w:tc>
          <w:tcPr>
            <w:tcW w:w="1062" w:type="dxa"/>
            <w:vAlign w:val="center"/>
          </w:tcPr>
          <w:p w:rsidR="005B3C27" w:rsidRPr="00F27D33" w:rsidRDefault="005B3C27" w:rsidP="00487FC1">
            <w:pPr>
              <w:jc w:val="center"/>
              <w:rPr>
                <w:sz w:val="20"/>
                <w:lang w:val="en-US"/>
              </w:rPr>
            </w:pPr>
            <w:r w:rsidRPr="00F27D33">
              <w:rPr>
                <w:sz w:val="20"/>
                <w:lang w:val="en-US"/>
              </w:rPr>
              <w:t>without Z and O</w:t>
            </w:r>
          </w:p>
        </w:tc>
      </w:tr>
      <w:tr w:rsidR="005B3C27" w:rsidTr="00F27D33">
        <w:trPr>
          <w:trHeight w:val="414"/>
          <w:jc w:val="center"/>
        </w:trPr>
        <w:tc>
          <w:tcPr>
            <w:tcW w:w="1516" w:type="dxa"/>
            <w:vAlign w:val="center"/>
          </w:tcPr>
          <w:p w:rsidR="005B3C27" w:rsidRPr="00F27D33" w:rsidRDefault="005B3C27" w:rsidP="00487FC1">
            <w:pPr>
              <w:jc w:val="center"/>
              <w:rPr>
                <w:sz w:val="20"/>
                <w:lang w:val="en-US"/>
              </w:rPr>
            </w:pPr>
            <w:r w:rsidRPr="00F27D33">
              <w:rPr>
                <w:sz w:val="20"/>
                <w:lang w:val="en-US"/>
              </w:rPr>
              <w:t>Annualized Return</w:t>
            </w:r>
          </w:p>
        </w:tc>
        <w:tc>
          <w:tcPr>
            <w:tcW w:w="1283" w:type="dxa"/>
            <w:vAlign w:val="center"/>
          </w:tcPr>
          <w:p w:rsidR="005B3C27" w:rsidRPr="00F27D33" w:rsidRDefault="005B3C27" w:rsidP="00487FC1">
            <w:pPr>
              <w:jc w:val="center"/>
              <w:rPr>
                <w:sz w:val="20"/>
                <w:lang w:val="en-US"/>
              </w:rPr>
            </w:pPr>
            <w:r w:rsidRPr="00F27D33">
              <w:rPr>
                <w:sz w:val="20"/>
                <w:lang w:val="en-US"/>
              </w:rPr>
              <w:t>0.1493</w:t>
            </w:r>
          </w:p>
        </w:tc>
        <w:tc>
          <w:tcPr>
            <w:tcW w:w="1094" w:type="dxa"/>
            <w:vAlign w:val="center"/>
          </w:tcPr>
          <w:p w:rsidR="005B3C27" w:rsidRPr="00F27D33" w:rsidRDefault="005B3C27" w:rsidP="00487FC1">
            <w:pPr>
              <w:jc w:val="center"/>
              <w:rPr>
                <w:sz w:val="20"/>
                <w:lang w:val="en-US"/>
              </w:rPr>
            </w:pPr>
            <w:r w:rsidRPr="00F27D33">
              <w:rPr>
                <w:sz w:val="20"/>
                <w:lang w:val="en-US"/>
              </w:rPr>
              <w:t>0.1808</w:t>
            </w:r>
          </w:p>
        </w:tc>
        <w:tc>
          <w:tcPr>
            <w:tcW w:w="1062" w:type="dxa"/>
            <w:vAlign w:val="center"/>
          </w:tcPr>
          <w:p w:rsidR="005B3C27" w:rsidRPr="00F27D33" w:rsidRDefault="005B3C27" w:rsidP="00487FC1">
            <w:pPr>
              <w:jc w:val="center"/>
              <w:rPr>
                <w:sz w:val="20"/>
                <w:lang w:val="en-US"/>
              </w:rPr>
            </w:pPr>
            <w:r w:rsidRPr="00F27D33">
              <w:rPr>
                <w:sz w:val="20"/>
                <w:lang w:val="en-US"/>
              </w:rPr>
              <w:t>0.1875</w:t>
            </w:r>
          </w:p>
        </w:tc>
      </w:tr>
      <w:tr w:rsidR="005B3C27" w:rsidTr="00F27D33">
        <w:trPr>
          <w:trHeight w:val="402"/>
          <w:jc w:val="center"/>
        </w:trPr>
        <w:tc>
          <w:tcPr>
            <w:tcW w:w="1516" w:type="dxa"/>
            <w:vAlign w:val="center"/>
          </w:tcPr>
          <w:p w:rsidR="005B3C27" w:rsidRPr="00F27D33" w:rsidRDefault="005B3C27" w:rsidP="00487FC1">
            <w:pPr>
              <w:jc w:val="center"/>
              <w:rPr>
                <w:sz w:val="20"/>
                <w:lang w:val="en-US"/>
              </w:rPr>
            </w:pPr>
            <w:r w:rsidRPr="00F27D33">
              <w:rPr>
                <w:sz w:val="20"/>
                <w:lang w:val="en-US"/>
              </w:rPr>
              <w:t xml:space="preserve">Annualized </w:t>
            </w:r>
            <w:proofErr w:type="spellStart"/>
            <w:r w:rsidRPr="00F27D33">
              <w:rPr>
                <w:sz w:val="20"/>
                <w:lang w:val="en-US"/>
              </w:rPr>
              <w:t>Std</w:t>
            </w:r>
            <w:proofErr w:type="spellEnd"/>
            <w:r w:rsidRPr="00F27D33">
              <w:rPr>
                <w:sz w:val="20"/>
                <w:lang w:val="en-US"/>
              </w:rPr>
              <w:t xml:space="preserve"> Dev</w:t>
            </w:r>
          </w:p>
        </w:tc>
        <w:tc>
          <w:tcPr>
            <w:tcW w:w="1283" w:type="dxa"/>
            <w:vAlign w:val="center"/>
          </w:tcPr>
          <w:p w:rsidR="005B3C27" w:rsidRPr="00F27D33" w:rsidRDefault="005B3C27" w:rsidP="00487FC1">
            <w:pPr>
              <w:jc w:val="center"/>
              <w:rPr>
                <w:sz w:val="20"/>
                <w:lang w:val="en-US"/>
              </w:rPr>
            </w:pPr>
            <w:r w:rsidRPr="00F27D33">
              <w:rPr>
                <w:sz w:val="20"/>
                <w:lang w:val="en-US"/>
              </w:rPr>
              <w:t>0.1755</w:t>
            </w:r>
          </w:p>
        </w:tc>
        <w:tc>
          <w:tcPr>
            <w:tcW w:w="1094" w:type="dxa"/>
            <w:vAlign w:val="center"/>
          </w:tcPr>
          <w:p w:rsidR="005B3C27" w:rsidRPr="00F27D33" w:rsidRDefault="005B3C27" w:rsidP="00487FC1">
            <w:pPr>
              <w:jc w:val="center"/>
              <w:rPr>
                <w:sz w:val="20"/>
                <w:lang w:val="en-US"/>
              </w:rPr>
            </w:pPr>
            <w:r w:rsidRPr="00F27D33">
              <w:rPr>
                <w:sz w:val="20"/>
                <w:lang w:val="en-US"/>
              </w:rPr>
              <w:t>0.2140</w:t>
            </w:r>
          </w:p>
        </w:tc>
        <w:tc>
          <w:tcPr>
            <w:tcW w:w="1062" w:type="dxa"/>
            <w:vAlign w:val="center"/>
          </w:tcPr>
          <w:p w:rsidR="005B3C27" w:rsidRPr="00F27D33" w:rsidRDefault="005B3C27" w:rsidP="00487FC1">
            <w:pPr>
              <w:jc w:val="center"/>
              <w:rPr>
                <w:sz w:val="20"/>
                <w:lang w:val="en-US"/>
              </w:rPr>
            </w:pPr>
            <w:r w:rsidRPr="00F27D33">
              <w:rPr>
                <w:sz w:val="20"/>
                <w:lang w:val="en-US"/>
              </w:rPr>
              <w:t>0.2107</w:t>
            </w:r>
          </w:p>
        </w:tc>
      </w:tr>
      <w:tr w:rsidR="005B3C27" w:rsidTr="00F27D33">
        <w:trPr>
          <w:trHeight w:val="414"/>
          <w:jc w:val="center"/>
        </w:trPr>
        <w:tc>
          <w:tcPr>
            <w:tcW w:w="1516" w:type="dxa"/>
            <w:vAlign w:val="center"/>
          </w:tcPr>
          <w:p w:rsidR="005B3C27" w:rsidRPr="00F27D33" w:rsidRDefault="005B3C27" w:rsidP="00487FC1">
            <w:pPr>
              <w:jc w:val="center"/>
              <w:rPr>
                <w:sz w:val="20"/>
                <w:lang w:val="en-US"/>
              </w:rPr>
            </w:pPr>
            <w:r w:rsidRPr="00F27D33">
              <w:rPr>
                <w:sz w:val="20"/>
                <w:lang w:val="en-US"/>
              </w:rPr>
              <w:t>Annualized Sharpe</w:t>
            </w:r>
          </w:p>
        </w:tc>
        <w:tc>
          <w:tcPr>
            <w:tcW w:w="1283" w:type="dxa"/>
            <w:vAlign w:val="center"/>
          </w:tcPr>
          <w:p w:rsidR="005B3C27" w:rsidRPr="00F27D33" w:rsidRDefault="005B3C27" w:rsidP="00487FC1">
            <w:pPr>
              <w:jc w:val="center"/>
              <w:rPr>
                <w:sz w:val="20"/>
                <w:lang w:val="en-US"/>
              </w:rPr>
            </w:pPr>
            <w:r w:rsidRPr="00F27D33">
              <w:rPr>
                <w:sz w:val="20"/>
                <w:lang w:val="en-US"/>
              </w:rPr>
              <w:t>0.5408</w:t>
            </w:r>
          </w:p>
        </w:tc>
        <w:tc>
          <w:tcPr>
            <w:tcW w:w="1094" w:type="dxa"/>
            <w:vAlign w:val="center"/>
          </w:tcPr>
          <w:p w:rsidR="005B3C27" w:rsidRPr="00F27D33" w:rsidRDefault="005B3C27" w:rsidP="00487FC1">
            <w:pPr>
              <w:jc w:val="center"/>
              <w:rPr>
                <w:sz w:val="20"/>
                <w:lang w:val="en-US"/>
              </w:rPr>
            </w:pPr>
            <w:r w:rsidRPr="00F27D33">
              <w:rPr>
                <w:sz w:val="20"/>
                <w:lang w:val="en-US"/>
              </w:rPr>
              <w:t>0.5840</w:t>
            </w:r>
          </w:p>
        </w:tc>
        <w:tc>
          <w:tcPr>
            <w:tcW w:w="1062" w:type="dxa"/>
            <w:vAlign w:val="center"/>
          </w:tcPr>
          <w:p w:rsidR="005B3C27" w:rsidRPr="00F27D33" w:rsidRDefault="005B3C27" w:rsidP="00487FC1">
            <w:pPr>
              <w:jc w:val="center"/>
              <w:rPr>
                <w:sz w:val="20"/>
                <w:lang w:val="en-US"/>
              </w:rPr>
            </w:pPr>
            <w:r w:rsidRPr="00F27D33">
              <w:rPr>
                <w:sz w:val="20"/>
                <w:lang w:val="en-US"/>
              </w:rPr>
              <w:t>0.6237</w:t>
            </w:r>
          </w:p>
        </w:tc>
      </w:tr>
    </w:tbl>
    <w:p w:rsidR="005B3C27" w:rsidRDefault="005B3C27" w:rsidP="006D5A92">
      <w:pPr>
        <w:rPr>
          <w:lang w:val="en-US"/>
        </w:rPr>
      </w:pPr>
    </w:p>
    <w:p w:rsidR="005B3C27" w:rsidRPr="0010779F" w:rsidRDefault="005B3C27" w:rsidP="006D5A92">
      <w:pPr>
        <w:rPr>
          <w:b/>
          <w:lang w:val="en-US"/>
        </w:rPr>
      </w:pPr>
      <w:r w:rsidRPr="0010779F">
        <w:rPr>
          <w:b/>
          <w:lang w:val="en-US"/>
        </w:rPr>
        <w:t>Robustness</w:t>
      </w:r>
    </w:p>
    <w:p w:rsidR="006D5A92" w:rsidRPr="006D5A92" w:rsidRDefault="006D5A92" w:rsidP="006D5A92">
      <w:pPr>
        <w:rPr>
          <w:lang w:val="en-US"/>
        </w:rPr>
      </w:pPr>
      <w:r w:rsidRPr="006D5A92">
        <w:rPr>
          <w:lang w:val="en-US"/>
        </w:rPr>
        <w:t xml:space="preserve">Let's take a look at the uncertainty of the forest. The variance within the trees for every single stock was determined after which the difference between the maximum and the minimum variance was chosen as the measurement of uncertainty. It would be interesting to know, </w:t>
      </w:r>
      <w:r w:rsidR="00CC5A49" w:rsidRPr="006D5A92">
        <w:rPr>
          <w:lang w:val="en-US"/>
        </w:rPr>
        <w:t>whether</w:t>
      </w:r>
      <w:r w:rsidRPr="006D5A92">
        <w:rPr>
          <w:lang w:val="en-US"/>
        </w:rPr>
        <w:t xml:space="preserve"> or not the performance of the random forest p</w:t>
      </w:r>
      <w:r w:rsidR="00CC5A49">
        <w:rPr>
          <w:lang w:val="en-US"/>
        </w:rPr>
        <w:t>or</w:t>
      </w:r>
      <w:r w:rsidRPr="006D5A92">
        <w:rPr>
          <w:lang w:val="en-US"/>
        </w:rPr>
        <w:t>tfolio is sensitive to the forest's uncertainty.</w:t>
      </w:r>
    </w:p>
    <w:p w:rsidR="006D5A92" w:rsidRPr="006D5A92" w:rsidRDefault="00DF60C1" w:rsidP="006D5A92">
      <w:pPr>
        <w:rPr>
          <w:lang w:val="en-US"/>
        </w:rPr>
      </w:pPr>
      <w:r>
        <w:rPr>
          <w:noProof/>
          <w:lang w:eastAsia="de-DE"/>
        </w:rPr>
        <w:drawing>
          <wp:inline distT="0" distB="0" distL="0" distR="0" wp14:anchorId="6B701EF8" wp14:editId="476113BE">
            <wp:extent cx="2867025" cy="2236280"/>
            <wp:effectExtent l="0" t="0" r="0" b="0"/>
            <wp:docPr id="3" name="Grafik 3" descr="C:\Users\Anna Sofia\Documents\Portfolio\rf_sd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a Sofia\Documents\Portfolio\rf_sd_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236280"/>
                    </a:xfrm>
                    <a:prstGeom prst="rect">
                      <a:avLst/>
                    </a:prstGeom>
                    <a:noFill/>
                    <a:ln>
                      <a:noFill/>
                    </a:ln>
                  </pic:spPr>
                </pic:pic>
              </a:graphicData>
            </a:graphic>
          </wp:inline>
        </w:drawing>
      </w:r>
    </w:p>
    <w:p w:rsidR="00DF60C1" w:rsidRDefault="00DF60C1" w:rsidP="006D5A92">
      <w:pPr>
        <w:rPr>
          <w:lang w:val="en-US"/>
        </w:rPr>
      </w:pPr>
      <w:bookmarkStart w:id="0" w:name="_GoBack"/>
      <w:bookmarkEnd w:id="0"/>
      <w:r>
        <w:rPr>
          <w:noProof/>
          <w:lang w:eastAsia="de-DE"/>
        </w:rPr>
        <w:drawing>
          <wp:inline distT="0" distB="0" distL="0" distR="0" wp14:anchorId="146EC04E" wp14:editId="77D433FE">
            <wp:extent cx="2867025" cy="2236280"/>
            <wp:effectExtent l="0" t="0" r="0" b="0"/>
            <wp:docPr id="5" name="Grafik 5" descr="C:\Users\Anna Sofia\Documents\Portfolio\rf_sd_ret_zo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na Sofia\Documents\Portfolio\rf_sd_ret_zoo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724" cy="2241506"/>
                    </a:xfrm>
                    <a:prstGeom prst="rect">
                      <a:avLst/>
                    </a:prstGeom>
                    <a:noFill/>
                    <a:ln>
                      <a:noFill/>
                    </a:ln>
                  </pic:spPr>
                </pic:pic>
              </a:graphicData>
            </a:graphic>
          </wp:inline>
        </w:drawing>
      </w:r>
    </w:p>
    <w:p w:rsidR="005262FA" w:rsidRDefault="006D5A92" w:rsidP="006D5A92">
      <w:pPr>
        <w:rPr>
          <w:lang w:val="en-US"/>
        </w:rPr>
        <w:sectPr w:rsidR="005262FA" w:rsidSect="00133035">
          <w:type w:val="continuous"/>
          <w:pgSz w:w="11906" w:h="16838"/>
          <w:pgMar w:top="709" w:right="746" w:bottom="851" w:left="900" w:header="708" w:footer="708" w:gutter="0"/>
          <w:cols w:num="2" w:space="206"/>
          <w:docGrid w:linePitch="360"/>
        </w:sectPr>
      </w:pPr>
      <w:r w:rsidRPr="006D5A92">
        <w:rPr>
          <w:lang w:val="en-US"/>
        </w:rPr>
        <w:t>There seems to be no high correlation and no distinctive relationship between the performance and the uncertainty.</w:t>
      </w:r>
    </w:p>
    <w:p w:rsidR="005262FA" w:rsidRPr="005262FA" w:rsidRDefault="005262FA" w:rsidP="005262FA">
      <w:pPr>
        <w:pBdr>
          <w:top w:val="single" w:sz="4" w:space="1" w:color="8DB3E2" w:themeColor="text2" w:themeTint="66"/>
        </w:pBdr>
        <w:spacing w:after="0"/>
        <w:rPr>
          <w:b/>
          <w:sz w:val="12"/>
          <w:lang w:val="en-US"/>
        </w:rPr>
      </w:pPr>
    </w:p>
    <w:p w:rsidR="006D5A92" w:rsidRPr="00345296" w:rsidRDefault="006D5A92" w:rsidP="005262FA">
      <w:pPr>
        <w:pBdr>
          <w:top w:val="single" w:sz="4" w:space="1" w:color="8DB3E2" w:themeColor="text2" w:themeTint="66"/>
        </w:pBdr>
        <w:rPr>
          <w:b/>
          <w:lang w:val="en-US"/>
        </w:rPr>
      </w:pPr>
      <w:r w:rsidRPr="00345296">
        <w:rPr>
          <w:b/>
          <w:lang w:val="en-US"/>
        </w:rPr>
        <w:t>Conclusion</w:t>
      </w:r>
    </w:p>
    <w:p w:rsidR="00420D15" w:rsidRPr="006D5A92" w:rsidRDefault="006D5A92" w:rsidP="006D5A92">
      <w:pPr>
        <w:rPr>
          <w:lang w:val="en-US"/>
        </w:rPr>
      </w:pPr>
      <w:r w:rsidRPr="006D5A92">
        <w:rPr>
          <w:lang w:val="en-US"/>
        </w:rPr>
        <w:t xml:space="preserve">In conclusion, the results in </w:t>
      </w:r>
      <w:proofErr w:type="spellStart"/>
      <w:r w:rsidRPr="006D5A92">
        <w:rPr>
          <w:lang w:val="en-US"/>
        </w:rPr>
        <w:t>Asness</w:t>
      </w:r>
      <w:proofErr w:type="spellEnd"/>
      <w:r w:rsidRPr="006D5A92">
        <w:rPr>
          <w:lang w:val="en-US"/>
        </w:rPr>
        <w:t xml:space="preserve"> et al. [2014] seem to be robust to the objections raised. Abandoning the ad hoc choices of long/short portfolios, linearly weighted portfolio positions, and standardization and equal weighting of measures and characteristics does not change the results to the worse. Both </w:t>
      </w:r>
      <w:proofErr w:type="spellStart"/>
      <w:r w:rsidRPr="006D5A92">
        <w:rPr>
          <w:lang w:val="en-US"/>
        </w:rPr>
        <w:t>Altmann's</w:t>
      </w:r>
      <w:proofErr w:type="spellEnd"/>
      <w:r w:rsidRPr="006D5A92">
        <w:rPr>
          <w:lang w:val="en-US"/>
        </w:rPr>
        <w:t xml:space="preserve"> Z score and </w:t>
      </w:r>
      <w:proofErr w:type="spellStart"/>
      <w:r w:rsidRPr="006D5A92">
        <w:rPr>
          <w:lang w:val="en-US"/>
        </w:rPr>
        <w:t>Ohlson's</w:t>
      </w:r>
      <w:proofErr w:type="spellEnd"/>
      <w:r w:rsidRPr="006D5A92">
        <w:rPr>
          <w:lang w:val="en-US"/>
        </w:rPr>
        <w:t xml:space="preserve"> O score, which are estimated in-sample, can be left out without weakening the claim of the existence of the quality premium.</w:t>
      </w:r>
    </w:p>
    <w:sectPr w:rsidR="00420D15" w:rsidRPr="006D5A92" w:rsidSect="00133035">
      <w:type w:val="continuous"/>
      <w:pgSz w:w="11906" w:h="16838"/>
      <w:pgMar w:top="709" w:right="746" w:bottom="851"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DED" w:rsidRDefault="00D90DED" w:rsidP="00461C11">
      <w:pPr>
        <w:spacing w:after="0" w:line="240" w:lineRule="auto"/>
      </w:pPr>
      <w:r>
        <w:separator/>
      </w:r>
    </w:p>
  </w:endnote>
  <w:endnote w:type="continuationSeparator" w:id="0">
    <w:p w:rsidR="00D90DED" w:rsidRDefault="00D90DED" w:rsidP="0046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C11" w:rsidRPr="00DB0CA2" w:rsidRDefault="00DB0CA2" w:rsidP="00DB0CA2">
    <w:pPr>
      <w:pStyle w:val="Footer"/>
      <w:pBdr>
        <w:top w:val="single" w:sz="18" w:space="1" w:color="8DB3E2" w:themeColor="text2" w:themeTint="66"/>
      </w:pBdr>
      <w:rPr>
        <w:i/>
      </w:rPr>
    </w:pPr>
    <w:r>
      <w:tab/>
    </w:r>
    <w:r>
      <w:tab/>
    </w:r>
    <w:r>
      <w:rPr>
        <w:i/>
      </w:rPr>
      <w:t>Anna Sofia Kircher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CA2" w:rsidRPr="00DB0CA2" w:rsidRDefault="00DB0CA2" w:rsidP="00DB0CA2">
    <w:pPr>
      <w:pStyle w:val="Footer"/>
      <w:pBdr>
        <w:top w:val="single" w:sz="18" w:space="1" w:color="8DB3E2" w:themeColor="text2" w:themeTint="66"/>
      </w:pBdr>
      <w:rPr>
        <w:i/>
      </w:rPr>
    </w:pPr>
    <w:r>
      <w:tab/>
    </w:r>
    <w:r>
      <w:tab/>
    </w:r>
    <w:r>
      <w:rPr>
        <w:i/>
      </w:rPr>
      <w:t xml:space="preserve">Anna </w:t>
    </w:r>
    <w:r>
      <w:rPr>
        <w:i/>
      </w:rPr>
      <w:t>Sofia Kircher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C11" w:rsidRDefault="00DB0CA2" w:rsidP="00DB0CA2">
    <w:pPr>
      <w:pStyle w:val="Footer"/>
      <w:pBdr>
        <w:top w:val="single" w:sz="18" w:space="1" w:color="8DB3E2" w:themeColor="text2" w:themeTint="66"/>
      </w:pBdr>
    </w:pPr>
    <w:r w:rsidRPr="00461C11">
      <w:rPr>
        <w:vertAlign w:val="superscript"/>
      </w:rPr>
      <w:t>1</w:t>
    </w:r>
    <w:r w:rsidRPr="00461C11">
      <w:t xml:space="preserve"> </w:t>
    </w:r>
    <w:r w:rsidRPr="00461C11">
      <w:rPr>
        <w:sz w:val="16"/>
      </w:rPr>
      <w:t>http://www.econ.yale.edu/~shiller/behfin/2013_04-10/asness-frazzini-pedersen.pdf</w:t>
    </w:r>
    <w:r w:rsidRPr="00461C11">
      <w:rPr>
        <w:sz w:val="16"/>
      </w:rPr>
      <w:tab/>
    </w:r>
    <w:r w:rsidRPr="00461C11">
      <w:rPr>
        <w:i/>
      </w:rPr>
      <w:t>Anna Sofia Kircher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DED" w:rsidRDefault="00D90DED" w:rsidP="00461C11">
      <w:pPr>
        <w:spacing w:after="0" w:line="240" w:lineRule="auto"/>
      </w:pPr>
      <w:r>
        <w:separator/>
      </w:r>
    </w:p>
  </w:footnote>
  <w:footnote w:type="continuationSeparator" w:id="0">
    <w:p w:rsidR="00D90DED" w:rsidRDefault="00D90DED" w:rsidP="00461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6031"/>
    <w:multiLevelType w:val="hybridMultilevel"/>
    <w:tmpl w:val="54965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190A24"/>
    <w:multiLevelType w:val="hybridMultilevel"/>
    <w:tmpl w:val="609E1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750A8A"/>
    <w:multiLevelType w:val="hybridMultilevel"/>
    <w:tmpl w:val="E7D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08159D"/>
    <w:multiLevelType w:val="hybridMultilevel"/>
    <w:tmpl w:val="D2FCA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3B531D"/>
    <w:multiLevelType w:val="hybridMultilevel"/>
    <w:tmpl w:val="9FC4B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4A3C5B"/>
    <w:multiLevelType w:val="hybridMultilevel"/>
    <w:tmpl w:val="48821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2B"/>
    <w:rsid w:val="00044687"/>
    <w:rsid w:val="00077C78"/>
    <w:rsid w:val="000902DC"/>
    <w:rsid w:val="0010779F"/>
    <w:rsid w:val="00133035"/>
    <w:rsid w:val="00145C2B"/>
    <w:rsid w:val="001C5740"/>
    <w:rsid w:val="002B10CE"/>
    <w:rsid w:val="002B7D9F"/>
    <w:rsid w:val="002E6C41"/>
    <w:rsid w:val="00345296"/>
    <w:rsid w:val="003D2579"/>
    <w:rsid w:val="00420D15"/>
    <w:rsid w:val="0043191E"/>
    <w:rsid w:val="00461C11"/>
    <w:rsid w:val="00466B25"/>
    <w:rsid w:val="00486191"/>
    <w:rsid w:val="00497A37"/>
    <w:rsid w:val="004A7C91"/>
    <w:rsid w:val="004B01C2"/>
    <w:rsid w:val="004C13CA"/>
    <w:rsid w:val="0050415C"/>
    <w:rsid w:val="005262FA"/>
    <w:rsid w:val="005968A4"/>
    <w:rsid w:val="005B3C27"/>
    <w:rsid w:val="005D020F"/>
    <w:rsid w:val="005F4506"/>
    <w:rsid w:val="006D5A92"/>
    <w:rsid w:val="00717898"/>
    <w:rsid w:val="0084713C"/>
    <w:rsid w:val="008B784A"/>
    <w:rsid w:val="008D07AC"/>
    <w:rsid w:val="009E3DD6"/>
    <w:rsid w:val="00B67C6B"/>
    <w:rsid w:val="00C51A17"/>
    <w:rsid w:val="00CC5A49"/>
    <w:rsid w:val="00D90DED"/>
    <w:rsid w:val="00DB0CA2"/>
    <w:rsid w:val="00DF60C1"/>
    <w:rsid w:val="00E33CCB"/>
    <w:rsid w:val="00EC04C3"/>
    <w:rsid w:val="00EC19A2"/>
    <w:rsid w:val="00F01E7D"/>
    <w:rsid w:val="00F11AFC"/>
    <w:rsid w:val="00F27D33"/>
    <w:rsid w:val="00F35DFE"/>
    <w:rsid w:val="00F40C7B"/>
    <w:rsid w:val="00F424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9167D"/>
  <w15:docId w15:val="{721F1FDB-AB30-4FDC-9BA7-6D4617B3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booktitle">
    <w:name w:val="Notebook_title"/>
    <w:basedOn w:val="Normal"/>
    <w:qFormat/>
    <w:rsid w:val="00EC04C3"/>
    <w:pPr>
      <w:jc w:val="center"/>
    </w:pPr>
    <w:rPr>
      <w:b/>
      <w:sz w:val="36"/>
      <w:lang w:val="en-US"/>
    </w:rPr>
  </w:style>
  <w:style w:type="paragraph" w:customStyle="1" w:styleId="Notebookhead1">
    <w:name w:val="Notebook_head1"/>
    <w:basedOn w:val="Normal"/>
    <w:qFormat/>
    <w:rsid w:val="00EC04C3"/>
    <w:rPr>
      <w:b/>
      <w:sz w:val="32"/>
      <w:lang w:val="en-US"/>
    </w:rPr>
  </w:style>
  <w:style w:type="paragraph" w:customStyle="1" w:styleId="Notebookhead2">
    <w:name w:val="Notebook_head2"/>
    <w:basedOn w:val="Normal"/>
    <w:qFormat/>
    <w:rsid w:val="00EC04C3"/>
    <w:rPr>
      <w:sz w:val="28"/>
      <w:lang w:val="en-US"/>
    </w:rPr>
  </w:style>
  <w:style w:type="paragraph" w:styleId="ListParagraph">
    <w:name w:val="List Paragraph"/>
    <w:basedOn w:val="Normal"/>
    <w:uiPriority w:val="34"/>
    <w:qFormat/>
    <w:rsid w:val="006D5A92"/>
    <w:pPr>
      <w:ind w:left="720"/>
      <w:contextualSpacing/>
    </w:pPr>
  </w:style>
  <w:style w:type="table" w:styleId="TableGrid">
    <w:name w:val="Table Grid"/>
    <w:basedOn w:val="TableNormal"/>
    <w:uiPriority w:val="59"/>
    <w:rsid w:val="00F0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84A"/>
    <w:rPr>
      <w:rFonts w:ascii="Tahoma" w:hAnsi="Tahoma" w:cs="Tahoma"/>
      <w:sz w:val="16"/>
      <w:szCs w:val="16"/>
    </w:rPr>
  </w:style>
  <w:style w:type="paragraph" w:styleId="Header">
    <w:name w:val="header"/>
    <w:basedOn w:val="Normal"/>
    <w:link w:val="HeaderChar"/>
    <w:uiPriority w:val="99"/>
    <w:unhideWhenUsed/>
    <w:rsid w:val="00461C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1C11"/>
  </w:style>
  <w:style w:type="paragraph" w:styleId="Footer">
    <w:name w:val="footer"/>
    <w:basedOn w:val="Normal"/>
    <w:link w:val="FooterChar"/>
    <w:uiPriority w:val="99"/>
    <w:unhideWhenUsed/>
    <w:rsid w:val="00461C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1C11"/>
  </w:style>
  <w:style w:type="character" w:styleId="Hyperlink">
    <w:name w:val="Hyperlink"/>
    <w:basedOn w:val="DefaultParagraphFont"/>
    <w:uiPriority w:val="99"/>
    <w:unhideWhenUsed/>
    <w:rsid w:val="00461C11"/>
    <w:rPr>
      <w:color w:val="0000FF" w:themeColor="hyperlink"/>
      <w:u w:val="single"/>
    </w:rPr>
  </w:style>
  <w:style w:type="paragraph" w:styleId="Title">
    <w:name w:val="Title"/>
    <w:basedOn w:val="Normal"/>
    <w:next w:val="Normal"/>
    <w:link w:val="TitleChar"/>
    <w:uiPriority w:val="10"/>
    <w:qFormat/>
    <w:rsid w:val="00431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91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768</Words>
  <Characters>4378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38</cp:revision>
  <dcterms:created xsi:type="dcterms:W3CDTF">2017-10-13T17:56:00Z</dcterms:created>
  <dcterms:modified xsi:type="dcterms:W3CDTF">2017-10-14T22:56:00Z</dcterms:modified>
</cp:coreProperties>
</file>