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4" w:name="basic-data-loss-prevention-dlp-advisory"/>
    <w:p>
      <w:pPr>
        <w:pStyle w:val="Heading1"/>
      </w:pPr>
      <w:r>
        <w:t xml:space="preserve">Basic Data Loss Prevention (DLP) Advisory</w:t>
      </w:r>
    </w:p>
    <w:bookmarkStart w:id="29" w:name="introduction-purpose"/>
    <w:p>
      <w:pPr>
        <w:pStyle w:val="Heading2"/>
      </w:pPr>
      <w:r>
        <w:t xml:space="preserve">Introduction &amp; Purpose</w:t>
      </w:r>
    </w:p>
    <w:p>
      <w:pPr>
        <w:pStyle w:val="FirstParagraph"/>
      </w:pPr>
      <w:r>
        <w:t xml:space="preserve">The purpose of this engagement is to help organisations establish a foundation for protecting sensitive information across Microsoft 365 using Data Loss Prevention (DLP).</w:t>
      </w:r>
    </w:p>
    <w:p>
      <w:pPr>
        <w:pStyle w:val="BodyText"/>
      </w:pPr>
      <w:r>
        <w:t xml:space="preserve">DLP is often misunderstood as a purely technical control. In reality, it is both a</w:t>
      </w:r>
      <w:r>
        <w:t xml:space="preserve"> </w:t>
      </w:r>
      <w:r>
        <w:rPr>
          <w:b/>
          <w:bCs/>
        </w:rPr>
        <w:t xml:space="preserve">business enabler</w:t>
      </w:r>
      <w:r>
        <w:t xml:space="preserve"> </w:t>
      </w:r>
      <w:r>
        <w:t xml:space="preserve">(protecting customer data, IP, and compliance posture) and a</w:t>
      </w:r>
      <w:r>
        <w:t xml:space="preserve"> </w:t>
      </w:r>
      <w:r>
        <w:rPr>
          <w:b/>
          <w:bCs/>
        </w:rPr>
        <w:t xml:space="preserve">risk control</w:t>
      </w:r>
      <w:r>
        <w:t xml:space="preserve">.</w:t>
      </w:r>
    </w:p>
    <w:p>
      <w:pPr>
        <w:pStyle w:val="BodyText"/>
      </w:pPr>
      <w:r>
        <w:t xml:space="preserve">This advisory is not intended to produce a fully customised set of DLP rules or deep policy engineering. Instead, it provides the customer with:</w:t>
      </w:r>
      <w:r>
        <w:br/>
      </w:r>
      <w:r>
        <w:t xml:space="preserve">- An understanding of</w:t>
      </w:r>
      <w:r>
        <w:t xml:space="preserve"> </w:t>
      </w:r>
      <w:r>
        <w:rPr>
          <w:b/>
          <w:bCs/>
        </w:rPr>
        <w:t xml:space="preserve">what DLP can and cannot do</w:t>
      </w:r>
      <w:r>
        <w:br/>
      </w:r>
      <w:r>
        <w:t xml:space="preserve">- A</w:t>
      </w:r>
      <w:r>
        <w:t xml:space="preserve"> </w:t>
      </w:r>
      <w:r>
        <w:rPr>
          <w:b/>
          <w:bCs/>
        </w:rPr>
        <w:t xml:space="preserve">baseline set of policies</w:t>
      </w:r>
      <w:r>
        <w:t xml:space="preserve"> </w:t>
      </w:r>
      <w:r>
        <w:t xml:space="preserve">aligned to business risks (PII, financial info, government IDs, etc.)</w:t>
      </w:r>
      <w:r>
        <w:br/>
      </w:r>
      <w:r>
        <w:t xml:space="preserve">- Guidance on how to monitor, tune, and expand DLP over time</w:t>
      </w:r>
    </w:p>
    <w:p>
      <w:r>
        <w:pict>
          <v:rect style="width:0;height:1.5pt" o:hralign="center" o:hrstd="t" o:hr="t"/>
        </w:pict>
      </w:r>
    </w:p>
    <w:bookmarkEnd w:id="29"/>
    <w:bookmarkStart w:id="30" w:name="rules-of-engagement"/>
    <w:p>
      <w:pPr>
        <w:pStyle w:val="Heading2"/>
      </w:pPr>
      <w:r>
        <w:t xml:space="preserve">Rules of Engagement</w:t>
      </w:r>
    </w:p>
    <w:p>
      <w:pPr>
        <w:pStyle w:val="FirstParagraph"/>
      </w:pPr>
      <w:r>
        <w:t xml:space="preserve">Keep in mind the E2 charter: customers should feel</w:t>
      </w:r>
      <w:r>
        <w:t xml:space="preserve"> </w:t>
      </w:r>
      <w:r>
        <w:rPr>
          <w:b/>
          <w:bCs/>
        </w:rPr>
        <w:t xml:space="preserve">knowledgeable, confident, and supported</w:t>
      </w:r>
      <w:r>
        <w:t xml:space="preserve"> </w:t>
      </w:r>
      <w:r>
        <w:t xml:space="preserve">in securing their business in Microsoft 365.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Stay high level</w:t>
      </w:r>
      <w:r>
        <w:t xml:space="preserve">: focus on policies, information types, and outcomes — not regex strings or advanced config.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Solution centric</w:t>
      </w:r>
      <w:r>
        <w:t xml:space="preserve">: tie DLP back to</w:t>
      </w:r>
      <w:r>
        <w:t xml:space="preserve"> </w:t>
      </w:r>
      <w:r>
        <w:rPr>
          <w:b/>
          <w:bCs/>
        </w:rPr>
        <w:t xml:space="preserve">business goals</w:t>
      </w:r>
      <w:r>
        <w:t xml:space="preserve"> </w:t>
      </w:r>
      <w:r>
        <w:t xml:space="preserve">— preventing accidental sharing, compliance reporting, protecting regulated data.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Avoid tactical debates</w:t>
      </w:r>
      <w:r>
        <w:t xml:space="preserve">: if customers want to dive into policy tuning (e.g., specific rules for a business unit), park that for a follow-up engagement.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Red flags</w:t>
      </w:r>
      <w:r>
        <w:t xml:space="preserve">: if a customer asks about custom regex, EDM schema design, or large-scale insider risk — steer them toward advanced Purview or IRM engagements.</w:t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Strategic lens</w:t>
      </w:r>
      <w:r>
        <w:t xml:space="preserve">: reinforce that DLP is not “set and forget” — policies must evolve as the business changes.</w:t>
      </w:r>
    </w:p>
    <w:p>
      <w:r>
        <w:pict>
          <v:rect style="width:0;height:1.5pt" o:hralign="center" o:hrstd="t" o:hr="t"/>
        </w:pict>
      </w:r>
    </w:p>
    <w:bookmarkEnd w:id="30"/>
    <w:bookmarkStart w:id="36" w:name="step-by-step-delivery"/>
    <w:p>
      <w:pPr>
        <w:pStyle w:val="Heading2"/>
      </w:pPr>
      <w:r>
        <w:t xml:space="preserve">Step-by-Step Delivery</w:t>
      </w:r>
    </w:p>
    <w:bookmarkStart w:id="31" w:name="step-1-define-goals-objectives"/>
    <w:p>
      <w:pPr>
        <w:pStyle w:val="Heading3"/>
      </w:pPr>
      <w:r>
        <w:t xml:space="preserve">Step 1 – Define Goals &amp; Objectives</w:t>
      </w:r>
    </w:p>
    <w:p>
      <w:pPr>
        <w:pStyle w:val="Compact"/>
        <w:numPr>
          <w:ilvl w:val="0"/>
          <w:numId w:val="1002"/>
        </w:numPr>
      </w:pPr>
      <w:r>
        <w:t xml:space="preserve">Ask:</w:t>
      </w:r>
      <w:r>
        <w:t xml:space="preserve"> </w:t>
      </w:r>
      <w:r>
        <w:rPr>
          <w:i/>
          <w:iCs/>
        </w:rPr>
        <w:t xml:space="preserve">What are the business drivers for DLP?</w:t>
      </w:r>
      <w:r>
        <w:t xml:space="preserve"> </w:t>
      </w:r>
      <w:r>
        <w:t xml:space="preserve">(compliance, IP protection, customer trust).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Align to existing policies: privacy statements, contracts, regulatory obligations (PSPF, GDPR, HIPAA).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Establish scope: which workloads matter most (Exchange, SharePoint, OneDrive, Teams).</w:t>
      </w:r>
    </w:p>
    <w:p>
      <w:pPr>
        <w:pStyle w:val="Compact"/>
        <w:numPr>
          <w:ilvl w:val="0"/>
          <w:numId w:val="1002"/>
        </w:numPr>
      </w:pPr>
      <w:r>
        <w:t xml:space="preserve">Clarify whether they see DLP as compliance-driven (regulators, audits), risk-driven (IP leakage), or productivity-driven (support Copilot adoption). This shapes what they value most in the policies.</w:t>
      </w:r>
    </w:p>
    <w:bookmarkEnd w:id="31"/>
    <w:bookmarkStart w:id="32" w:name="X5acfe0af41447f9285c5527097e107ba04af9b9"/>
    <w:p>
      <w:pPr>
        <w:pStyle w:val="Heading3"/>
      </w:pPr>
      <w:r>
        <w:t xml:space="preserve">Step 2 – Identify Sensitive Information Types</w:t>
      </w:r>
    </w:p>
    <w:p>
      <w:pPr>
        <w:pStyle w:val="Compact"/>
        <w:numPr>
          <w:ilvl w:val="0"/>
          <w:numId w:val="1003"/>
        </w:numPr>
      </w:pPr>
      <w:r>
        <w:t xml:space="preserve">Review Microsoft’s built-in sensitive info types (credit card, bank account, TFN, passport).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Discuss industry-specific requirements.</w:t>
      </w:r>
      <w:r>
        <w:br/>
      </w:r>
    </w:p>
    <w:p>
      <w:pPr>
        <w:pStyle w:val="Compact"/>
        <w:numPr>
          <w:ilvl w:val="0"/>
          <w:numId w:val="1003"/>
        </w:numPr>
      </w:pPr>
      <w:r>
        <w:t xml:space="preserve">Capture “must-protect” categories vs “nice-to-have”.</w:t>
      </w:r>
    </w:p>
    <w:bookmarkEnd w:id="32"/>
    <w:bookmarkStart w:id="33" w:name="step-3-build-baseline-policies"/>
    <w:p>
      <w:pPr>
        <w:pStyle w:val="Heading3"/>
      </w:pPr>
      <w:r>
        <w:t xml:space="preserve">Step 3 – Build Baseline Policies</w:t>
      </w:r>
    </w:p>
    <w:p>
      <w:pPr>
        <w:pStyle w:val="Compact"/>
        <w:numPr>
          <w:ilvl w:val="0"/>
          <w:numId w:val="1004"/>
        </w:numPr>
      </w:pPr>
      <w:r>
        <w:t xml:space="preserve">Create 2–3 starter policies in</w:t>
      </w:r>
      <w:r>
        <w:t xml:space="preserve"> </w:t>
      </w:r>
      <w:r>
        <w:rPr>
          <w:b/>
          <w:bCs/>
        </w:rPr>
        <w:t xml:space="preserve">audit mode</w:t>
      </w:r>
      <w:r>
        <w:t xml:space="preserve"> </w:t>
      </w:r>
      <w:r>
        <w:t xml:space="preserve">(no blocking yet).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Focus on</w:t>
      </w:r>
      <w:r>
        <w:t xml:space="preserve"> </w:t>
      </w:r>
      <w:r>
        <w:rPr>
          <w:b/>
          <w:bCs/>
        </w:rPr>
        <w:t xml:space="preserve">visibility first</w:t>
      </w:r>
      <w:r>
        <w:t xml:space="preserve">: where is sensitive data flowing?</w:t>
      </w:r>
      <w:r>
        <w:br/>
      </w:r>
    </w:p>
    <w:p>
      <w:pPr>
        <w:pStyle w:val="Compact"/>
        <w:numPr>
          <w:ilvl w:val="0"/>
          <w:numId w:val="1004"/>
        </w:numPr>
      </w:pPr>
      <w:r>
        <w:t xml:space="preserve">Examples: outbound email with PII, Teams chat with financial data, OneDrive sharing of IDs.</w:t>
      </w:r>
    </w:p>
    <w:p>
      <w:pPr>
        <w:pStyle w:val="Compact"/>
        <w:numPr>
          <w:ilvl w:val="0"/>
          <w:numId w:val="1004"/>
        </w:numPr>
      </w:pPr>
      <w:r>
        <w:t xml:space="preserve">Position these as ‘starter guardrails’, not permanent solutions, the point is to learn before enforcing.</w:t>
      </w:r>
    </w:p>
    <w:p>
      <w:pPr>
        <w:pStyle w:val="FirstParagraph"/>
      </w:pPr>
      <w:r>
        <w:rPr>
          <w:b/>
          <w:bCs/>
        </w:rPr>
        <w:t xml:space="preserve">Facilitator notes</w:t>
      </w:r>
      <w:r>
        <w:t xml:space="preserve"> </w:t>
      </w:r>
      <w:r>
        <w:t xml:space="preserve">- Use the blueprint to frame a two-step path: observe (audit-mode DLP) → enforce (graduated controls).</w:t>
      </w:r>
      <w:r>
        <w:br/>
      </w:r>
      <w:r>
        <w:t xml:space="preserve">- Tie DLP policy scope and admin roles back to the blueprint’s “secure defaults” to avoid one-off exceptions.</w:t>
      </w:r>
    </w:p>
    <w:bookmarkEnd w:id="33"/>
    <w:bookmarkStart w:id="34" w:name="step-4-review-tune"/>
    <w:p>
      <w:pPr>
        <w:pStyle w:val="Heading3"/>
      </w:pPr>
      <w:r>
        <w:t xml:space="preserve">Step 4 – Review &amp; Tune</w:t>
      </w:r>
    </w:p>
    <w:p>
      <w:pPr>
        <w:pStyle w:val="Compact"/>
        <w:numPr>
          <w:ilvl w:val="0"/>
          <w:numId w:val="1005"/>
        </w:numPr>
      </w:pPr>
      <w:r>
        <w:t xml:space="preserve">After ~2 weeks, review policy match reports.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Discuss false positives and adjust rules.</w:t>
      </w:r>
      <w:r>
        <w:br/>
      </w:r>
    </w:p>
    <w:p>
      <w:pPr>
        <w:pStyle w:val="Compact"/>
        <w:numPr>
          <w:ilvl w:val="0"/>
          <w:numId w:val="1005"/>
        </w:numPr>
      </w:pPr>
      <w:r>
        <w:t xml:space="preserve">Escalate findings:</w:t>
      </w:r>
      <w:r>
        <w:t xml:space="preserve"> </w:t>
      </w:r>
      <w:r>
        <w:rPr>
          <w:i/>
          <w:iCs/>
        </w:rPr>
        <w:t xml:space="preserve">“Did you know HR data is being shared via Teams without encryption?”</w:t>
      </w:r>
    </w:p>
    <w:bookmarkEnd w:id="34"/>
    <w:bookmarkStart w:id="35" w:name="step-5-move-to-enforcement"/>
    <w:p>
      <w:pPr>
        <w:pStyle w:val="Heading3"/>
      </w:pPr>
      <w:r>
        <w:t xml:space="preserve">Step 5 – Move to Enforcement</w:t>
      </w:r>
    </w:p>
    <w:p>
      <w:pPr>
        <w:pStyle w:val="Compact"/>
        <w:numPr>
          <w:ilvl w:val="0"/>
          <w:numId w:val="1006"/>
        </w:numPr>
      </w:pPr>
      <w:r>
        <w:t xml:space="preserve">Transition selected policies from audit to enforcement.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Start light: block external sharing of PII, require justification for internal sharing of TFNs.</w:t>
      </w:r>
      <w:r>
        <w:br/>
      </w:r>
    </w:p>
    <w:p>
      <w:pPr>
        <w:pStyle w:val="Compact"/>
        <w:numPr>
          <w:ilvl w:val="0"/>
          <w:numId w:val="1006"/>
        </w:numPr>
      </w:pPr>
      <w:r>
        <w:t xml:space="preserve">Build governance process: who approves exceptions, who reviews reports.</w:t>
      </w:r>
    </w:p>
    <w:p>
      <w:r>
        <w:pict>
          <v:rect style="width:0;height:1.5pt" o:hralign="center" o:hrstd="t" o:hr="t"/>
        </w:pict>
      </w:r>
    </w:p>
    <w:bookmarkEnd w:id="35"/>
    <w:bookmarkEnd w:id="36"/>
    <w:bookmarkStart w:id="37" w:name="engagement-outputs"/>
    <w:p>
      <w:pPr>
        <w:pStyle w:val="Heading2"/>
      </w:pPr>
      <w:r>
        <w:t xml:space="preserve">Engagement Outputs</w:t>
      </w:r>
    </w:p>
    <w:p>
      <w:pPr>
        <w:pStyle w:val="FirstParagraph"/>
      </w:pPr>
      <w:r>
        <w:t xml:space="preserve">By the end of this advisory, the customer should have:</w:t>
      </w:r>
      <w:r>
        <w:br/>
      </w:r>
      <w:r>
        <w:t xml:space="preserve">- A documented</w:t>
      </w:r>
      <w:r>
        <w:t xml:space="preserve"> </w:t>
      </w:r>
      <w:r>
        <w:rPr>
          <w:b/>
          <w:bCs/>
        </w:rPr>
        <w:t xml:space="preserve">DLP baseline policy set</w:t>
      </w:r>
      <w:r>
        <w:t xml:space="preserve"> </w:t>
      </w:r>
      <w:r>
        <w:t xml:space="preserve">(at least 2–3 active policies).</w:t>
      </w:r>
      <w:r>
        <w:br/>
      </w:r>
      <w:r>
        <w:t xml:space="preserve">- A</w:t>
      </w:r>
      <w:r>
        <w:t xml:space="preserve"> </w:t>
      </w:r>
      <w:r>
        <w:rPr>
          <w:b/>
          <w:bCs/>
        </w:rPr>
        <w:t xml:space="preserve">sensitive information register</w:t>
      </w:r>
      <w:r>
        <w:t xml:space="preserve"> </w:t>
      </w:r>
      <w:r>
        <w:t xml:space="preserve">(top 5 data types to protect).</w:t>
      </w:r>
      <w:r>
        <w:br/>
      </w:r>
      <w:r>
        <w:t xml:space="preserve">- A</w:t>
      </w:r>
      <w:r>
        <w:t xml:space="preserve"> </w:t>
      </w:r>
      <w:r>
        <w:rPr>
          <w:b/>
          <w:bCs/>
        </w:rPr>
        <w:t xml:space="preserve">policy monitoring plan</w:t>
      </w:r>
      <w:r>
        <w:t xml:space="preserve"> </w:t>
      </w:r>
      <w:r>
        <w:t xml:space="preserve">(who reviews, how often).</w:t>
      </w:r>
      <w:r>
        <w:br/>
      </w:r>
      <w:r>
        <w:t xml:space="preserve">- A list of</w:t>
      </w:r>
      <w:r>
        <w:t xml:space="preserve"> </w:t>
      </w:r>
      <w:r>
        <w:rPr>
          <w:b/>
          <w:bCs/>
        </w:rPr>
        <w:t xml:space="preserve">quick wins</w:t>
      </w:r>
      <w:r>
        <w:t xml:space="preserve"> </w:t>
      </w:r>
      <w:r>
        <w:t xml:space="preserve">and a roadmap for advanced DLP (endpoint DLP, EDM, IRM).</w:t>
      </w:r>
      <w:r>
        <w:t xml:space="preserve"> </w:t>
      </w:r>
      <w:r>
        <w:t xml:space="preserve">- Defined reporting cadence (e.g., monthly DLP report to IT Security + quarterly update to executives).</w:t>
      </w:r>
    </w:p>
    <w:p>
      <w:r>
        <w:pict>
          <v:rect style="width:0;height:1.5pt" o:hralign="center" o:hrstd="t" o:hr="t"/>
        </w:pict>
      </w:r>
    </w:p>
    <w:bookmarkEnd w:id="37"/>
    <w:bookmarkStart w:id="43" w:name="references-learning-resources"/>
    <w:p>
      <w:pPr>
        <w:pStyle w:val="Heading2"/>
      </w:pPr>
      <w:r>
        <w:t xml:space="preserve">References &amp; Learning Resources</w:t>
      </w:r>
    </w:p>
    <w:p>
      <w:pPr>
        <w:pStyle w:val="Compact"/>
        <w:numPr>
          <w:ilvl w:val="0"/>
          <w:numId w:val="1007"/>
        </w:numPr>
      </w:pPr>
      <w:hyperlink r:id="rId38">
        <w:r>
          <w:rPr>
            <w:rStyle w:val="Hyperlink"/>
          </w:rPr>
          <w:t xml:space="preserve">Microsoft Learn – Implement and Manage DLP</w:t>
        </w:r>
      </w:hyperlink>
      <w:r>
        <w:br/>
      </w:r>
    </w:p>
    <w:p>
      <w:pPr>
        <w:pStyle w:val="Compact"/>
        <w:numPr>
          <w:ilvl w:val="0"/>
          <w:numId w:val="1007"/>
        </w:numPr>
      </w:pPr>
      <w:hyperlink r:id="rId39">
        <w:r>
          <w:rPr>
            <w:rStyle w:val="Hyperlink"/>
          </w:rPr>
          <w:t xml:space="preserve">Beginner’s Guide to M365 DLP (HubSite365)</w:t>
        </w:r>
      </w:hyperlink>
      <w:r>
        <w:br/>
      </w:r>
    </w:p>
    <w:p>
      <w:pPr>
        <w:pStyle w:val="Compact"/>
        <w:numPr>
          <w:ilvl w:val="0"/>
          <w:numId w:val="1007"/>
        </w:numPr>
      </w:pPr>
      <w:hyperlink r:id="rId40">
        <w:r>
          <w:rPr>
            <w:rStyle w:val="Hyperlink"/>
          </w:rPr>
          <w:t xml:space="preserve">Microsoft Purview DLP Best Practices (Nikki Chappell)</w:t>
        </w:r>
      </w:hyperlink>
      <w:r>
        <w:br/>
      </w:r>
    </w:p>
    <w:p>
      <w:pPr>
        <w:pStyle w:val="Compact"/>
        <w:numPr>
          <w:ilvl w:val="0"/>
          <w:numId w:val="1007"/>
        </w:numPr>
      </w:pPr>
      <w:hyperlink r:id="rId41">
        <w:r>
          <w:rPr>
            <w:rStyle w:val="Hyperlink"/>
          </w:rPr>
          <w:t xml:space="preserve">Data Loss Prevention Guide for M365 (ArchTIS)</w:t>
        </w:r>
      </w:hyperlink>
      <w:r>
        <w:br/>
      </w:r>
    </w:p>
    <w:p>
      <w:pPr>
        <w:pStyle w:val="Compact"/>
        <w:numPr>
          <w:ilvl w:val="0"/>
          <w:numId w:val="1007"/>
        </w:numPr>
      </w:pPr>
      <w:hyperlink r:id="rId42">
        <w:r>
          <w:rPr>
            <w:rStyle w:val="Hyperlink"/>
          </w:rPr>
          <w:t xml:space="preserve">Microsoft Blog – Securing Data with Purview</w:t>
        </w:r>
      </w:hyperlink>
    </w:p>
    <w:p>
      <w:r>
        <w:pict>
          <v:rect style="width:0;height:1.5pt" o:hralign="center" o:hrstd="t" o:hr="t"/>
        </w:pict>
      </w:r>
    </w:p>
    <w:bookmarkEnd w:id="43"/>
    <w:bookmarkEnd w:id="44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Relationship Type="http://schemas.openxmlformats.org/officeDocument/2006/relationships/hyperlink" Id="rId38" Target="https://learn.microsoft.com/en-us/training/paths/purview-implement-manage-dlp/" TargetMode="External" /><Relationship Type="http://schemas.openxmlformats.org/officeDocument/2006/relationships/hyperlink" Id="rId40" Target="https://nikkichapple.com/microsoft-purview-dlp-best-practices/" TargetMode="External" /><Relationship Type="http://schemas.openxmlformats.org/officeDocument/2006/relationships/hyperlink" Id="rId41" Target="https://www.archtis.com/data-loss-prevention-guide-for-microsoft-365-and-sharepoint/" TargetMode="External" /><Relationship Type="http://schemas.openxmlformats.org/officeDocument/2006/relationships/hyperlink" Id="rId39" Target="https://www.hubsite365.com/en-ww/crm-pages/data-loss-prevention-in-microsoft-365-easy-guide-for-beginners-01a76489-6ca2-405e-b57a-afc94ad6f880.htm" TargetMode="External" /><Relationship Type="http://schemas.openxmlformats.org/officeDocument/2006/relationships/hyperlink" Id="rId42" Target="https://www.microsoft.com/en-us/security/blog/2025/04/25/explore-practical-best-practices-to-secure-your-data-with-microsoft-purview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8" Target="https://learn.microsoft.com/en-us/training/paths/purview-implement-manage-dlp/" TargetMode="External" /><Relationship Type="http://schemas.openxmlformats.org/officeDocument/2006/relationships/hyperlink" Id="rId40" Target="https://nikkichapple.com/microsoft-purview-dlp-best-practices/" TargetMode="External" /><Relationship Type="http://schemas.openxmlformats.org/officeDocument/2006/relationships/hyperlink" Id="rId41" Target="https://www.archtis.com/data-loss-prevention-guide-for-microsoft-365-and-sharepoint/" TargetMode="External" /><Relationship Type="http://schemas.openxmlformats.org/officeDocument/2006/relationships/hyperlink" Id="rId39" Target="https://www.hubsite365.com/en-ww/crm-pages/data-loss-prevention-in-microsoft-365-easy-guide-for-beginners-01a76489-6ca2-405e-b57a-afc94ad6f880.htm" TargetMode="External" /><Relationship Type="http://schemas.openxmlformats.org/officeDocument/2006/relationships/hyperlink" Id="rId42" Target="https://www.microsoft.com/en-us/security/blog/2025/04/25/explore-practical-best-practices-to-secure-your-data-with-microsoft-purview/" TargetMode="Externa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2025-10-09T02:13:52Z</dcterms:created>
  <dcterms:modified xsi:type="dcterms:W3CDTF">2025-10-09T02:13:52Z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