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5" w:name="engage-squared-security-deliveries"/>
    <w:p>
      <w:pPr>
        <w:pStyle w:val="Heading1"/>
      </w:pPr>
      <w:r>
        <w:t xml:space="preserve">Engage Squared Security Deliveries</w:t>
      </w:r>
    </w:p>
    <w:p>
      <w:pPr>
        <w:pStyle w:val="FirstParagraph"/>
      </w:pPr>
      <w:r>
        <w:t xml:space="preserve">This repository houses delivery playbooks and learning modules to standardise high-quality security engagements. Each module is designed as a self-contained facilitator guide with business-aligned content, reference material, and templates.</w:t>
      </w:r>
    </w:p>
    <w:p>
      <w:r>
        <w:pict>
          <v:rect style="width:0;height:1.5pt" o:hralign="center" o:hrstd="t" o:hr="t"/>
        </w:pict>
      </w:r>
    </w:p>
    <w:bookmarkStart w:id="36" w:name="when-to-use-each-module"/>
    <w:p>
      <w:pPr>
        <w:pStyle w:val="Heading2"/>
      </w:pPr>
      <w:r>
        <w:t xml:space="preserve">When to Use Each Module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20"/>
        <w:gridCol w:w="2160"/>
        <w:gridCol w:w="38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Module</w:t>
            </w:r>
          </w:p>
        </w:tc>
        <w:tc>
          <w:tcPr/>
          <w:p>
            <w:pPr>
              <w:pStyle w:val="Compact"/>
            </w:pPr>
            <w:r>
              <w:t xml:space="preserve">Purpose</w:t>
            </w:r>
          </w:p>
        </w:tc>
        <w:tc>
          <w:tcPr/>
          <w:p>
            <w:pPr>
              <w:pStyle w:val="Compact"/>
            </w:pPr>
            <w:r>
              <w:t xml:space="preserve">Best Used For</w:t>
            </w:r>
          </w:p>
        </w:tc>
      </w:tr>
      <w:tr>
        <w:tc>
          <w:tcPr/>
          <w:p>
            <w:pPr>
              <w:pStyle w:val="Compact"/>
            </w:pPr>
            <w:hyperlink r:id="rId29">
              <w:r>
                <w:rPr>
                  <w:rStyle w:val="Hyperlink"/>
                  <w:b/>
                  <w:bCs/>
                </w:rPr>
                <w:t xml:space="preserve">Security Foundations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Introduces foundational security concepts like the CIA Triad (Confidentiality, Integrity, Availability) in plain business terms.</w:t>
            </w:r>
          </w:p>
        </w:tc>
        <w:tc>
          <w:tcPr/>
          <w:p>
            <w:pPr>
              <w:pStyle w:val="Compact"/>
            </w:pPr>
            <w:r>
              <w:t xml:space="preserve">Security awareness sessions, executive briefings, and early-stage discussions.</w:t>
            </w:r>
          </w:p>
        </w:tc>
      </w:tr>
      <w:tr>
        <w:tc>
          <w:tcPr/>
          <w:p>
            <w:pPr>
              <w:pStyle w:val="Compact"/>
            </w:pPr>
            <w:hyperlink r:id="rId30">
              <w:r>
                <w:rPr>
                  <w:rStyle w:val="Hyperlink"/>
                  <w:b/>
                  <w:bCs/>
                </w:rPr>
                <w:t xml:space="preserve">Data Security Audit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Comprehensive 3-week assessment of oversharing risks, access controls, and Microsoft 365 security posture.</w:t>
            </w:r>
            <w:r>
              <w:t xml:space="preserve"> </w:t>
            </w:r>
            <w:r>
              <w:rPr>
                <w:b/>
                <w:bCs/>
              </w:rPr>
              <w:t xml:space="preserve">Available Now via Microsoft AppSource.</w:t>
            </w:r>
          </w:p>
        </w:tc>
        <w:tc>
          <w:tcPr/>
          <w:p>
            <w:pPr>
              <w:pStyle w:val="Compact"/>
            </w:pPr>
            <w:r>
              <w:t xml:space="preserve">Organizations preparing for Copilot, needing data governance baseline, or requiring comprehensive security assessment.</w:t>
            </w:r>
          </w:p>
        </w:tc>
      </w:tr>
      <w:tr>
        <w:tc>
          <w:tcPr/>
          <w:p>
            <w:pPr>
              <w:pStyle w:val="Compact"/>
            </w:pPr>
            <w:hyperlink r:id="rId31">
              <w:r>
                <w:rPr>
                  <w:rStyle w:val="Hyperlink"/>
                  <w:b/>
                  <w:bCs/>
                </w:rPr>
                <w:t xml:space="preserve">Essential Eight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Assesses maturity against the Australian Essential 8 model; includes plain-language explanations, discussion prompts, scoring tables, and uplift roadmaps.</w:t>
            </w:r>
          </w:p>
        </w:tc>
        <w:tc>
          <w:tcPr/>
          <w:p>
            <w:pPr>
              <w:pStyle w:val="Compact"/>
            </w:pPr>
            <w:r>
              <w:t xml:space="preserve">Australian organisations establishing a baseline or planning a practical security uplift.</w:t>
            </w:r>
          </w:p>
        </w:tc>
      </w:tr>
      <w:tr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  <w:b/>
                  <w:bCs/>
                </w:rPr>
                <w:t xml:space="preserve">Security Architecture Review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 high-level architecture review using Essential 8 as an anchor, with optional alignment to NIST and Zero Trust. Includes facilitator guidance, threat modeling workflows, and a strategic roadmap.</w:t>
            </w:r>
          </w:p>
        </w:tc>
        <w:tc>
          <w:tcPr/>
          <w:p>
            <w:pPr>
              <w:pStyle w:val="Compact"/>
            </w:pPr>
            <w:r>
              <w:t xml:space="preserve">When evaluating or validating a solution’s security posture, especially cloud or M365-heavy environments.</w:t>
            </w:r>
          </w:p>
        </w:tc>
      </w:tr>
      <w:tr>
        <w:tc>
          <w:tcPr/>
          <w:p>
            <w:pPr>
              <w:pStyle w:val="Compact"/>
            </w:pPr>
            <w:hyperlink r:id="rId33">
              <w:r>
                <w:rPr>
                  <w:rStyle w:val="Hyperlink"/>
                  <w:b/>
                  <w:bCs/>
                </w:rPr>
                <w:t xml:space="preserve">Security Roadmap Workshop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Aligns strategy, stakeholders, and next steps following initial security engagements. Produces a Crawl–Walk–Run roadmap with executive alignment.</w:t>
            </w:r>
          </w:p>
        </w:tc>
        <w:tc>
          <w:tcPr/>
          <w:p>
            <w:pPr>
              <w:pStyle w:val="Compact"/>
            </w:pPr>
            <w:r>
              <w:t xml:space="preserve">When an organisation requires an actionable security roadmap for funding, prioritisation, or project planning.</w:t>
            </w:r>
          </w:p>
        </w:tc>
      </w:tr>
      <w:tr>
        <w:tc>
          <w:tcPr/>
          <w:p>
            <w:pPr>
              <w:pStyle w:val="Compact"/>
            </w:pPr>
            <w:hyperlink r:id="rId34">
              <w:r>
                <w:rPr>
                  <w:rStyle w:val="Hyperlink"/>
                  <w:b/>
                  <w:bCs/>
                </w:rPr>
                <w:t xml:space="preserve">Sensitivity Labelling Uplift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Improves visibility and control of sensitive data through Microsoft Purview Sensitivity Labels. Focuses on discovery, taxonomy design, governance, and adoption.</w:t>
            </w:r>
          </w:p>
        </w:tc>
        <w:tc>
          <w:tcPr/>
          <w:p>
            <w:pPr>
              <w:pStyle w:val="Compact"/>
            </w:pPr>
            <w:r>
              <w:t xml:space="preserve">Organisations looking to strengthen data protection, meet compliance requirements, or reduce oversharing risks.</w:t>
            </w:r>
          </w:p>
        </w:tc>
      </w:tr>
      <w:tr>
        <w:tc>
          <w:tcPr/>
          <w:p>
            <w:pPr>
              <w:pStyle w:val="Compact"/>
            </w:pPr>
            <w:hyperlink r:id="rId35">
              <w:r>
                <w:rPr>
                  <w:rStyle w:val="Hyperlink"/>
                  <w:b/>
                  <w:bCs/>
                </w:rPr>
                <w:t xml:space="preserve">Basic Data Loss Prevention DLP Advisory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Introduces foundational Data Loss Prevention controls in Microsoft 365. Establishes baseline policies for sensitive information.</w:t>
            </w:r>
          </w:p>
        </w:tc>
        <w:tc>
          <w:tcPr/>
          <w:p>
            <w:pPr>
              <w:pStyle w:val="Compact"/>
            </w:pPr>
            <w:r>
              <w:t xml:space="preserve">Organisations at the start of their DLP journey, requiring visibility into sensitive data risks and quick protection wins.</w:t>
            </w:r>
          </w:p>
        </w:tc>
      </w:tr>
    </w:tbl>
    <w:p/>
    <w:tbl>
      <w:tblPr>
        <w:tblStyle w:val="Table"/>
        <w:tblW w:type="pct" w:w="347"/>
        <w:tblLayout w:type="fixed"/>
        <w:tblLook w:firstRow="0" w:lastRow="0" w:firstColumn="0" w:lastColumn="0" w:noHBand="0" w:noVBand="0" w:val="0000"/>
      </w:tblPr>
      <w:tblGrid>
        <w:gridCol w:w="550"/>
      </w:tblGrid>
      <w:tr>
        <w:tc>
          <w:tcPr/>
          <w:p>
            <w:pPr>
              <w:pStyle w:val="Compact"/>
            </w:pPr>
            <w:r>
              <w:t xml:space="preserve">## Suggested Delivery Flow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 modules follow an escalation path.</w:t>
            </w:r>
            <w:r>
              <w:t xml:space="preserve"> </w:t>
            </w:r>
            <w:r>
              <w:t xml:space="preserve">Start with</w:t>
            </w:r>
            <w:r>
              <w:t xml:space="preserve"> </w:t>
            </w:r>
            <w:r>
              <w:rPr>
                <w:b/>
                <w:bCs/>
              </w:rPr>
              <w:t xml:space="preserve">Security Foundations</w:t>
            </w:r>
            <w:r>
              <w:t xml:space="preserve">, progress through</w:t>
            </w:r>
            <w:r>
              <w:t xml:space="preserve"> </w:t>
            </w:r>
            <w:r>
              <w:rPr>
                <w:b/>
                <w:bCs/>
              </w:rPr>
              <w:t xml:space="preserve">Data Security Audit</w:t>
            </w:r>
            <w:r>
              <w:t xml:space="preserve"> </w:t>
            </w:r>
            <w:r>
              <w:t xml:space="preserve">or</w:t>
            </w:r>
            <w:r>
              <w:t xml:space="preserve"> </w:t>
            </w:r>
            <w:r>
              <w:rPr>
                <w:b/>
                <w:bCs/>
              </w:rPr>
              <w:t xml:space="preserve">Architecture Review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rPr>
                <w:b/>
                <w:bCs/>
              </w:rPr>
              <w:t xml:space="preserve">Roadmap</w:t>
            </w:r>
            <w:r>
              <w:t xml:space="preserve">, then branch into more specialised modules.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  <w:r>
              <w:t xml:space="preserve"> </w:t>
            </w:r>
            <w:r>
              <w:rPr>
                <w:b/>
                <w:bCs/>
              </w:rPr>
              <w:t xml:space="preserve">Security Foundations</w:t>
            </w:r>
            <w:r>
              <w:t xml:space="preserve"> </w:t>
            </w:r>
            <w:r>
              <w:t xml:space="preserve">→ Build a shared understanding (common language and frameworks).</w:t>
            </w:r>
            <w:r>
              <w:t xml:space="preserve"> </w:t>
            </w:r>
            <w:r>
              <w:t xml:space="preserve">-</w:t>
            </w:r>
            <w:r>
              <w:t xml:space="preserve"> </w:t>
            </w:r>
            <w:r>
              <w:rPr>
                <w:b/>
                <w:bCs/>
              </w:rPr>
              <w:t xml:space="preserve">Data Security Audit</w:t>
            </w:r>
            <w:r>
              <w:t xml:space="preserve"> </w:t>
            </w:r>
            <w:r>
              <w:t xml:space="preserve">or</w:t>
            </w:r>
            <w:r>
              <w:t xml:space="preserve"> </w:t>
            </w:r>
            <w:r>
              <w:rPr>
                <w:b/>
                <w:bCs/>
              </w:rPr>
              <w:t xml:space="preserve">Security Architecture Review</w:t>
            </w:r>
            <w:r>
              <w:t xml:space="preserve"> </w:t>
            </w:r>
            <w:r>
              <w:t xml:space="preserve">→ Assess where the customer is today.</w:t>
            </w:r>
            <w:r>
              <w:t xml:space="preserve"> </w:t>
            </w:r>
            <w:r>
              <w:t xml:space="preserve">-</w:t>
            </w:r>
            <w:r>
              <w:t xml:space="preserve"> </w:t>
            </w:r>
            <w:r>
              <w:rPr>
                <w:b/>
                <w:bCs/>
              </w:rPr>
              <w:t xml:space="preserve">Security Roadmap Workshop</w:t>
            </w:r>
            <w:r>
              <w:t xml:space="preserve"> </w:t>
            </w:r>
            <w:r>
              <w:t xml:space="preserve">→ Define where the customer wants to go.</w:t>
            </w:r>
            <w:r>
              <w:t xml:space="preserve"> </w:t>
            </w:r>
            <w:r>
              <w:t xml:space="preserve">-</w:t>
            </w:r>
            <w:r>
              <w:t xml:space="preserve"> </w:t>
            </w:r>
            <w:r>
              <w:rPr>
                <w:b/>
                <w:bCs/>
              </w:rPr>
              <w:t xml:space="preserve">Specialised Modules</w:t>
            </w:r>
            <w:r>
              <w:t xml:space="preserve"> </w:t>
            </w:r>
            <w:r>
              <w:t xml:space="preserve">→ Targeted uplifts like Sensitivity Labelling and DLP, with more advanced modules to follow.</w:t>
            </w:r>
          </w:p>
        </w:tc>
      </w:tr>
    </w:tbl>
    <w:bookmarkEnd w:id="36"/>
    <w:bookmarkStart w:id="39" w:name="supporting-resources"/>
    <w:p>
      <w:pPr>
        <w:pStyle w:val="Heading2"/>
      </w:pPr>
      <w:r>
        <w:t xml:space="preserve">Supporting Resources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262"/>
        <w:gridCol w:w="2036"/>
        <w:gridCol w:w="362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Resource</w:t>
            </w:r>
          </w:p>
        </w:tc>
        <w:tc>
          <w:tcPr/>
          <w:p>
            <w:pPr>
              <w:pStyle w:val="Compact"/>
            </w:pPr>
            <w:r>
              <w:t xml:space="preserve">Purpose</w:t>
            </w:r>
          </w:p>
        </w:tc>
        <w:tc>
          <w:tcPr/>
          <w:p>
            <w:pPr>
              <w:pStyle w:val="Compact"/>
            </w:pPr>
            <w:r>
              <w:t xml:space="preserve">Best Used For</w:t>
            </w:r>
          </w:p>
        </w:tc>
      </w:tr>
      <w:tr>
        <w:tc>
          <w:tcPr/>
          <w:p>
            <w:pPr>
              <w:pStyle w:val="Compact"/>
            </w:pPr>
            <w:hyperlink r:id="rId37">
              <w:r>
                <w:rPr>
                  <w:rStyle w:val="Hyperlink"/>
                  <w:b/>
                  <w:bCs/>
                </w:rPr>
                <w:t xml:space="preserve">Essential 8 Maturity Score Table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Provides a standardised template for capturing current vs. target maturity (Level 0–3) for each Essential 8 strategy. Includes space for risks and recommended actions.</w:t>
            </w:r>
          </w:p>
        </w:tc>
        <w:tc>
          <w:tcPr/>
          <w:p>
            <w:pPr>
              <w:pStyle w:val="Compact"/>
            </w:pPr>
            <w:r>
              <w:t xml:space="preserve">Used during workshops or customer sessions to capture results in a structured way.</w:t>
            </w:r>
          </w:p>
        </w:tc>
      </w:tr>
      <w:tr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  <w:b/>
                  <w:bCs/>
                </w:rPr>
                <w:t xml:space="preserve">Essential 8 in Plain Language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Explains each Essential 8 strategy in simple business language with examples.</w:t>
            </w:r>
          </w:p>
        </w:tc>
        <w:tc>
          <w:tcPr/>
          <w:p>
            <w:pPr>
              <w:pStyle w:val="Compact"/>
            </w:pPr>
            <w:r>
              <w:t xml:space="preserve">Handout or pre-reading for customers and executives who need to understand the</w:t>
            </w:r>
            <w:r>
              <w:t xml:space="preserve"> </w:t>
            </w:r>
            <w:r>
              <w:t xml:space="preserve">“why”</w:t>
            </w:r>
            <w:r>
              <w:t xml:space="preserve"> </w:t>
            </w:r>
            <w:r>
              <w:t xml:space="preserve">without technical jargon.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39"/>
    <w:bookmarkStart w:id="41" w:name="security-value-calculator"/>
    <w:p>
      <w:pPr>
        <w:pStyle w:val="Heading2"/>
      </w:pPr>
      <w:r>
        <w:t xml:space="preserve">Security Value Calculator</w:t>
      </w:r>
    </w:p>
    <w:p>
      <w:pPr>
        <w:pStyle w:val="FirstParagraph"/>
      </w:pPr>
      <w:r>
        <w:t xml:space="preserve">Use the</w:t>
      </w:r>
      <w:r>
        <w:t xml:space="preserve"> </w:t>
      </w:r>
      <w:hyperlink r:id="rId40">
        <w:r>
          <w:rPr>
            <w:rStyle w:val="Hyperlink"/>
            <w:b/>
            <w:bCs/>
          </w:rPr>
          <w:t xml:space="preserve">Security Value Calculator</w:t>
        </w:r>
      </w:hyperlink>
      <w:r>
        <w:t xml:space="preserve"> </w:t>
      </w:r>
      <w:r>
        <w:t xml:space="preserve">to calculate ROI of security investments</w:t>
      </w:r>
    </w:p>
    <w:p>
      <w:r>
        <w:pict>
          <v:rect style="width:0;height:1.5pt" o:hralign="center" o:hrstd="t" o:hr="t"/>
        </w:pict>
      </w:r>
    </w:p>
    <w:bookmarkEnd w:id="41"/>
    <w:bookmarkStart w:id="43" w:name="interactive-decision-tree"/>
    <w:p>
      <w:pPr>
        <w:pStyle w:val="Heading2"/>
      </w:pPr>
      <w:r>
        <w:t xml:space="preserve">Interactive Decision Tree</w:t>
      </w:r>
    </w:p>
    <w:p>
      <w:pPr>
        <w:pStyle w:val="FirstParagraph"/>
      </w:pPr>
      <w:r>
        <w:t xml:space="preserve">Use the</w:t>
      </w:r>
      <w:r>
        <w:t xml:space="preserve"> </w:t>
      </w:r>
      <w:hyperlink r:id="rId42">
        <w:r>
          <w:rPr>
            <w:rStyle w:val="Hyperlink"/>
            <w:b/>
            <w:bCs/>
          </w:rPr>
          <w:t xml:space="preserve">Interactive Security Decision Tree</w:t>
        </w:r>
      </w:hyperlink>
      <w:r>
        <w:t xml:space="preserve"> </w:t>
      </w:r>
      <w:r>
        <w:t xml:space="preserve">to guide customers to the most appropriate starting point based on their current needs and priorities. This tool helps navigate the complexity of multiple service options and ensures optimal engagement sequencing.</w:t>
      </w:r>
    </w:p>
    <w:p>
      <w:r>
        <w:pict>
          <v:rect style="width:0;height:1.5pt" o:hralign="center" o:hrstd="t" o:hr="t"/>
        </w:pict>
      </w:r>
    </w:p>
    <w:bookmarkEnd w:id="43"/>
    <w:bookmarkStart w:id="44" w:name="current-deliveries"/>
    <w:p>
      <w:pPr>
        <w:pStyle w:val="Heading2"/>
      </w:pPr>
      <w:r>
        <w:t xml:space="preserve">Current Deliveries</w:t>
      </w:r>
    </w:p>
    <w:p>
      <w:pPr>
        <w:pStyle w:val="FirstParagraph"/>
      </w:pPr>
      <w:r>
        <w:t xml:space="preserve">All modules in the main directory are available for immediate deployment. The</w:t>
      </w:r>
      <w:r>
        <w:t xml:space="preserve"> </w:t>
      </w:r>
      <w:r>
        <w:rPr>
          <w:b/>
          <w:bCs/>
        </w:rPr>
        <w:t xml:space="preserve">Data Security Audit</w:t>
      </w:r>
      <w:r>
        <w:t xml:space="preserve"> </w:t>
      </w:r>
      <w:r>
        <w:t xml:space="preserve">is a proven 3-week engagement currently available through Microsoft AppSource, with established processes and customer success stories.</w:t>
      </w:r>
    </w:p>
    <w:p>
      <w:r>
        <w:pict>
          <v:rect style="width:0;height:1.5pt" o:hralign="center" o:hrstd="t" o:hr="t"/>
        </w:pict>
      </w:r>
    </w:p>
    <w:bookmarkEnd w:id="44"/>
    <w:bookmarkStart w:id="46" w:name="planned-future-deliveries"/>
    <w:p>
      <w:pPr>
        <w:pStyle w:val="Heading2"/>
      </w:pPr>
      <w:r>
        <w:t xml:space="preserve">Planned Future Deliveries</w:t>
      </w:r>
    </w:p>
    <w:p>
      <w:pPr>
        <w:pStyle w:val="FirstParagraph"/>
      </w:pPr>
      <w:r>
        <w:t xml:space="preserve">E2 continues to expand its security practice with advanced modules currently in development. See</w:t>
      </w:r>
      <w:r>
        <w:t xml:space="preserve"> </w:t>
      </w:r>
      <w:hyperlink r:id="rId45">
        <w:r>
          <w:rPr>
            <w:rStyle w:val="Hyperlink"/>
            <w:b/>
            <w:bCs/>
          </w:rPr>
          <w:t xml:space="preserve">Planned Deliveries</w:t>
        </w:r>
      </w:hyperlink>
      <w:r>
        <w:t xml:space="preserve"> </w:t>
      </w:r>
      <w:r>
        <w:t xml:space="preserve">for upcoming engagements targeting completion by</w:t>
      </w:r>
      <w:r>
        <w:t xml:space="preserve"> </w:t>
      </w:r>
      <w:r>
        <w:rPr>
          <w:b/>
          <w:bCs/>
        </w:rPr>
        <w:t xml:space="preserve">30 June 2026</w:t>
      </w:r>
      <w:r>
        <w:t xml:space="preserve">.</w:t>
      </w:r>
    </w:p>
    <w:p>
      <w:pPr>
        <w:pStyle w:val="BodyText"/>
      </w:pPr>
      <w:r>
        <w:t xml:space="preserve">These future modules address advanced scenarios including:</w:t>
      </w:r>
      <w:r>
        <w:t xml:space="preserve"> </w:t>
      </w:r>
      <w:r>
        <w:t xml:space="preserve">- Enhanced DLP and governance frameworks</w:t>
      </w:r>
      <w:r>
        <w:t xml:space="preserve"> </w:t>
      </w:r>
      <w:r>
        <w:t xml:space="preserve">- Privileged access and identity management</w:t>
      </w:r>
      <w:r>
        <w:t xml:space="preserve"> </w:t>
      </w:r>
      <w:r>
        <w:t xml:space="preserve">- Cloud application security and governance</w:t>
      </w:r>
      <w:r>
        <w:br/>
      </w:r>
      <w:r>
        <w:t xml:space="preserve">- AI security readiness and compliance</w:t>
      </w:r>
      <w:r>
        <w:t xml:space="preserve"> </w:t>
      </w:r>
      <w:r>
        <w:t xml:space="preserve">- Advanced threat detection and response</w:t>
      </w:r>
    </w:p>
    <w:p>
      <w:pPr>
        <w:pStyle w:val="BodyText"/>
      </w:pPr>
      <w:r>
        <w:t xml:space="preserve">Early engagement opportunities available for select modules.</w:t>
      </w:r>
    </w:p>
    <w:p>
      <w:r>
        <w:pict>
          <v:rect style="width:0;height:1.5pt" o:hralign="center" o:hrstd="t" o:hr="t"/>
        </w:pict>
      </w:r>
    </w:p>
    <w:bookmarkEnd w:id="46"/>
    <w:bookmarkStart w:id="52" w:name="learning-resources-references"/>
    <w:p>
      <w:pPr>
        <w:pStyle w:val="Heading2"/>
      </w:pPr>
      <w:r>
        <w:t xml:space="preserve">Learning Resources &amp; References</w:t>
      </w:r>
    </w:p>
    <w:p>
      <w:pPr>
        <w:pStyle w:val="FirstParagraph"/>
      </w:pPr>
      <w:r>
        <w:t xml:space="preserve">Each module features best-practice frameworks and contextual links to deepen understanding or share with clients:</w:t>
      </w:r>
    </w:p>
    <w:p>
      <w:pPr>
        <w:pStyle w:val="Compact"/>
        <w:numPr>
          <w:ilvl w:val="0"/>
          <w:numId w:val="1001"/>
        </w:numPr>
      </w:pPr>
      <w:hyperlink r:id="rId47">
        <w:r>
          <w:rPr>
            <w:rStyle w:val="Hyperlink"/>
          </w:rPr>
          <w:t xml:space="preserve">Microsoft 365 &amp; Essential Eight Overview</w:t>
        </w:r>
      </w:hyperlink>
      <w:r>
        <w:br/>
      </w:r>
    </w:p>
    <w:p>
      <w:pPr>
        <w:pStyle w:val="Compact"/>
        <w:numPr>
          <w:ilvl w:val="0"/>
          <w:numId w:val="1001"/>
        </w:numPr>
      </w:pPr>
      <w:hyperlink r:id="rId48">
        <w:r>
          <w:rPr>
            <w:rStyle w:val="Hyperlink"/>
          </w:rPr>
          <w:t xml:space="preserve">ACSC Essential 8 Maturity Model</w:t>
        </w:r>
      </w:hyperlink>
      <w:r>
        <w:br/>
      </w:r>
    </w:p>
    <w:p>
      <w:pPr>
        <w:pStyle w:val="Compact"/>
        <w:numPr>
          <w:ilvl w:val="0"/>
          <w:numId w:val="1001"/>
        </w:numPr>
      </w:pPr>
      <w:hyperlink r:id="rId49">
        <w:r>
          <w:rPr>
            <w:rStyle w:val="Hyperlink"/>
          </w:rPr>
          <w:t xml:space="preserve">CSO Online: The CIA Triad</w:t>
        </w:r>
      </w:hyperlink>
      <w:r>
        <w:br/>
      </w:r>
    </w:p>
    <w:p>
      <w:pPr>
        <w:pStyle w:val="Compact"/>
        <w:numPr>
          <w:ilvl w:val="0"/>
          <w:numId w:val="1001"/>
        </w:numPr>
      </w:pPr>
      <w:hyperlink r:id="rId50">
        <w:r>
          <w:rPr>
            <w:rStyle w:val="Hyperlink"/>
          </w:rPr>
          <w:t xml:space="preserve">Microsoft Cybersecurity Reference Architecture (MCRA)</w:t>
        </w:r>
      </w:hyperlink>
      <w:r>
        <w:br/>
      </w:r>
    </w:p>
    <w:p>
      <w:pPr>
        <w:pStyle w:val="Compact"/>
        <w:numPr>
          <w:ilvl w:val="0"/>
          <w:numId w:val="1001"/>
        </w:numPr>
      </w:pPr>
      <w:hyperlink r:id="rId51">
        <w:r>
          <w:rPr>
            <w:rStyle w:val="Hyperlink"/>
          </w:rPr>
          <w:t xml:space="preserve">Microsoft Security Adoption</w:t>
        </w:r>
      </w:hyperlink>
    </w:p>
    <w:p>
      <w:r>
        <w:pict>
          <v:rect style="width:0;height:1.5pt" o:hralign="center" o:hrstd="t" o:hr="t"/>
        </w:pict>
      </w:r>
    </w:p>
    <w:bookmarkEnd w:id="52"/>
    <w:bookmarkStart w:id="53" w:name="getting-started"/>
    <w:p>
      <w:pPr>
        <w:pStyle w:val="Heading2"/>
      </w:pPr>
      <w:r>
        <w:t xml:space="preserve">Getting Started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Choose a module</w:t>
      </w:r>
      <w:r>
        <w:t xml:space="preserve"> </w:t>
      </w:r>
      <w:r>
        <w:t xml:space="preserve">that fits your engagement stage using the decision tree or module descriptions.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Review the facilitator guide</w:t>
      </w:r>
      <w:r>
        <w:t xml:space="preserve"> </w:t>
      </w:r>
      <w:r>
        <w:t xml:space="preserve">and ensure you understand the purpose and flow.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Capture outputs</w:t>
      </w:r>
      <w:r>
        <w:t xml:space="preserve"> </w:t>
      </w:r>
      <w:r>
        <w:t xml:space="preserve">using provided templates like maturity score tables or mind maps.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Leverage linked references</w:t>
      </w:r>
      <w:r>
        <w:t xml:space="preserve"> </w:t>
      </w:r>
      <w:r>
        <w:t xml:space="preserve">to support further learning or client handoff.</w:t>
      </w:r>
    </w:p>
    <w:p>
      <w:r>
        <w:pict>
          <v:rect style="width:0;height:1.5pt" o:hralign="center" o:hrstd="t" o:hr="t"/>
        </w:pict>
      </w:r>
    </w:p>
    <w:bookmarkEnd w:id="53"/>
    <w:bookmarkStart w:id="54" w:name="contribution-usage-guidelines"/>
    <w:p>
      <w:pPr>
        <w:pStyle w:val="Heading2"/>
      </w:pPr>
      <w:r>
        <w:t xml:space="preserve">Contribution &amp; Usage Guidelines</w:t>
      </w:r>
    </w:p>
    <w:p>
      <w:pPr>
        <w:pStyle w:val="Compact"/>
        <w:numPr>
          <w:ilvl w:val="0"/>
          <w:numId w:val="1003"/>
        </w:numPr>
      </w:pPr>
      <w:r>
        <w:t xml:space="preserve">Keep content clear, business-appropriate, and facilitation-friendly.</w:t>
      </w:r>
    </w:p>
    <w:p>
      <w:pPr>
        <w:pStyle w:val="Compact"/>
        <w:numPr>
          <w:ilvl w:val="0"/>
          <w:numId w:val="1003"/>
        </w:numPr>
      </w:pPr>
      <w:r>
        <w:t xml:space="preserve">Use clients’ terminology where possible — this is not a developer repo.</w:t>
      </w:r>
    </w:p>
    <w:p>
      <w:pPr>
        <w:pStyle w:val="Compact"/>
        <w:numPr>
          <w:ilvl w:val="0"/>
          <w:numId w:val="1003"/>
        </w:numPr>
      </w:pPr>
      <w:r>
        <w:t xml:space="preserve">No deep technical prescriptive recommendations; guide frameworks, not configurations.</w:t>
      </w:r>
    </w:p>
    <w:p>
      <w:pPr>
        <w:pStyle w:val="Compact"/>
        <w:numPr>
          <w:ilvl w:val="0"/>
          <w:numId w:val="1003"/>
        </w:numPr>
      </w:pPr>
      <w:r>
        <w:t xml:space="preserve">Maintain all references — reviewers should easily follow public documentation if needed.</w:t>
      </w:r>
    </w:p>
    <w:bookmarkEnd w:id="54"/>
    <w:bookmarkEnd w:id="55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5" Target="./Basic_Data_Loss_Prevention_(DLP)_Advisory.md" TargetMode="External" /><Relationship Type="http://schemas.openxmlformats.org/officeDocument/2006/relationships/hyperlink" Id="rId30" Target="./Data_Security_Audit.md" TargetMode="External" /><Relationship Type="http://schemas.openxmlformats.org/officeDocument/2006/relationships/hyperlink" Id="rId37" Target="./Essential_8_Maturity_Score_Table.md" TargetMode="External" /><Relationship Type="http://schemas.openxmlformats.org/officeDocument/2006/relationships/hyperlink" Id="rId31" Target="./Essential_Eight.md" TargetMode="External" /><Relationship Type="http://schemas.openxmlformats.org/officeDocument/2006/relationships/hyperlink" Id="rId38" Target="./Essential_Eight_PlainLanguage.md" TargetMode="External" /><Relationship Type="http://schemas.openxmlformats.org/officeDocument/2006/relationships/hyperlink" Id="rId32" Target="./Security_Architecture_Review.md" TargetMode="External" /><Relationship Type="http://schemas.openxmlformats.org/officeDocument/2006/relationships/hyperlink" Id="rId29" Target="./Security_Foundations.md" TargetMode="External" /><Relationship Type="http://schemas.openxmlformats.org/officeDocument/2006/relationships/hyperlink" Id="rId33" Target="./Security_Roadmap_Workshop.md" TargetMode="External" /><Relationship Type="http://schemas.openxmlformats.org/officeDocument/2006/relationships/hyperlink" Id="rId34" Target="./Sensitivity_Labelling_Uplift.md" TargetMode="External" /><Relationship Type="http://schemas.openxmlformats.org/officeDocument/2006/relationships/hyperlink" Id="rId42" Target="./decision-tree.html" TargetMode="External" /><Relationship Type="http://schemas.openxmlformats.org/officeDocument/2006/relationships/hyperlink" Id="rId45" Target="./planned-deliveries/" TargetMode="External" /><Relationship Type="http://schemas.openxmlformats.org/officeDocument/2006/relationships/hyperlink" Id="rId40" Target="./security-calculator.html" TargetMode="External" /><Relationship Type="http://schemas.openxmlformats.org/officeDocument/2006/relationships/hyperlink" Id="rId47" Target="https://learn.microsoft.com/en-us/compliance/anz/e8-overview" TargetMode="External" /><Relationship Type="http://schemas.openxmlformats.org/officeDocument/2006/relationships/hyperlink" Id="rId51" Target="https://learn.microsoft.com/en-us/security/adoption/adoption" TargetMode="External" /><Relationship Type="http://schemas.openxmlformats.org/officeDocument/2006/relationships/hyperlink" Id="rId50" Target="https://learn.microsoft.com/en-us/security/adoption/mcra" TargetMode="External" /><Relationship Type="http://schemas.openxmlformats.org/officeDocument/2006/relationships/hyperlink" Id="rId49" Target="https://www.csoonline.com/article/568917/the-cia-triad-definition-components-and-examples.html" TargetMode="External" /><Relationship Type="http://schemas.openxmlformats.org/officeDocument/2006/relationships/hyperlink" Id="rId48" Target="https://www.cyber.gov.au/resources-business-and-government/essential-cybersecurity/essential-eight/essential-eight-maturity-mode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./Basic_Data_Loss_Prevention_(DLP)_Advisory.md" TargetMode="External" /><Relationship Type="http://schemas.openxmlformats.org/officeDocument/2006/relationships/hyperlink" Id="rId30" Target="./Data_Security_Audit.md" TargetMode="External" /><Relationship Type="http://schemas.openxmlformats.org/officeDocument/2006/relationships/hyperlink" Id="rId37" Target="./Essential_8_Maturity_Score_Table.md" TargetMode="External" /><Relationship Type="http://schemas.openxmlformats.org/officeDocument/2006/relationships/hyperlink" Id="rId31" Target="./Essential_Eight.md" TargetMode="External" /><Relationship Type="http://schemas.openxmlformats.org/officeDocument/2006/relationships/hyperlink" Id="rId38" Target="./Essential_Eight_PlainLanguage.md" TargetMode="External" /><Relationship Type="http://schemas.openxmlformats.org/officeDocument/2006/relationships/hyperlink" Id="rId32" Target="./Security_Architecture_Review.md" TargetMode="External" /><Relationship Type="http://schemas.openxmlformats.org/officeDocument/2006/relationships/hyperlink" Id="rId29" Target="./Security_Foundations.md" TargetMode="External" /><Relationship Type="http://schemas.openxmlformats.org/officeDocument/2006/relationships/hyperlink" Id="rId33" Target="./Security_Roadmap_Workshop.md" TargetMode="External" /><Relationship Type="http://schemas.openxmlformats.org/officeDocument/2006/relationships/hyperlink" Id="rId34" Target="./Sensitivity_Labelling_Uplift.md" TargetMode="External" /><Relationship Type="http://schemas.openxmlformats.org/officeDocument/2006/relationships/hyperlink" Id="rId42" Target="./decision-tree.html" TargetMode="External" /><Relationship Type="http://schemas.openxmlformats.org/officeDocument/2006/relationships/hyperlink" Id="rId45" Target="./planned-deliveries/" TargetMode="External" /><Relationship Type="http://schemas.openxmlformats.org/officeDocument/2006/relationships/hyperlink" Id="rId40" Target="./security-calculator.html" TargetMode="External" /><Relationship Type="http://schemas.openxmlformats.org/officeDocument/2006/relationships/hyperlink" Id="rId47" Target="https://learn.microsoft.com/en-us/compliance/anz/e8-overview" TargetMode="External" /><Relationship Type="http://schemas.openxmlformats.org/officeDocument/2006/relationships/hyperlink" Id="rId51" Target="https://learn.microsoft.com/en-us/security/adoption/adoption" TargetMode="External" /><Relationship Type="http://schemas.openxmlformats.org/officeDocument/2006/relationships/hyperlink" Id="rId50" Target="https://learn.microsoft.com/en-us/security/adoption/mcra" TargetMode="External" /><Relationship Type="http://schemas.openxmlformats.org/officeDocument/2006/relationships/hyperlink" Id="rId49" Target="https://www.csoonline.com/article/568917/the-cia-triad-definition-components-and-examples.html" TargetMode="External" /><Relationship Type="http://schemas.openxmlformats.org/officeDocument/2006/relationships/hyperlink" Id="rId48" Target="https://www.cyber.gov.au/resources-business-and-government/essential-cybersecurity/essential-eight/essential-eight-maturity-model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