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security-roadmap-workshop"/>
    <w:p>
      <w:pPr>
        <w:pStyle w:val="Heading1"/>
      </w:pPr>
      <w:r>
        <w:t xml:space="preserve">Security Roadmap Workshop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This workshop helps organisations translate security posture assessments into a pragmatic, executive-aligned roadmap. Using findings from previous engagements—like Sensitivity Labelling, DLP, Essential 8 assessments, or Secure Score—the workshop prioritises improvements in a</w:t>
      </w:r>
      <w:r>
        <w:t xml:space="preserve"> </w:t>
      </w:r>
      <w:r>
        <w:rPr>
          <w:i/>
          <w:iCs/>
        </w:rPr>
        <w:t xml:space="preserve">Crawl–Walk–Run</w:t>
      </w:r>
      <w:r>
        <w:t xml:space="preserve"> </w:t>
      </w:r>
      <w:r>
        <w:t xml:space="preserve">framework.</w:t>
      </w:r>
    </w:p>
    <w:p>
      <w:pPr>
        <w:pStyle w:val="BodyText"/>
      </w:pPr>
      <w:r>
        <w:rPr>
          <w:b/>
          <w:bCs/>
        </w:rPr>
        <w:t xml:space="preserve">This is not</w:t>
      </w:r>
      <w:r>
        <w:t xml:space="preserve"> </w:t>
      </w:r>
      <w:r>
        <w:t xml:space="preserve">a detailed implementation workshop. Its goal is to align stakeholders on what matters most now, clarify strategic priorities, and produce a phased plan that mitigates risk effectively while enhancing maturity and compliance.</w:t>
      </w:r>
    </w:p>
    <w:p>
      <w:r>
        <w:pict>
          <v:rect style="width:0;height:1.5pt" o:hralign="center" o:hrstd="t" o:hr="t"/>
        </w:pict>
      </w:r>
    </w:p>
    <w:bookmarkEnd w:id="29"/>
    <w:bookmarkStart w:id="30" w:name="rules-of-engagement"/>
    <w:p>
      <w:pPr>
        <w:pStyle w:val="Heading2"/>
      </w:pPr>
      <w:r>
        <w:t xml:space="preserve">Rules of Engagement</w:t>
      </w:r>
    </w:p>
    <w:p>
      <w:pPr>
        <w:pStyle w:val="FirstParagraph"/>
      </w:pPr>
      <w:r>
        <w:t xml:space="preserve">E2’s charter ensures customers feel knowledgeable and confident in planning secure digital offerings.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Executive focus</w:t>
      </w:r>
      <w:r>
        <w:t xml:space="preserve">: Speak business outcomes — such as uptime, regulatory compliance, data protection — not technical configuration.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Structured consensus</w:t>
      </w:r>
      <w:r>
        <w:t xml:space="preserve">: Use the Crawl–Walk–Run model to build alignment and show short-, mid-, and long-term goals.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Capture, don’t dive</w:t>
      </w:r>
      <w:r>
        <w:t xml:space="preserve">: If debate goes deep into implementation details, note it for follow-up reference.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Adaptable and simple</w:t>
      </w:r>
      <w:r>
        <w:t xml:space="preserve">: Ensure the roadmap is realistic and achievable; customers must walk away with confidence in execution.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Do not prescribe solutions</w:t>
      </w:r>
      <w:r>
        <w:t xml:space="preserve">—recommend principle-based improvements, not canned technology choices.</w:t>
      </w:r>
    </w:p>
    <w:p>
      <w:r>
        <w:pict>
          <v:rect style="width:0;height:1.5pt" o:hralign="center" o:hrstd="t" o:hr="t"/>
        </w:pict>
      </w:r>
    </w:p>
    <w:bookmarkEnd w:id="30"/>
    <w:bookmarkStart w:id="37" w:name="step-by-step-delivery"/>
    <w:p>
      <w:pPr>
        <w:pStyle w:val="Heading2"/>
      </w:pPr>
      <w:r>
        <w:t xml:space="preserve">Step-by-Step Delivery</w:t>
      </w:r>
    </w:p>
    <w:bookmarkStart w:id="31" w:name="step-1-set-the-scene-context"/>
    <w:p>
      <w:pPr>
        <w:pStyle w:val="Heading3"/>
      </w:pPr>
      <w:r>
        <w:t xml:space="preserve">Step 1 – Set the Scene &amp; Context</w:t>
      </w:r>
    </w:p>
    <w:p>
      <w:pPr>
        <w:pStyle w:val="Compact"/>
        <w:numPr>
          <w:ilvl w:val="0"/>
          <w:numId w:val="1002"/>
        </w:numPr>
      </w:pPr>
      <w:r>
        <w:t xml:space="preserve">Recap previous assessments and security posture.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Confirm workshop objectives: clarity of roadmap, alignment of priorities, timeline agree-up.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Identify stakeholders and decision-makers in the room.</w:t>
      </w:r>
    </w:p>
    <w:bookmarkEnd w:id="31"/>
    <w:bookmarkStart w:id="32" w:name="step-2-review-maturity-snapshot"/>
    <w:p>
      <w:pPr>
        <w:pStyle w:val="Heading3"/>
      </w:pPr>
      <w:r>
        <w:t xml:space="preserve">Step 2 – Review Maturity Snapshot</w:t>
      </w:r>
    </w:p>
    <w:p>
      <w:pPr>
        <w:pStyle w:val="Compact"/>
        <w:numPr>
          <w:ilvl w:val="0"/>
          <w:numId w:val="1003"/>
        </w:numPr>
      </w:pPr>
      <w:r>
        <w:t xml:space="preserve">Walk through current maturity levels (Essential 8, Labeling, DLP, Secure Score).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Clarify major gaps, controls in place, and risk exposure.</w:t>
      </w:r>
    </w:p>
    <w:bookmarkEnd w:id="32"/>
    <w:bookmarkStart w:id="33" w:name="step-3-crawl-phase-immediate-wins"/>
    <w:p>
      <w:pPr>
        <w:pStyle w:val="Heading3"/>
      </w:pPr>
      <w:r>
        <w:t xml:space="preserve">Step 3 – Crawl Phase (Immediate Wins)</w:t>
      </w:r>
    </w:p>
    <w:p>
      <w:pPr>
        <w:pStyle w:val="Compact"/>
        <w:numPr>
          <w:ilvl w:val="0"/>
          <w:numId w:val="1004"/>
        </w:numPr>
      </w:pPr>
      <w:r>
        <w:t xml:space="preserve">Identify quick uplift opportunities achievable within 1–2 weeks (e.g. enforce MFA, disable macros, apply baseline DLP).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Confirm ownership and how to measure short-term success.</w:t>
      </w:r>
    </w:p>
    <w:bookmarkEnd w:id="33"/>
    <w:bookmarkStart w:id="34" w:name="step-4-walk-phase-mid-term-projects"/>
    <w:p>
      <w:pPr>
        <w:pStyle w:val="Heading3"/>
      </w:pPr>
      <w:r>
        <w:t xml:space="preserve">Step 4 – Walk Phase (Mid-Term Projects)</w:t>
      </w:r>
    </w:p>
    <w:p>
      <w:pPr>
        <w:pStyle w:val="Compact"/>
        <w:numPr>
          <w:ilvl w:val="0"/>
          <w:numId w:val="1005"/>
        </w:numPr>
      </w:pPr>
      <w:r>
        <w:t xml:space="preserve">Define mid-term initiatives (30–90 days) like auto-label deployment, roadmap delivery, Secure Score improvement projects, remediation of architectural gaps.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Prioritise by risk, cost, and business value.</w:t>
      </w:r>
    </w:p>
    <w:bookmarkEnd w:id="34"/>
    <w:bookmarkStart w:id="35" w:name="Xc09a70b969f61c3d7c4e89fd2ba846edc36c244"/>
    <w:p>
      <w:pPr>
        <w:pStyle w:val="Heading3"/>
      </w:pPr>
      <w:r>
        <w:t xml:space="preserve">Step 5 – Run Phase (Strategic Transformation)</w:t>
      </w:r>
    </w:p>
    <w:p>
      <w:pPr>
        <w:pStyle w:val="Compact"/>
        <w:numPr>
          <w:ilvl w:val="0"/>
          <w:numId w:val="1006"/>
        </w:numPr>
      </w:pPr>
      <w:r>
        <w:t xml:space="preserve">Discuss long-term strategic security projects (e.g. Identity Governance, IRM, Sentinel/ XDR rollout).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Define funding/approval horizon, KPIs, and executive sponsorship requirements.</w:t>
      </w:r>
    </w:p>
    <w:bookmarkEnd w:id="35"/>
    <w:bookmarkStart w:id="36" w:name="step-6-align-timeline-owners"/>
    <w:p>
      <w:pPr>
        <w:pStyle w:val="Heading3"/>
      </w:pPr>
      <w:r>
        <w:t xml:space="preserve">Step 6 – Align Timeline &amp; Owners</w:t>
      </w:r>
    </w:p>
    <w:p>
      <w:pPr>
        <w:pStyle w:val="Compact"/>
        <w:numPr>
          <w:ilvl w:val="0"/>
          <w:numId w:val="1007"/>
        </w:numPr>
      </w:pPr>
      <w:r>
        <w:t xml:space="preserve">Build a visual roadmap timeline (e.g. Gantt or bar view).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Assign executive sponsors, operational leads, and review cadence.</w:t>
      </w:r>
    </w:p>
    <w:p>
      <w:r>
        <w:pict>
          <v:rect style="width:0;height:1.5pt" o:hralign="center" o:hrstd="t" o:hr="t"/>
        </w:pict>
      </w:r>
    </w:p>
    <w:bookmarkEnd w:id="36"/>
    <w:bookmarkEnd w:id="37"/>
    <w:bookmarkStart w:id="38" w:name="engagement-outputs"/>
    <w:p>
      <w:pPr>
        <w:pStyle w:val="Heading2"/>
      </w:pPr>
      <w:r>
        <w:t xml:space="preserve">Engagement Outputs</w:t>
      </w:r>
    </w:p>
    <w:p>
      <w:pPr>
        <w:pStyle w:val="FirstParagraph"/>
      </w:pPr>
      <w:r>
        <w:t xml:space="preserve">By session close, deliverables include:</w:t>
      </w:r>
    </w:p>
    <w:p>
      <w:pPr>
        <w:pStyle w:val="Compact"/>
        <w:numPr>
          <w:ilvl w:val="0"/>
          <w:numId w:val="1008"/>
        </w:numPr>
      </w:pPr>
      <w:r>
        <w:t xml:space="preserve">A</w:t>
      </w:r>
      <w:r>
        <w:t xml:space="preserve"> </w:t>
      </w:r>
      <w:r>
        <w:rPr>
          <w:b/>
          <w:bCs/>
        </w:rPr>
        <w:t xml:space="preserve">phased roadmap</w:t>
      </w:r>
      <w:r>
        <w:t xml:space="preserve"> </w:t>
      </w:r>
      <w:r>
        <w:t xml:space="preserve">(Crawl–Walk–Run) with high-level milestones and owners.</w:t>
      </w:r>
      <w:r>
        <w:br/>
      </w:r>
    </w:p>
    <w:p>
      <w:pPr>
        <w:pStyle w:val="Compact"/>
        <w:numPr>
          <w:ilvl w:val="0"/>
          <w:numId w:val="1008"/>
        </w:numPr>
      </w:pPr>
      <w:r>
        <w:t xml:space="preserve">A one-page</w:t>
      </w:r>
      <w:r>
        <w:t xml:space="preserve"> </w:t>
      </w:r>
      <w:r>
        <w:rPr>
          <w:b/>
          <w:bCs/>
        </w:rPr>
        <w:t xml:space="preserve">executive summary</w:t>
      </w:r>
      <w:r>
        <w:t xml:space="preserve"> </w:t>
      </w:r>
      <w:r>
        <w:t xml:space="preserve">(heat-mapped maturity and key initiatives).</w:t>
      </w:r>
      <w:r>
        <w:br/>
      </w:r>
    </w:p>
    <w:p>
      <w:pPr>
        <w:pStyle w:val="Compact"/>
        <w:numPr>
          <w:ilvl w:val="0"/>
          <w:numId w:val="1008"/>
        </w:numPr>
      </w:pPr>
      <w:r>
        <w:t xml:space="preserve">A</w:t>
      </w:r>
      <w:r>
        <w:t xml:space="preserve"> </w:t>
      </w:r>
      <w:r>
        <w:rPr>
          <w:b/>
          <w:bCs/>
        </w:rPr>
        <w:t xml:space="preserve">quick-win tracker</w:t>
      </w:r>
      <w:r>
        <w:t xml:space="preserve"> </w:t>
      </w:r>
      <w:r>
        <w:t xml:space="preserve">(who, what, by when).</w:t>
      </w:r>
      <w:r>
        <w:br/>
      </w:r>
    </w:p>
    <w:p>
      <w:pPr>
        <w:pStyle w:val="Compact"/>
        <w:numPr>
          <w:ilvl w:val="0"/>
          <w:numId w:val="1008"/>
        </w:numPr>
      </w:pPr>
      <w:r>
        <w:t xml:space="preserve">A</w:t>
      </w:r>
      <w:r>
        <w:t xml:space="preserve"> </w:t>
      </w:r>
      <w:r>
        <w:rPr>
          <w:b/>
          <w:bCs/>
        </w:rPr>
        <w:t xml:space="preserve">mid-term project bundle</w:t>
      </w:r>
      <w:r>
        <w:t xml:space="preserve"> </w:t>
      </w:r>
      <w:r>
        <w:t xml:space="preserve">with outcome expectations.</w:t>
      </w:r>
      <w:r>
        <w:br/>
      </w:r>
    </w:p>
    <w:p>
      <w:pPr>
        <w:pStyle w:val="Compact"/>
        <w:numPr>
          <w:ilvl w:val="0"/>
          <w:numId w:val="1008"/>
        </w:numPr>
      </w:pPr>
      <w:r>
        <w:t xml:space="preserve">A</w:t>
      </w:r>
      <w:r>
        <w:t xml:space="preserve"> </w:t>
      </w:r>
      <w:r>
        <w:rPr>
          <w:b/>
          <w:bCs/>
        </w:rPr>
        <w:t xml:space="preserve">strategic transformation outline</w:t>
      </w:r>
      <w:r>
        <w:t xml:space="preserve"> </w:t>
      </w:r>
      <w:r>
        <w:t xml:space="preserve">(with anticipated funding needs and business impact).</w:t>
      </w:r>
    </w:p>
    <w:p>
      <w:r>
        <w:pict>
          <v:rect style="width:0;height:1.5pt" o:hralign="center" o:hrstd="t" o:hr="t"/>
        </w:pict>
      </w:r>
    </w:p>
    <w:bookmarkEnd w:id="38"/>
    <w:bookmarkStart w:id="39" w:name="references-learning-resources"/>
    <w:p>
      <w:pPr>
        <w:pStyle w:val="Heading2"/>
      </w:pPr>
      <w:r>
        <w:t xml:space="preserve">References &amp; Learning Resources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Microsoft Zero Trust Workshop Guidance (Roadmap tool)</w:t>
      </w:r>
      <w:r>
        <w:br/>
      </w:r>
      <w:r>
        <w:t xml:space="preserve">Template platform for mature roadmap tracking and status monitoring :contentReference</w:t>
      </w:r>
      <w:r>
        <w:t xml:space="preserve">oaicite:2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ACSC Essential 8 Maturity Model</w:t>
      </w:r>
      <w:r>
        <w:t xml:space="preserve"> </w:t>
      </w:r>
      <w:r>
        <w:t xml:space="preserve">– Align quick wins and mid-term improvements across RTO, integrity, and patching maturity :contentReference</w:t>
      </w:r>
      <w:r>
        <w:t xml:space="preserve">oaicite:3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Crawl–Walk–Run Security Uplift Model</w:t>
      </w:r>
      <w:r>
        <w:t xml:space="preserve"> </w:t>
      </w:r>
      <w:r>
        <w:t xml:space="preserve">– Industry-proven approach to incremental maturity.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Microsoft Learn: Secure Score Improvement</w:t>
      </w:r>
      <w:r>
        <w:t xml:space="preserve"> </w:t>
      </w:r>
      <w:r>
        <w:t xml:space="preserve">– Plays into roadmap actions and time-bound progress tracking.</w:t>
      </w:r>
    </w:p>
    <w:p>
      <w:r>
        <w:pict>
          <v:rect style="width:0;height:1.5pt" o:hralign="center" o:hrstd="t" o:hr="t"/>
        </w:pict>
      </w:r>
    </w:p>
    <w:bookmarkEnd w:id="39"/>
    <w:bookmarkEnd w:id="40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