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7" w:name="sensitivity-labelling-uplift"/>
    <w:p>
      <w:pPr>
        <w:pStyle w:val="Heading1"/>
      </w:pPr>
      <w:r>
        <w:t xml:space="preserve">Sensitivity Labelling Uplift</w:t>
      </w:r>
    </w:p>
    <w:bookmarkStart w:id="29" w:name="introduction-purpose"/>
    <w:p>
      <w:pPr>
        <w:pStyle w:val="Heading2"/>
      </w:pPr>
      <w:r>
        <w:t xml:space="preserve">Introduction &amp; Purpose</w:t>
      </w:r>
    </w:p>
    <w:p>
      <w:pPr>
        <w:pStyle w:val="FirstParagraph"/>
      </w:pPr>
      <w:r>
        <w:t xml:space="preserve">This engagement helps organisations improve visibility, control, and governance of sensitive information by deploying Microsoft Purview</w:t>
      </w:r>
      <w:r>
        <w:t xml:space="preserve"> </w:t>
      </w:r>
      <w:r>
        <w:rPr>
          <w:b/>
          <w:bCs/>
        </w:rPr>
        <w:t xml:space="preserve">Sensitivity Labels</w:t>
      </w:r>
      <w:r>
        <w:t xml:space="preserve">.</w:t>
      </w:r>
    </w:p>
    <w:p>
      <w:pPr>
        <w:pStyle w:val="BodyText"/>
      </w:pPr>
      <w:r>
        <w:t xml:space="preserve">Labelling is not just about “putting a sticker on a file.” When used correctly, labels:</w:t>
      </w:r>
      <w:r>
        <w:br/>
      </w:r>
      <w:r>
        <w:t xml:space="preserve">- Drive</w:t>
      </w:r>
      <w:r>
        <w:t xml:space="preserve"> </w:t>
      </w:r>
      <w:r>
        <w:rPr>
          <w:b/>
          <w:bCs/>
        </w:rPr>
        <w:t xml:space="preserve">consistent data classification</w:t>
      </w:r>
      <w:r>
        <w:t xml:space="preserve"> </w:t>
      </w:r>
      <w:r>
        <w:t xml:space="preserve">across Microsoft 365 (emails, files, Teams, SharePoint).</w:t>
      </w:r>
      <w:r>
        <w:br/>
      </w:r>
      <w:r>
        <w:t xml:space="preserve">- Enable</w:t>
      </w:r>
      <w:r>
        <w:t xml:space="preserve"> </w:t>
      </w:r>
      <w:r>
        <w:rPr>
          <w:b/>
          <w:bCs/>
        </w:rPr>
        <w:t xml:space="preserve">automatic protection actions</w:t>
      </w:r>
      <w:r>
        <w:t xml:space="preserve"> </w:t>
      </w:r>
      <w:r>
        <w:t xml:space="preserve">(encryption, watermarking, access restrictions).</w:t>
      </w:r>
      <w:r>
        <w:br/>
      </w:r>
      <w:r>
        <w:t xml:space="preserve">- Serve as a</w:t>
      </w:r>
      <w:r>
        <w:t xml:space="preserve"> </w:t>
      </w:r>
      <w:r>
        <w:rPr>
          <w:b/>
          <w:bCs/>
        </w:rPr>
        <w:t xml:space="preserve">foundation for compliance</w:t>
      </w:r>
      <w:r>
        <w:t xml:space="preserve"> </w:t>
      </w:r>
      <w:r>
        <w:t xml:space="preserve">(retention, auditing, DLP integration).</w:t>
      </w:r>
    </w:p>
    <w:p>
      <w:pPr>
        <w:pStyle w:val="BodyText"/>
      </w:pPr>
      <w:r>
        <w:t xml:space="preserve">The purpose of this session is to help the customer</w:t>
      </w:r>
      <w:r>
        <w:t xml:space="preserve"> </w:t>
      </w:r>
      <w:r>
        <w:rPr>
          <w:b/>
          <w:bCs/>
        </w:rPr>
        <w:t xml:space="preserve">assess current labelling maturity</w:t>
      </w:r>
      <w:r>
        <w:t xml:space="preserve">, align to a consistent taxonomy, and implement quick wins that will uplift their overall security and compliance posture.</w:t>
      </w:r>
    </w:p>
    <w:p>
      <w:pPr>
        <w:pStyle w:val="BodyText"/>
      </w:pPr>
      <w:r>
        <w:t xml:space="preserve">This is not a full</w:t>
      </w:r>
      <w:r>
        <w:t xml:space="preserve"> </w:t>
      </w:r>
      <w:r>
        <w:rPr>
          <w:b/>
          <w:bCs/>
        </w:rPr>
        <w:t xml:space="preserve">labelling taxonomy design project</w:t>
      </w:r>
      <w:r>
        <w:t xml:space="preserve"> </w:t>
      </w:r>
      <w:r>
        <w:t xml:space="preserve">— it is an advisory to build confidence, deliver quick value, and guide next steps.</w:t>
      </w:r>
    </w:p>
    <w:p>
      <w:r>
        <w:pict>
          <v:rect style="width:0;height:1.5pt" o:hralign="center" o:hrstd="t" o:hr="t"/>
        </w:pict>
      </w:r>
    </w:p>
    <w:bookmarkEnd w:id="29"/>
    <w:bookmarkStart w:id="31" w:name="rules-of-engagement"/>
    <w:p>
      <w:pPr>
        <w:pStyle w:val="Heading2"/>
      </w:pPr>
      <w:r>
        <w:t xml:space="preserve">Rules of Engagement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Focus on business alignment</w:t>
      </w:r>
      <w:r>
        <w:t xml:space="preserve">: talk about protecting customer data, contracts, and intellectual property — not only about Purview UI clicks.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Stay out of deep technical design</w:t>
      </w:r>
      <w:r>
        <w:t xml:space="preserve">: avoid diving into XML, regex, or custom classifiers unless there’s a follow-up engagement.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Strategic framing</w:t>
      </w:r>
      <w:r>
        <w:t xml:space="preserve">: link labelling to compliance frameworks (Essential 8, ISO 27001, GDPR, PSPF).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Avoid over-engineering</w:t>
      </w:r>
      <w:r>
        <w:t xml:space="preserve">: encourage customers to start simple (3–4 labels) and expand as adoption grows.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Red flags</w:t>
      </w:r>
      <w:r>
        <w:t xml:space="preserve">: if the customer insists on 20+ labels up front or complex auto-labelling policies without discovery, steer them toward a</w:t>
      </w:r>
      <w:r>
        <w:t xml:space="preserve"> </w:t>
      </w:r>
      <w:r>
        <w:rPr>
          <w:b/>
          <w:bCs/>
        </w:rPr>
        <w:t xml:space="preserve">Label Taxonomy Design</w:t>
      </w:r>
      <w:r>
        <w:t xml:space="preserve"> </w:t>
      </w:r>
      <w:r>
        <w:t xml:space="preserve">engagement.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Keep adoption in focus</w:t>
      </w:r>
      <w:r>
        <w:t xml:space="preserve">: emphasise communication, training, and monitoring alongside technology.</w:t>
      </w:r>
    </w:p>
    <w:p>
      <w:r>
        <w:pict>
          <v:rect style="width:0;height:1.5pt" o:hralign="center" o:hrstd="t" o:hr="t"/>
        </w:pict>
      </w:r>
    </w:p>
    <w:bookmarkStart w:id="30" w:name="talking-points"/>
    <w:p>
      <w:pPr>
        <w:pStyle w:val="Heading3"/>
      </w:pPr>
      <w:r>
        <w:t xml:space="preserve">Talking Points</w:t>
      </w:r>
    </w:p>
    <w:p>
      <w:pPr>
        <w:pStyle w:val="Compact"/>
        <w:numPr>
          <w:ilvl w:val="0"/>
          <w:numId w:val="1002"/>
        </w:numPr>
      </w:pPr>
      <w:r>
        <w:t xml:space="preserve">Anchor the customer on “secure-by-default before scale”: start with a small, safe baseline (few labels, clear owners), then expand.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Use the blueprint to justify default enforcement choices (e.g., requiring justification for label downgrades, auditing before blocking).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Position it as Microsoft’s reference approach you’re aligning to, not a custom E2 opinion.</w:t>
      </w:r>
    </w:p>
    <w:p>
      <w:r>
        <w:pict>
          <v:rect style="width:0;height:1.5pt" o:hralign="center" o:hrstd="t" o:hr="t"/>
        </w:pict>
      </w:r>
    </w:p>
    <w:bookmarkEnd w:id="30"/>
    <w:bookmarkEnd w:id="31"/>
    <w:bookmarkStart w:id="37" w:name="step-by-step-delivery"/>
    <w:p>
      <w:pPr>
        <w:pStyle w:val="Heading2"/>
      </w:pPr>
      <w:r>
        <w:t xml:space="preserve">Step-by-Step Delivery</w:t>
      </w:r>
    </w:p>
    <w:bookmarkStart w:id="32" w:name="step-1-define-business-goals"/>
    <w:p>
      <w:pPr>
        <w:pStyle w:val="Heading3"/>
      </w:pPr>
      <w:r>
        <w:t xml:space="preserve">Step 1 – Define Business Goals</w:t>
      </w:r>
    </w:p>
    <w:p>
      <w:pPr>
        <w:pStyle w:val="Compact"/>
        <w:numPr>
          <w:ilvl w:val="0"/>
          <w:numId w:val="1003"/>
        </w:numPr>
      </w:pPr>
      <w:r>
        <w:t xml:space="preserve">Ask:</w:t>
      </w:r>
      <w:r>
        <w:t xml:space="preserve"> </w:t>
      </w:r>
      <w:r>
        <w:rPr>
          <w:i/>
          <w:iCs/>
        </w:rPr>
        <w:t xml:space="preserve">Why do you need sensitivity labels?</w:t>
      </w:r>
      <w:r>
        <w:t xml:space="preserve"> </w:t>
      </w:r>
      <w:r>
        <w:t xml:space="preserve">(compliance, customer data protection, insider risk, Copilot readiness).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Establish which business units or data categories are most at risk.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Align to regulatory requirements (ACSC, ISO, GDPR).</w:t>
      </w:r>
    </w:p>
    <w:p>
      <w:pPr>
        <w:pStyle w:val="Compact"/>
        <w:numPr>
          <w:ilvl w:val="0"/>
          <w:numId w:val="1003"/>
        </w:numPr>
      </w:pPr>
      <w:r>
        <w:t xml:space="preserve">Clarify whether the drivers include Copilot or AI adoption. Without consistent labelling, Copilot could surface sensitive data inappropriately.</w:t>
      </w:r>
    </w:p>
    <w:bookmarkEnd w:id="32"/>
    <w:bookmarkStart w:id="33" w:name="step-2-review-current-labels-usage"/>
    <w:p>
      <w:pPr>
        <w:pStyle w:val="Heading3"/>
      </w:pPr>
      <w:r>
        <w:t xml:space="preserve">Step 2 – Review Current Labels &amp; Usage</w:t>
      </w:r>
    </w:p>
    <w:p>
      <w:pPr>
        <w:pStyle w:val="Compact"/>
        <w:numPr>
          <w:ilvl w:val="0"/>
          <w:numId w:val="1004"/>
        </w:numPr>
      </w:pPr>
      <w:r>
        <w:t xml:space="preserve">If labels exist, review current configuration and adoption rates.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Identify unused or overlapping labels.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If no labels exist, capture initial requirements (Public, Internal, Confidential, Highly Confidential).</w:t>
      </w:r>
    </w:p>
    <w:bookmarkEnd w:id="33"/>
    <w:bookmarkStart w:id="34" w:name="step-3-align-to-a-taxonomy"/>
    <w:p>
      <w:pPr>
        <w:pStyle w:val="Heading3"/>
      </w:pPr>
      <w:r>
        <w:t xml:space="preserve">Step 3 – Align to a Taxonomy</w:t>
      </w:r>
    </w:p>
    <w:p>
      <w:pPr>
        <w:pStyle w:val="Compact"/>
        <w:numPr>
          <w:ilvl w:val="0"/>
          <w:numId w:val="1005"/>
        </w:numPr>
      </w:pPr>
      <w:r>
        <w:t xml:space="preserve">Map labels to the organisation’s information classification scheme.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Recommend a</w:t>
      </w:r>
      <w:r>
        <w:t xml:space="preserve"> </w:t>
      </w:r>
      <w:r>
        <w:rPr>
          <w:b/>
          <w:bCs/>
        </w:rPr>
        <w:t xml:space="preserve">simple starter taxonomy</w:t>
      </w:r>
      <w:r>
        <w:t xml:space="preserve"> </w:t>
      </w:r>
      <w:r>
        <w:t xml:space="preserve">(e.g., Public / Internal / Confidential / Restricted).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Discuss naming conventions, icons, colours, and policy actions.</w:t>
      </w:r>
    </w:p>
    <w:p>
      <w:pPr>
        <w:pStyle w:val="Compact"/>
        <w:numPr>
          <w:ilvl w:val="0"/>
          <w:numId w:val="1005"/>
        </w:numPr>
      </w:pPr>
      <w:r>
        <w:t xml:space="preserve">Use the Secure-by-Default blueprint to justify keeping the starter taxonomy lean — build confidence before scaling to dozens of labels.</w:t>
      </w:r>
    </w:p>
    <w:bookmarkEnd w:id="34"/>
    <w:bookmarkStart w:id="35" w:name="step-4-build-test-auto-label-policies"/>
    <w:p>
      <w:pPr>
        <w:pStyle w:val="Heading3"/>
      </w:pPr>
      <w:r>
        <w:t xml:space="preserve">Step 4 – Build &amp; Test Auto-Label Policies</w:t>
      </w:r>
    </w:p>
    <w:p>
      <w:pPr>
        <w:pStyle w:val="Compact"/>
        <w:numPr>
          <w:ilvl w:val="0"/>
          <w:numId w:val="1006"/>
        </w:numPr>
      </w:pPr>
      <w:r>
        <w:t xml:space="preserve">Configure 1–2</w:t>
      </w:r>
      <w:r>
        <w:t xml:space="preserve"> </w:t>
      </w:r>
      <w:r>
        <w:rPr>
          <w:b/>
          <w:bCs/>
        </w:rPr>
        <w:t xml:space="preserve">pilot policies</w:t>
      </w:r>
      <w:r>
        <w:t xml:space="preserve"> </w:t>
      </w:r>
      <w:r>
        <w:t xml:space="preserve">in audit mode (e.g., auto-apply “Confidential” for files with TFNs or credit card numbers).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Walk through how auto-labelling integrates with</w:t>
      </w:r>
      <w:r>
        <w:t xml:space="preserve"> </w:t>
      </w:r>
      <w:r>
        <w:rPr>
          <w:b/>
          <w:bCs/>
        </w:rPr>
        <w:t xml:space="preserve">DLP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eDiscovery</w:t>
      </w:r>
      <w:r>
        <w:t xml:space="preserve">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Highlight Copilot dependencies: without consistent labelling, AI could surface sensitive data inappropriately.</w:t>
      </w:r>
    </w:p>
    <w:bookmarkEnd w:id="35"/>
    <w:bookmarkStart w:id="36" w:name="step-5-adoption-governance"/>
    <w:p>
      <w:pPr>
        <w:pStyle w:val="Heading3"/>
      </w:pPr>
      <w:r>
        <w:t xml:space="preserve">Step 5 – Adoption &amp; Governance</w:t>
      </w:r>
    </w:p>
    <w:p>
      <w:pPr>
        <w:pStyle w:val="Compact"/>
        <w:numPr>
          <w:ilvl w:val="0"/>
          <w:numId w:val="1007"/>
        </w:numPr>
      </w:pPr>
      <w:r>
        <w:t xml:space="preserve">Define who owns labels (Compliance vs IT).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Create a governance process for approving new labels.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Train users on how and when to apply labels.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Review adoption reports after 2–4 weeks and refine policies.</w:t>
      </w:r>
    </w:p>
    <w:p>
      <w:pPr>
        <w:pStyle w:val="Compact"/>
        <w:numPr>
          <w:ilvl w:val="0"/>
          <w:numId w:val="1007"/>
        </w:numPr>
      </w:pPr>
      <w:r>
        <w:t xml:space="preserve">Review user adoption reports at 2–4 weeks, not just policy matches, to understand how labels are actually being applied in daily work.</w:t>
      </w:r>
    </w:p>
    <w:p>
      <w:r>
        <w:pict>
          <v:rect style="width:0;height:1.5pt" o:hralign="center" o:hrstd="t" o:hr="t"/>
        </w:pict>
      </w:r>
    </w:p>
    <w:bookmarkEnd w:id="36"/>
    <w:bookmarkEnd w:id="37"/>
    <w:bookmarkStart w:id="38" w:name="engagement-outputs"/>
    <w:p>
      <w:pPr>
        <w:pStyle w:val="Heading2"/>
      </w:pPr>
      <w:r>
        <w:t xml:space="preserve">Engagement Outputs</w:t>
      </w:r>
    </w:p>
    <w:p>
      <w:pPr>
        <w:pStyle w:val="FirstParagraph"/>
      </w:pPr>
      <w:r>
        <w:t xml:space="preserve">At the end of this engagement, the customer should have:</w:t>
      </w:r>
      <w:r>
        <w:br/>
      </w:r>
      <w:r>
        <w:t xml:space="preserve">- A</w:t>
      </w:r>
      <w:r>
        <w:t xml:space="preserve"> </w:t>
      </w:r>
      <w:r>
        <w:rPr>
          <w:b/>
          <w:bCs/>
        </w:rPr>
        <w:t xml:space="preserve">baseline sensitivity label taxonomy</w:t>
      </w:r>
      <w:r>
        <w:t xml:space="preserve"> </w:t>
      </w:r>
      <w:r>
        <w:t xml:space="preserve">(3–4 recommended starter labels).</w:t>
      </w:r>
      <w:r>
        <w:br/>
      </w:r>
      <w:r>
        <w:t xml:space="preserve">- 1–2</w:t>
      </w:r>
      <w:r>
        <w:t xml:space="preserve"> </w:t>
      </w:r>
      <w:r>
        <w:rPr>
          <w:b/>
          <w:bCs/>
        </w:rPr>
        <w:t xml:space="preserve">pilot auto-labelling policies</w:t>
      </w:r>
      <w:r>
        <w:t xml:space="preserve"> </w:t>
      </w:r>
      <w:r>
        <w:t xml:space="preserve">configured in audit mode.</w:t>
      </w:r>
      <w:r>
        <w:br/>
      </w:r>
      <w:r>
        <w:t xml:space="preserve">- A</w:t>
      </w:r>
      <w:r>
        <w:t xml:space="preserve"> </w:t>
      </w:r>
      <w:r>
        <w:rPr>
          <w:b/>
          <w:bCs/>
        </w:rPr>
        <w:t xml:space="preserve">governance guide</w:t>
      </w:r>
      <w:r>
        <w:t xml:space="preserve"> </w:t>
      </w:r>
      <w:r>
        <w:t xml:space="preserve">outlining label ownership and change management.</w:t>
      </w:r>
      <w:r>
        <w:br/>
      </w:r>
      <w:r>
        <w:t xml:space="preserve">- An</w:t>
      </w:r>
      <w:r>
        <w:t xml:space="preserve"> </w:t>
      </w:r>
      <w:r>
        <w:rPr>
          <w:b/>
          <w:bCs/>
        </w:rPr>
        <w:t xml:space="preserve">adoption plan</w:t>
      </w:r>
      <w:r>
        <w:t xml:space="preserve"> </w:t>
      </w:r>
      <w:r>
        <w:t xml:space="preserve">with communication and training guidance.</w:t>
      </w:r>
      <w:r>
        <w:br/>
      </w:r>
      <w:r>
        <w:t xml:space="preserve">- A list of</w:t>
      </w:r>
      <w:r>
        <w:t xml:space="preserve"> </w:t>
      </w:r>
      <w:r>
        <w:rPr>
          <w:b/>
          <w:bCs/>
        </w:rPr>
        <w:t xml:space="preserve">next steps</w:t>
      </w:r>
      <w:r>
        <w:t xml:space="preserve"> </w:t>
      </w:r>
      <w:r>
        <w:t xml:space="preserve">for scaling labelling and integrating with DLP/IRM.</w:t>
      </w:r>
      <w:r>
        <w:t xml:space="preserve"> </w:t>
      </w:r>
      <w:r>
        <w:t xml:space="preserve">- A defined reporting process (e.g., monthly usage/adoption reports for IT and quarterly summaries for executives).</w:t>
      </w:r>
    </w:p>
    <w:p>
      <w:r>
        <w:pict>
          <v:rect style="width:0;height:1.5pt" o:hralign="center" o:hrstd="t" o:hr="t"/>
        </w:pict>
      </w:r>
    </w:p>
    <w:bookmarkEnd w:id="38"/>
    <w:bookmarkStart w:id="46" w:name="references-learning-resources"/>
    <w:p>
      <w:pPr>
        <w:pStyle w:val="Heading2"/>
      </w:pPr>
      <w:r>
        <w:t xml:space="preserve">References &amp; Learning Resources</w:t>
      </w:r>
    </w:p>
    <w:p>
      <w:pPr>
        <w:pStyle w:val="Compact"/>
        <w:numPr>
          <w:ilvl w:val="0"/>
          <w:numId w:val="1008"/>
        </w:numPr>
      </w:pPr>
      <w:hyperlink r:id="rId39">
        <w:r>
          <w:rPr>
            <w:rStyle w:val="Hyperlink"/>
          </w:rPr>
          <w:t xml:space="preserve">Microsoft Purview — Secure by Default (Blueprint, PDF) Practical guidance for standing up Purview in a secure-by-default posture, including baseline controls and deployment patterns that underpin labels, DLP, and broader governance.</w:t>
        </w:r>
      </w:hyperlink>
    </w:p>
    <w:p>
      <w:pPr>
        <w:pStyle w:val="Compact"/>
        <w:numPr>
          <w:ilvl w:val="0"/>
          <w:numId w:val="1008"/>
        </w:numPr>
      </w:pPr>
      <w:hyperlink r:id="rId40">
        <w:r>
          <w:rPr>
            <w:rStyle w:val="Hyperlink"/>
          </w:rPr>
          <w:t xml:space="preserve">Microsoft Learn – Sensitivity Labels Overview</w:t>
        </w:r>
      </w:hyperlink>
      <w:r>
        <w:br/>
      </w:r>
    </w:p>
    <w:p>
      <w:pPr>
        <w:pStyle w:val="Compact"/>
        <w:numPr>
          <w:ilvl w:val="0"/>
          <w:numId w:val="1008"/>
        </w:numPr>
      </w:pPr>
      <w:hyperlink r:id="rId41">
        <w:r>
          <w:rPr>
            <w:rStyle w:val="Hyperlink"/>
          </w:rPr>
          <w:t xml:space="preserve">Best Practices for Sensitivity Labels (Microsoft)</w:t>
        </w:r>
      </w:hyperlink>
      <w:r>
        <w:br/>
      </w:r>
    </w:p>
    <w:p>
      <w:pPr>
        <w:pStyle w:val="Compact"/>
        <w:numPr>
          <w:ilvl w:val="0"/>
          <w:numId w:val="1008"/>
        </w:numPr>
      </w:pPr>
      <w:hyperlink r:id="rId42">
        <w:r>
          <w:rPr>
            <w:rStyle w:val="Hyperlink"/>
          </w:rPr>
          <w:t xml:space="preserve">Syskit – Governance Tips for Sensitivity Labels</w:t>
        </w:r>
      </w:hyperlink>
      <w:r>
        <w:br/>
      </w:r>
    </w:p>
    <w:p>
      <w:pPr>
        <w:pStyle w:val="Compact"/>
        <w:numPr>
          <w:ilvl w:val="0"/>
          <w:numId w:val="1008"/>
        </w:numPr>
      </w:pPr>
      <w:hyperlink r:id="rId43">
        <w:r>
          <w:rPr>
            <w:rStyle w:val="Hyperlink"/>
          </w:rPr>
          <w:t xml:space="preserve">Top 5 Tips for Sensitivity Labels (HubSite365)</w:t>
        </w:r>
      </w:hyperlink>
      <w:r>
        <w:br/>
      </w:r>
    </w:p>
    <w:p>
      <w:pPr>
        <w:pStyle w:val="Compact"/>
        <w:numPr>
          <w:ilvl w:val="0"/>
          <w:numId w:val="1008"/>
        </w:numPr>
      </w:pPr>
      <w:hyperlink r:id="rId44">
        <w:r>
          <w:rPr>
            <w:rStyle w:val="Hyperlink"/>
          </w:rPr>
          <w:t xml:space="preserve">Copilot &amp; Sensitivity Labels – Why They Matter</w:t>
        </w:r>
      </w:hyperlink>
      <w:r>
        <w:br/>
      </w:r>
    </w:p>
    <w:p>
      <w:pPr>
        <w:pStyle w:val="Compact"/>
        <w:numPr>
          <w:ilvl w:val="0"/>
          <w:numId w:val="1008"/>
        </w:numPr>
      </w:pPr>
      <w:hyperlink r:id="rId45">
        <w:r>
          <w:rPr>
            <w:rStyle w:val="Hyperlink"/>
          </w:rPr>
          <w:t xml:space="preserve">Nikki Chappell – Purview DLP &amp; Label Best Practices</w:t>
        </w:r>
      </w:hyperlink>
    </w:p>
    <w:p>
      <w:r>
        <w:pict>
          <v:rect style="width:0;height:1.5pt" o:hralign="center" o:hrstd="t" o:hr="t"/>
        </w:pict>
      </w:r>
    </w:p>
    <w:bookmarkEnd w:id="46"/>
    <w:bookmarkEnd w:id="47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39" Target="https://github.com/microsoft/purview/blob/95e2d91f802804d17f82dd58fd9fe9ce0c470106/purview-blueprints/Secure%20by%20default%20with%20Microsoft%20Purview.pdf" TargetMode="External" /><Relationship Type="http://schemas.openxmlformats.org/officeDocument/2006/relationships/hyperlink" Id="rId40" Target="https://learn.microsoft.com/en-us/microsoft-365/compliance/sensitivity-labels" TargetMode="External" /><Relationship Type="http://schemas.openxmlformats.org/officeDocument/2006/relationships/hyperlink" Id="rId41" Target="https://learn.microsoft.com/en-us/purview/data-gov-best-practices-sensitivity-labels" TargetMode="External" /><Relationship Type="http://schemas.openxmlformats.org/officeDocument/2006/relationships/hyperlink" Id="rId45" Target="https://nikkichapple.com/microsoft-purview-dlp-best-practices/" TargetMode="External" /><Relationship Type="http://schemas.openxmlformats.org/officeDocument/2006/relationships/hyperlink" Id="rId44" Target="https://teamcopilot.nl/2025/02/15/building-a-sensitivity-labeling-strategy-for-microsoft-purview-protecting-data-in-the-age-of-copilot/" TargetMode="External" /><Relationship Type="http://schemas.openxmlformats.org/officeDocument/2006/relationships/hyperlink" Id="rId43" Target="https://www.hubsite365.com/en-ww/crm-pages/my-top-5-tips-for-sensitivity-labels-in-microsoft-purview.htm" TargetMode="External" /><Relationship Type="http://schemas.openxmlformats.org/officeDocument/2006/relationships/hyperlink" Id="rId42" Target="https://www.syskit.com/governance-handbook/sensitivity-labels/best-practices-sensitivity-label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github.com/microsoft/purview/blob/95e2d91f802804d17f82dd58fd9fe9ce0c470106/purview-blueprints/Secure%20by%20default%20with%20Microsoft%20Purview.pdf" TargetMode="External" /><Relationship Type="http://schemas.openxmlformats.org/officeDocument/2006/relationships/hyperlink" Id="rId40" Target="https://learn.microsoft.com/en-us/microsoft-365/compliance/sensitivity-labels" TargetMode="External" /><Relationship Type="http://schemas.openxmlformats.org/officeDocument/2006/relationships/hyperlink" Id="rId41" Target="https://learn.microsoft.com/en-us/purview/data-gov-best-practices-sensitivity-labels" TargetMode="External" /><Relationship Type="http://schemas.openxmlformats.org/officeDocument/2006/relationships/hyperlink" Id="rId45" Target="https://nikkichapple.com/microsoft-purview-dlp-best-practices/" TargetMode="External" /><Relationship Type="http://schemas.openxmlformats.org/officeDocument/2006/relationships/hyperlink" Id="rId44" Target="https://teamcopilot.nl/2025/02/15/building-a-sensitivity-labeling-strategy-for-microsoft-purview-protecting-data-in-the-age-of-copilot/" TargetMode="External" /><Relationship Type="http://schemas.openxmlformats.org/officeDocument/2006/relationships/hyperlink" Id="rId43" Target="https://www.hubsite365.com/en-ww/crm-pages/my-top-5-tips-for-sensitivity-labels-in-microsoft-purview.htm" TargetMode="External" /><Relationship Type="http://schemas.openxmlformats.org/officeDocument/2006/relationships/hyperlink" Id="rId42" Target="https://www.syskit.com/governance-handbook/sensitivity-labels/best-practices-sensitivity-labels/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2025-10-09T02:13:54Z</dcterms:created>
  <dcterms:modified xsi:type="dcterms:W3CDTF">2025-10-09T02:13:54Z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