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etention-policy-design-workshop"/>
    <w:p>
      <w:pPr>
        <w:pStyle w:val="Heading1"/>
      </w:pPr>
      <w:r>
        <w:t xml:space="preserve">Retention Policy Design Workshop</w:t>
      </w:r>
    </w:p>
    <w:bookmarkStart w:id="29" w:name="status-planned---q3-2025"/>
    <w:p>
      <w:pPr>
        <w:pStyle w:val="Heading2"/>
      </w:pPr>
      <w:r>
        <w:t xml:space="preserve">Status: Planned - Q3 2025</w:t>
      </w:r>
    </w:p>
    <w:p>
      <w:pPr>
        <w:pStyle w:val="FirstParagraph"/>
      </w:pPr>
      <w:r>
        <w:rPr>
          <w:b/>
          <w:bCs/>
        </w:rPr>
        <w:t xml:space="preserve">Expected Duration:</w:t>
      </w:r>
      <w:r>
        <w:t xml:space="preserve"> </w:t>
      </w:r>
      <w:r>
        <w:t xml:space="preserve">3-4 weeks</w:t>
      </w:r>
      <w:r>
        <w:br/>
      </w:r>
      <w:r>
        <w:rPr>
          <w:b/>
          <w:bCs/>
        </w:rPr>
        <w:t xml:space="preserve">Target Audience:</w:t>
      </w:r>
      <w:r>
        <w:t xml:space="preserve"> </w:t>
      </w:r>
      <w:r>
        <w:t xml:space="preserve">Organizations needing systematic records management</w:t>
      </w:r>
      <w:r>
        <w:br/>
      </w:r>
      <w:r>
        <w:rPr>
          <w:b/>
          <w:bCs/>
        </w:rPr>
        <w:t xml:space="preserve">Prerequisites:</w:t>
      </w:r>
      <w:r>
        <w:t xml:space="preserve"> </w:t>
      </w:r>
      <w:r>
        <w:t xml:space="preserve">Sensitivity Labelling Uplift or equivalent data classification maturity</w:t>
      </w:r>
    </w:p>
    <w:p>
      <w:r>
        <w:pict>
          <v:rect style="width:0;height:1.5pt" o:hralign="center" o:hrstd="t" o:hr="t"/>
        </w:pict>
      </w:r>
    </w:p>
    <w:bookmarkEnd w:id="29"/>
    <w:bookmarkStart w:id="30" w:name="purpose-problem-solved"/>
    <w:p>
      <w:pPr>
        <w:pStyle w:val="Heading2"/>
      </w:pPr>
      <w:r>
        <w:t xml:space="preserve">Purpose &amp; Problem Solved</w:t>
      </w:r>
    </w:p>
    <w:p>
      <w:pPr>
        <w:pStyle w:val="FirstParagraph"/>
      </w:pPr>
      <w:r>
        <w:t xml:space="preserve">This workshop addresses the complex challenge of designing retention policies that balance business needs, regulatory requirements, and storage optimization. Many organizations struggle with ad-hoc retention approaches that create compliance risks and inefficient data management.</w:t>
      </w:r>
    </w:p>
    <w:p>
      <w:pPr>
        <w:pStyle w:val="BodyText"/>
      </w:pPr>
      <w:r>
        <w:t xml:space="preserve">This engagement provides a structured framework for retention taxonomy design, automated policy deployment, and ongoing governance that aligns with business processes and regulatory obligations.</w:t>
      </w:r>
    </w:p>
    <w:p>
      <w:r>
        <w:pict>
          <v:rect style="width:0;height:1.5pt" o:hralign="center" o:hrstd="t" o:hr="t"/>
        </w:pict>
      </w:r>
    </w:p>
    <w:bookmarkEnd w:id="30"/>
    <w:bookmarkStart w:id="31" w:name="expected-deliverables"/>
    <w:p>
      <w:pPr>
        <w:pStyle w:val="Heading2"/>
      </w:pPr>
      <w:r>
        <w:t xml:space="preserve">Expected Deliverables</w:t>
      </w:r>
    </w:p>
    <w:p>
      <w:pPr>
        <w:pStyle w:val="Compact"/>
        <w:numPr>
          <w:ilvl w:val="0"/>
          <w:numId w:val="1001"/>
        </w:numPr>
      </w:pPr>
      <w:r>
        <w:t xml:space="preserve">Comprehensive retention taxonomy aligned to business functions and regulatory requirements</w:t>
      </w:r>
    </w:p>
    <w:p>
      <w:pPr>
        <w:pStyle w:val="Compact"/>
        <w:numPr>
          <w:ilvl w:val="0"/>
          <w:numId w:val="1001"/>
        </w:numPr>
      </w:pPr>
      <w:r>
        <w:t xml:space="preserve">Automated retention policy framework using Microsoft Purview</w:t>
      </w:r>
    </w:p>
    <w:p>
      <w:pPr>
        <w:pStyle w:val="Compact"/>
        <w:numPr>
          <w:ilvl w:val="0"/>
          <w:numId w:val="1001"/>
        </w:numPr>
      </w:pPr>
      <w:r>
        <w:t xml:space="preserve">Legal hold and litigation readiness procedures</w:t>
      </w:r>
    </w:p>
    <w:p>
      <w:pPr>
        <w:pStyle w:val="Compact"/>
        <w:numPr>
          <w:ilvl w:val="0"/>
          <w:numId w:val="1001"/>
        </w:numPr>
      </w:pPr>
      <w:r>
        <w:t xml:space="preserve">Records management governance structure with roles and responsibilities</w:t>
      </w:r>
    </w:p>
    <w:p>
      <w:pPr>
        <w:pStyle w:val="Compact"/>
        <w:numPr>
          <w:ilvl w:val="0"/>
          <w:numId w:val="1001"/>
        </w:numPr>
      </w:pPr>
      <w:r>
        <w:t xml:space="preserve">Compliance reporting and monitoring framework</w:t>
      </w:r>
    </w:p>
    <w:p>
      <w:pPr>
        <w:pStyle w:val="Compact"/>
        <w:numPr>
          <w:ilvl w:val="0"/>
          <w:numId w:val="1001"/>
        </w:numPr>
      </w:pPr>
      <w:r>
        <w:t xml:space="preserve">End-user training materials and change management guidance</w:t>
      </w:r>
    </w:p>
    <w:p>
      <w:pPr>
        <w:pStyle w:val="Compact"/>
        <w:numPr>
          <w:ilvl w:val="0"/>
          <w:numId w:val="1001"/>
        </w:numPr>
      </w:pPr>
      <w:r>
        <w:t xml:space="preserve">Integration roadmap with existing information architecture</w:t>
      </w:r>
    </w:p>
    <w:p>
      <w:r>
        <w:pict>
          <v:rect style="width:0;height:1.5pt" o:hralign="center" o:hrstd="t" o:hr="t"/>
        </w:pict>
      </w:r>
    </w:p>
    <w:bookmarkEnd w:id="31"/>
    <w:bookmarkStart w:id="32" w:name="integration-with-e2-portfolio"/>
    <w:p>
      <w:pPr>
        <w:pStyle w:val="Heading2"/>
      </w:pPr>
      <w:r>
        <w:t xml:space="preserve">Integration with E2 Portfolio</w:t>
      </w:r>
    </w:p>
    <w:p>
      <w:pPr>
        <w:pStyle w:val="FirstParagraph"/>
      </w:pPr>
      <w:r>
        <w:rPr>
          <w:b/>
          <w:bCs/>
        </w:rPr>
        <w:t xml:space="preserve">Natural Progressions:</w:t>
      </w:r>
      <w:r>
        <w:t xml:space="preserve"> </w:t>
      </w:r>
      <w:r>
        <w:t xml:space="preserve">- Sensitivity Labelling Uplift → Retention Policy Design (classification enables retention)</w:t>
      </w:r>
      <w:r>
        <w:t xml:space="preserve"> </w:t>
      </w:r>
      <w:r>
        <w:t xml:space="preserve">- Data Security Audit → Retention Policy Design (governance foundation)</w:t>
      </w:r>
      <w:r>
        <w:t xml:space="preserve"> </w:t>
      </w:r>
      <w:r>
        <w:t xml:space="preserve">- Retention Policy Design → eDiscovery Optimization (future module)</w:t>
      </w:r>
      <w:r>
        <w:t xml:space="preserve"> </w:t>
      </w:r>
      <w:r>
        <w:t xml:space="preserve">- Retention Policy Design → Compliance Automation Program (future module)</w:t>
      </w:r>
    </w:p>
    <w:p>
      <w:pPr>
        <w:pStyle w:val="BodyText"/>
      </w:pPr>
      <w:r>
        <w:rPr>
          <w:b/>
          <w:bCs/>
        </w:rPr>
        <w:t xml:space="preserve">Complementary Services:</w:t>
      </w:r>
      <w:r>
        <w:t xml:space="preserve"> </w:t>
      </w:r>
      <w:r>
        <w:t xml:space="preserve">- Security Roadmap Workshop (strategic context for retention decisions)</w:t>
      </w:r>
      <w:r>
        <w:t xml:space="preserve"> </w:t>
      </w:r>
      <w:r>
        <w:t xml:space="preserve">- Information Governance Assessment (broader governance alignment)</w:t>
      </w:r>
    </w:p>
    <w:p>
      <w:r>
        <w:pict>
          <v:rect style="width:0;height:1.5pt" o:hralign="center" o:hrstd="t" o:hr="t"/>
        </w:pict>
      </w:r>
    </w:p>
    <w:bookmarkEnd w:id="32"/>
    <w:bookmarkStart w:id="33" w:name="key-focus-areas"/>
    <w:p>
      <w:pPr>
        <w:pStyle w:val="Heading2"/>
      </w:pPr>
      <w:r>
        <w:t xml:space="preserve">Key Focus Areas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Regulatory Alignment:</w:t>
      </w:r>
      <w:r>
        <w:t xml:space="preserve"> </w:t>
      </w:r>
      <w:r>
        <w:t xml:space="preserve">PSPF, GDPR, industry-specific retention requirements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Business Process Integration:</w:t>
      </w:r>
      <w:r>
        <w:t xml:space="preserve"> </w:t>
      </w:r>
      <w:r>
        <w:t xml:space="preserve">Retention policies that support operational workflows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Automated Classification:</w:t>
      </w:r>
      <w:r>
        <w:t xml:space="preserve"> </w:t>
      </w:r>
      <w:r>
        <w:t xml:space="preserve">Leveraging sensitivity labels for retention triggers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Legal Hold Management:</w:t>
      </w:r>
      <w:r>
        <w:t xml:space="preserve"> </w:t>
      </w:r>
      <w:r>
        <w:t xml:space="preserve">Procedures for litigation and investigation scenarios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Storage Optimization:</w:t>
      </w:r>
      <w:r>
        <w:t xml:space="preserve"> </w:t>
      </w:r>
      <w:r>
        <w:t xml:space="preserve">Balancing retention needs with cost and performance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User Experience:</w:t>
      </w:r>
      <w:r>
        <w:t xml:space="preserve"> </w:t>
      </w:r>
      <w:r>
        <w:t xml:space="preserve">Making retention compliance intuitive and efficient</w:t>
      </w:r>
    </w:p>
    <w:p>
      <w:r>
        <w:pict>
          <v:rect style="width:0;height:1.5pt" o:hralign="center" o:hrstd="t" o:hr="t"/>
        </w:pict>
      </w:r>
    </w:p>
    <w:bookmarkEnd w:id="33"/>
    <w:bookmarkStart w:id="34" w:name="express-early-interest"/>
    <w:p>
      <w:pPr>
        <w:pStyle w:val="Heading2"/>
      </w:pPr>
      <w:r>
        <w:t xml:space="preserve">Express Early Interest</w:t>
      </w:r>
    </w:p>
    <w:p>
      <w:pPr>
        <w:pStyle w:val="FirstParagraph"/>
      </w:pPr>
      <w:r>
        <w:t xml:space="preserve">Contact Engage Squared to join the early engagement program and provide input on module scope and priorities.</w:t>
      </w:r>
    </w:p>
    <w:p>
      <w:pPr>
        <w:pStyle w:val="BodyText"/>
      </w:pPr>
      <w:r>
        <w:rPr>
          <w:b/>
          <w:bCs/>
        </w:rPr>
        <w:t xml:space="preserve">Contact:</w:t>
      </w:r>
      <w:r>
        <w:t xml:space="preserve"> </w:t>
      </w:r>
      <w:r>
        <w:t xml:space="preserve">E2 Compliance Practice Lead</w:t>
      </w:r>
      <w:r>
        <w:br/>
      </w:r>
      <w:r>
        <w:rPr>
          <w:b/>
          <w:bCs/>
        </w:rPr>
        <w:t xml:space="preserve">Development Updates:</w:t>
      </w:r>
      <w:r>
        <w:t xml:space="preserve"> </w:t>
      </w:r>
      <w:r>
        <w:t xml:space="preserve">Progress shared through E2 newsletter and partner channels</w:t>
      </w:r>
    </w:p>
    <w:p>
      <w:r>
        <w:pict>
          <v:rect style="width:0;height:1.5pt" o:hralign="center" o:hrstd="t" o:hr="t"/>
        </w:pict>
      </w:r>
    </w:p>
    <w:bookmarkEnd w:id="34"/>
    <w:bookmarkEnd w:id="35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2025-10-09T02:17:46Z</dcterms:created>
  <dcterms:modified xsi:type="dcterms:W3CDTF">2025-10-09T02:17:46Z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