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5" w:name="sharing-governance-framework"/>
    <w:p>
      <w:pPr>
        <w:pStyle w:val="Heading1"/>
      </w:pPr>
      <w:r>
        <w:t xml:space="preserve">Sharing Governance Framework</w:t>
      </w:r>
    </w:p>
    <w:bookmarkStart w:id="29" w:name="status-planned---q3-2025"/>
    <w:p>
      <w:pPr>
        <w:pStyle w:val="Heading2"/>
      </w:pPr>
      <w:r>
        <w:t xml:space="preserve">Status: Planned - Q3 2025</w:t>
      </w:r>
    </w:p>
    <w:p>
      <w:pPr>
        <w:pStyle w:val="FirstParagraph"/>
      </w:pPr>
      <w:r>
        <w:rPr>
          <w:b/>
          <w:bCs/>
        </w:rPr>
        <w:t xml:space="preserve">Expected Duration:</w:t>
      </w:r>
      <w:r>
        <w:t xml:space="preserve"> </w:t>
      </w:r>
      <w:r>
        <w:t xml:space="preserve">4-5 weeks</w:t>
      </w:r>
      <w:r>
        <w:br/>
      </w:r>
      <w:r>
        <w:rPr>
          <w:b/>
          <w:bCs/>
        </w:rPr>
        <w:t xml:space="preserve">Target Audience:</w:t>
      </w:r>
      <w:r>
        <w:t xml:space="preserve"> </w:t>
      </w:r>
      <w:r>
        <w:t xml:space="preserve">Organizations with heavy external collaboration needs</w:t>
      </w:r>
      <w:r>
        <w:br/>
      </w:r>
      <w:r>
        <w:rPr>
          <w:b/>
          <w:bCs/>
        </w:rPr>
        <w:t xml:space="preserve">Prerequisites:</w:t>
      </w:r>
      <w:r>
        <w:t xml:space="preserve"> </w:t>
      </w:r>
      <w:r>
        <w:t xml:space="preserve">Security Architecture Review or Data Security Audit</w:t>
      </w:r>
    </w:p>
    <w:p>
      <w:r>
        <w:pict>
          <v:rect style="width:0;height:1.5pt" o:hralign="center" o:hrstd="t" o:hr="t"/>
        </w:pict>
      </w:r>
    </w:p>
    <w:bookmarkEnd w:id="29"/>
    <w:bookmarkStart w:id="30" w:name="purpose-problem-solved"/>
    <w:p>
      <w:pPr>
        <w:pStyle w:val="Heading2"/>
      </w:pPr>
      <w:r>
        <w:t xml:space="preserve">Purpose &amp; Problem Solved</w:t>
      </w:r>
    </w:p>
    <w:p>
      <w:pPr>
        <w:pStyle w:val="FirstParagraph"/>
      </w:pPr>
      <w:r>
        <w:t xml:space="preserve">External sharing and guest access in Microsoft 365 creates significant security and compliance challenges. Organizations often struggle with balancing business collaboration needs against data protection requirements, resulting in either overly restrictive policies that hamper productivity or overly permissive settings that create security risks.</w:t>
      </w:r>
    </w:p>
    <w:p>
      <w:pPr>
        <w:pStyle w:val="BodyText"/>
      </w:pPr>
      <w:r>
        <w:t xml:space="preserve">This engagement provides a comprehensive framework for secure external collaboration that enables business outcomes while maintaining appropriate controls and governance.</w:t>
      </w:r>
    </w:p>
    <w:p>
      <w:r>
        <w:pict>
          <v:rect style="width:0;height:1.5pt" o:hralign="center" o:hrstd="t" o:hr="t"/>
        </w:pict>
      </w:r>
    </w:p>
    <w:bookmarkEnd w:id="30"/>
    <w:bookmarkStart w:id="31" w:name="expected-deliverables"/>
    <w:p>
      <w:pPr>
        <w:pStyle w:val="Heading2"/>
      </w:pPr>
      <w:r>
        <w:t xml:space="preserve">Expected Deliverables</w:t>
      </w:r>
    </w:p>
    <w:p>
      <w:pPr>
        <w:pStyle w:val="Compact"/>
        <w:numPr>
          <w:ilvl w:val="0"/>
          <w:numId w:val="1001"/>
        </w:numPr>
      </w:pPr>
      <w:r>
        <w:t xml:space="preserve">External sharing governance policy framework aligned to business requirements</w:t>
      </w:r>
    </w:p>
    <w:p>
      <w:pPr>
        <w:pStyle w:val="Compact"/>
        <w:numPr>
          <w:ilvl w:val="0"/>
          <w:numId w:val="1001"/>
        </w:numPr>
      </w:pPr>
      <w:r>
        <w:t xml:space="preserve">Guest access lifecycle management procedures (invitation, review, removal)</w:t>
      </w:r>
    </w:p>
    <w:p>
      <w:pPr>
        <w:pStyle w:val="Compact"/>
        <w:numPr>
          <w:ilvl w:val="0"/>
          <w:numId w:val="1001"/>
        </w:numPr>
      </w:pPr>
      <w:r>
        <w:t xml:space="preserve">Conditional access policies for external users and shared content</w:t>
      </w:r>
    </w:p>
    <w:p>
      <w:pPr>
        <w:pStyle w:val="Compact"/>
        <w:numPr>
          <w:ilvl w:val="0"/>
          <w:numId w:val="1001"/>
        </w:numPr>
      </w:pPr>
      <w:r>
        <w:t xml:space="preserve">Monitoring and reporting framework for external collaboration activities</w:t>
      </w:r>
    </w:p>
    <w:p>
      <w:pPr>
        <w:pStyle w:val="Compact"/>
        <w:numPr>
          <w:ilvl w:val="0"/>
          <w:numId w:val="1001"/>
        </w:numPr>
      </w:pPr>
      <w:r>
        <w:t xml:space="preserve">Business-aligned sharing controls and approval workflows</w:t>
      </w:r>
    </w:p>
    <w:p>
      <w:pPr>
        <w:pStyle w:val="Compact"/>
        <w:numPr>
          <w:ilvl w:val="0"/>
          <w:numId w:val="1001"/>
        </w:numPr>
      </w:pPr>
      <w:r>
        <w:t xml:space="preserve">User training materials for secure external collaboration</w:t>
      </w:r>
    </w:p>
    <w:p>
      <w:pPr>
        <w:pStyle w:val="Compact"/>
        <w:numPr>
          <w:ilvl w:val="0"/>
          <w:numId w:val="1001"/>
        </w:numPr>
      </w:pPr>
      <w:r>
        <w:t xml:space="preserve">Integration with existing identity and compliance systems</w:t>
      </w:r>
    </w:p>
    <w:p>
      <w:r>
        <w:pict>
          <v:rect style="width:0;height:1.5pt" o:hralign="center" o:hrstd="t" o:hr="t"/>
        </w:pict>
      </w:r>
    </w:p>
    <w:bookmarkEnd w:id="31"/>
    <w:bookmarkStart w:id="32" w:name="integration-with-e2-portfolio"/>
    <w:p>
      <w:pPr>
        <w:pStyle w:val="Heading2"/>
      </w:pPr>
      <w:r>
        <w:t xml:space="preserve">Integration with E2 Portfolio</w:t>
      </w:r>
    </w:p>
    <w:p>
      <w:pPr>
        <w:pStyle w:val="FirstParagraph"/>
      </w:pPr>
      <w:r>
        <w:rPr>
          <w:b/>
          <w:bCs/>
        </w:rPr>
        <w:t xml:space="preserve">Natural Progressions:</w:t>
      </w:r>
      <w:r>
        <w:t xml:space="preserve"> </w:t>
      </w:r>
      <w:r>
        <w:t xml:space="preserve">- Data Security Audit → Sharing Governance Framework (addresses identified oversharing risks)</w:t>
      </w:r>
      <w:r>
        <w:t xml:space="preserve"> </w:t>
      </w:r>
      <w:r>
        <w:t xml:space="preserve">- Security Architecture Review → Sharing Governance Framework (implements architectural recommendations)</w:t>
      </w:r>
      <w:r>
        <w:t xml:space="preserve"> </w:t>
      </w:r>
      <w:r>
        <w:t xml:space="preserve">- Sharing Governance Framework → Advanced Threat Protection (future module)</w:t>
      </w:r>
      <w:r>
        <w:t xml:space="preserve"> </w:t>
      </w:r>
      <w:r>
        <w:t xml:space="preserve">- Sharing Governance Framework → Information Barriers Implementation (future module)</w:t>
      </w:r>
    </w:p>
    <w:p>
      <w:pPr>
        <w:pStyle w:val="BodyText"/>
      </w:pPr>
      <w:r>
        <w:rPr>
          <w:b/>
          <w:bCs/>
        </w:rPr>
        <w:t xml:space="preserve">Complementary Services:</w:t>
      </w:r>
      <w:r>
        <w:t xml:space="preserve"> </w:t>
      </w:r>
      <w:r>
        <w:t xml:space="preserve">- Sensitivity Labelling Uplift (classification drives sharing controls)</w:t>
      </w:r>
      <w:r>
        <w:t xml:space="preserve"> </w:t>
      </w:r>
      <w:r>
        <w:t xml:space="preserve">- Basic DLP Advisory (prevents inappropriate external sharing)</w:t>
      </w:r>
      <w:r>
        <w:t xml:space="preserve"> </w:t>
      </w:r>
      <w:r>
        <w:t xml:space="preserve">- Privileged Access Strategy (secure admin access for governance)</w:t>
      </w:r>
    </w:p>
    <w:p>
      <w:r>
        <w:pict>
          <v:rect style="width:0;height:1.5pt" o:hralign="center" o:hrstd="t" o:hr="t"/>
        </w:pict>
      </w:r>
    </w:p>
    <w:bookmarkEnd w:id="32"/>
    <w:bookmarkStart w:id="33" w:name="key-focus-areas"/>
    <w:p>
      <w:pPr>
        <w:pStyle w:val="Heading2"/>
      </w:pPr>
      <w:r>
        <w:t xml:space="preserve">Key Focus Areas</w:t>
      </w:r>
    </w:p>
    <w:p>
      <w:pPr>
        <w:pStyle w:val="Compact"/>
        <w:numPr>
          <w:ilvl w:val="0"/>
          <w:numId w:val="1002"/>
        </w:numPr>
      </w:pPr>
      <w:r>
        <w:rPr>
          <w:b/>
          <w:bCs/>
        </w:rPr>
        <w:t xml:space="preserve">Guest Access Management:</w:t>
      </w:r>
      <w:r>
        <w:t xml:space="preserve"> </w:t>
      </w:r>
      <w:r>
        <w:t xml:space="preserve">Lifecycle controls for external user accounts</w:t>
      </w:r>
    </w:p>
    <w:p>
      <w:pPr>
        <w:pStyle w:val="Compact"/>
        <w:numPr>
          <w:ilvl w:val="0"/>
          <w:numId w:val="1002"/>
        </w:numPr>
      </w:pPr>
      <w:r>
        <w:rPr>
          <w:b/>
          <w:bCs/>
        </w:rPr>
        <w:t xml:space="preserve">Conditional Access:</w:t>
      </w:r>
      <w:r>
        <w:t xml:space="preserve"> </w:t>
      </w:r>
      <w:r>
        <w:t xml:space="preserve">Context-aware security for external collaboration</w:t>
      </w:r>
    </w:p>
    <w:p>
      <w:pPr>
        <w:pStyle w:val="Compact"/>
        <w:numPr>
          <w:ilvl w:val="0"/>
          <w:numId w:val="1002"/>
        </w:numPr>
      </w:pPr>
      <w:r>
        <w:rPr>
          <w:b/>
          <w:bCs/>
        </w:rPr>
        <w:t xml:space="preserve">Content Controls:</w:t>
      </w:r>
      <w:r>
        <w:t xml:space="preserve"> </w:t>
      </w:r>
      <w:r>
        <w:t xml:space="preserve">Sharing restrictions based on sensitivity and context</w:t>
      </w:r>
    </w:p>
    <w:p>
      <w:pPr>
        <w:pStyle w:val="Compact"/>
        <w:numPr>
          <w:ilvl w:val="0"/>
          <w:numId w:val="1002"/>
        </w:numPr>
      </w:pPr>
      <w:r>
        <w:rPr>
          <w:b/>
          <w:bCs/>
        </w:rPr>
        <w:t xml:space="preserve">Business Enablement:</w:t>
      </w:r>
      <w:r>
        <w:t xml:space="preserve"> </w:t>
      </w:r>
      <w:r>
        <w:t xml:space="preserve">Policies that support rather than hinder collaboration</w:t>
      </w:r>
    </w:p>
    <w:p>
      <w:pPr>
        <w:pStyle w:val="Compact"/>
        <w:numPr>
          <w:ilvl w:val="0"/>
          <w:numId w:val="1002"/>
        </w:numPr>
      </w:pPr>
      <w:r>
        <w:rPr>
          <w:b/>
          <w:bCs/>
        </w:rPr>
        <w:t xml:space="preserve">Monitoring and Compliance:</w:t>
      </w:r>
      <w:r>
        <w:t xml:space="preserve"> </w:t>
      </w:r>
      <w:r>
        <w:t xml:space="preserve">Visibility into external sharing activities</w:t>
      </w:r>
    </w:p>
    <w:p>
      <w:pPr>
        <w:pStyle w:val="Compact"/>
        <w:numPr>
          <w:ilvl w:val="0"/>
          <w:numId w:val="1002"/>
        </w:numPr>
      </w:pPr>
      <w:r>
        <w:rPr>
          <w:b/>
          <w:bCs/>
        </w:rPr>
        <w:t xml:space="preserve">User Experience:</w:t>
      </w:r>
      <w:r>
        <w:t xml:space="preserve"> </w:t>
      </w:r>
      <w:r>
        <w:t xml:space="preserve">Making secure sharing intuitive and efficient</w:t>
      </w:r>
    </w:p>
    <w:p>
      <w:r>
        <w:pict>
          <v:rect style="width:0;height:1.5pt" o:hralign="center" o:hrstd="t" o:hr="t"/>
        </w:pict>
      </w:r>
    </w:p>
    <w:bookmarkEnd w:id="33"/>
    <w:bookmarkStart w:id="34" w:name="express-early-interest"/>
    <w:p>
      <w:pPr>
        <w:pStyle w:val="Heading2"/>
      </w:pPr>
      <w:r>
        <w:t xml:space="preserve">Express Early Interest</w:t>
      </w:r>
    </w:p>
    <w:p>
      <w:pPr>
        <w:pStyle w:val="FirstParagraph"/>
      </w:pPr>
      <w:r>
        <w:t xml:space="preserve">Contact Engage Squared to participate in early requirements gathering and help shape the final module scope.</w:t>
      </w:r>
    </w:p>
    <w:p>
      <w:pPr>
        <w:pStyle w:val="BodyText"/>
      </w:pPr>
      <w:r>
        <w:rPr>
          <w:b/>
          <w:bCs/>
        </w:rPr>
        <w:t xml:space="preserve">Contact:</w:t>
      </w:r>
      <w:r>
        <w:t xml:space="preserve"> </w:t>
      </w:r>
      <w:r>
        <w:t xml:space="preserve">E2 Security Architecture Practice</w:t>
      </w:r>
      <w:r>
        <w:br/>
      </w:r>
      <w:r>
        <w:rPr>
          <w:b/>
          <w:bCs/>
        </w:rPr>
        <w:t xml:space="preserve">Input Opportunities:</w:t>
      </w:r>
      <w:r>
        <w:t xml:space="preserve"> </w:t>
      </w:r>
      <w:r>
        <w:t xml:space="preserve">Customer advisory sessions planned for Q2 2025</w:t>
      </w:r>
    </w:p>
    <w:p>
      <w:r>
        <w:pict>
          <v:rect style="width:0;height:1.5pt" o:hralign="center" o:hrstd="t" o:hr="t"/>
        </w:pict>
      </w:r>
    </w:p>
    <w:bookmarkEnd w:id="34"/>
    <w:bookmarkEnd w:id="35"/>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2025-10-09T02:17:47Z</dcterms:created>
  <dcterms:modified xsi:type="dcterms:W3CDTF">2025-10-09T02:17:47Z</dcterms:modified>
</cp:coreProperties>
</file>

<file path=docProps/custom.xml><?xml version="1.0" encoding="utf-8"?>
<Properties xmlns="http://schemas.openxmlformats.org/officeDocument/2006/custom-properties" xmlns:vt="http://schemas.openxmlformats.org/officeDocument/2006/docPropsVTypes"/>
</file>