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b/>
          <w:color w:val="1F4E79"/>
          <w:sz w:val="52"/>
        </w:rPr>
        <w:t>Master's Exam Study Guide</w:t>
      </w:r>
    </w:p>
    <w:p>
      <w:pPr>
        <w:jc w:val="center"/>
      </w:pPr>
      <w:r>
        <w:rPr>
          <w:color w:val="5A5A5A"/>
          <w:sz w:val="26"/>
        </w:rPr>
        <w:t>E-Governance Technologies &amp; Services Master's Programme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</w:tblPr>
      <w:tblGrid>
        <w:gridCol w:w="10512"/>
      </w:tblGrid>
      <w:tr>
        <w:tc>
          <w:tcPr>
            <w:tcW w:type="dxa" w:w="10512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F4E79"/>
                <w:sz w:val="19"/>
              </w:rPr>
              <w:t>Purpose of this guide</w:t>
            </w:r>
            <w:r>
              <w:rPr>
                <w:sz w:val="18"/>
              </w:rPr>
              <w:br/>
              <w:t>This study guide identifies the main topics, frameworks and regulations that may appear in the Master's exam. It is not exhaustive. Use it as a structured map for revising lecture slides, readings, case discussions and your own notes.</w:t>
            </w:r>
          </w:p>
        </w:tc>
      </w:tr>
    </w:tbl>
    <w:p/>
    <w:p>
      <w:r>
        <w:rPr>
          <w:b/>
          <w:color w:val="1F4E79"/>
        </w:rPr>
        <w:t>How to study with this guide</w:t>
      </w:r>
    </w:p>
    <w:p>
      <w:pPr>
        <w:pStyle w:val="ListBullet"/>
        <w:spacing w:after="40"/>
      </w:pPr>
      <w:r>
        <w:t>Focus first on understanding concepts, not memorising long lists.</w:t>
      </w:r>
    </w:p>
    <w:p>
      <w:pPr>
        <w:pStyle w:val="ListBullet"/>
        <w:spacing w:after="40"/>
      </w:pPr>
      <w:r>
        <w:t>For each topic, practise explaining why it matters for public sector digital transformation.</w:t>
      </w:r>
    </w:p>
    <w:p>
      <w:pPr>
        <w:pStyle w:val="ListBullet"/>
        <w:spacing w:after="40"/>
      </w:pPr>
      <w:r>
        <w:t>Prepare to apply frameworks to short case scenarios, especially where governance, legal, organisational and technical issues interact.</w:t>
      </w:r>
    </w:p>
    <w:p>
      <w:pPr>
        <w:pStyle w:val="ListBullet"/>
        <w:spacing w:after="40"/>
      </w:pPr>
      <w:r>
        <w:t>Use the right level of detail: define the concept, identify the main risks or trade-offs, and propose a realistic action.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7E3"/>
          <w:left w:val="single" w:sz="6" w:space="0" w:color="C9D7E3"/>
          <w:bottom w:val="single" w:sz="6" w:space="0" w:color="C9D7E3"/>
          <w:right w:val="single" w:sz="6" w:space="0" w:color="C9D7E3"/>
          <w:insideH w:val="single" w:sz="6" w:space="0" w:color="C9D7E3"/>
          <w:insideV w:val="single" w:sz="6" w:space="0" w:color="C9D7E3"/>
        </w:tblBorders>
      </w:tblPr>
      <w:tblGrid>
        <w:gridCol w:w="5256"/>
        <w:gridCol w:w="5256"/>
      </w:tblGrid>
      <w:tr>
        <w:trPr>
          <w:cantSplit/>
        </w:trPr>
        <w:tc>
          <w:tcPr>
            <w:tcW w:type="dxa" w:w="2016"/>
            <w:vAlign w:val="center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Exam skill</w:t>
            </w:r>
          </w:p>
        </w:tc>
        <w:tc>
          <w:tcPr>
            <w:tcW w:type="dxa" w:w="8208"/>
            <w:vAlign w:val="center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What it means in practice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sz w:val="17"/>
              </w:rPr>
              <w:t>Define</w:t>
            </w:r>
          </w:p>
        </w:tc>
        <w:tc>
          <w:tcPr>
            <w:tcW w:type="dxa" w:w="8208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Give a clear meaning of a concept such as interoperability, shared services, portfolio management, or KPI.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sz w:val="17"/>
              </w:rPr>
              <w:t>Apply</w:t>
            </w:r>
          </w:p>
        </w:tc>
        <w:tc>
          <w:tcPr>
            <w:tcW w:type="dxa" w:w="8208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Use a framework such as EIF, service lifecycle, risk management or capability sourcing to analyse a case.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sz w:val="17"/>
              </w:rPr>
              <w:t>Evaluate</w:t>
            </w:r>
          </w:p>
        </w:tc>
        <w:tc>
          <w:tcPr>
            <w:tcW w:type="dxa" w:w="8208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Recognise trade-offs: efficiency vs. autonomy, innovation vs. accountability, centralisation vs. flexibility.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sz w:val="17"/>
              </w:rPr>
              <w:t>Recommend</w:t>
            </w:r>
          </w:p>
        </w:tc>
        <w:tc>
          <w:tcPr>
            <w:tcW w:type="dxa" w:w="8208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Propose a practical next step that is legally sound, organisationally feasible and user-centred.</w:t>
            </w:r>
          </w:p>
        </w:tc>
      </w:tr>
    </w:tbl>
    <w:p>
      <w:r>
        <w:br w:type="page"/>
      </w:r>
    </w:p>
    <w:p>
      <w:pPr>
        <w:pStyle w:val="Heading1"/>
      </w:pPr>
      <w:r>
        <w:t>1. Shared Service Centres &amp; Digital Transformation</w:t>
      </w:r>
    </w:p>
    <w:p>
      <w:pPr>
        <w:pStyle w:val="Subtitle"/>
      </w:pPr>
      <w:r>
        <w:t>Shared Service Centres (SSCs) are not only cost-saving tools; they are governance mechanisms for standardising common capabilities across the public sector.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7E3"/>
          <w:left w:val="single" w:sz="6" w:space="0" w:color="C9D7E3"/>
          <w:bottom w:val="single" w:sz="6" w:space="0" w:color="C9D7E3"/>
          <w:right w:val="single" w:sz="6" w:space="0" w:color="C9D7E3"/>
          <w:insideH w:val="single" w:sz="6" w:space="0" w:color="C9D7E3"/>
          <w:insideV w:val="single" w:sz="6" w:space="0" w:color="C9D7E3"/>
        </w:tblBorders>
      </w:tblPr>
      <w:tblGrid>
        <w:gridCol w:w="3504"/>
        <w:gridCol w:w="3504"/>
        <w:gridCol w:w="3504"/>
      </w:tblGrid>
      <w:tr>
        <w:trPr>
          <w:cantSplit/>
        </w:trPr>
        <w:tc>
          <w:tcPr>
            <w:tcW w:type="dxa" w:w="3504"/>
            <w:vAlign w:val="center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Sub-topic</w:t>
            </w:r>
          </w:p>
        </w:tc>
        <w:tc>
          <w:tcPr>
            <w:tcW w:type="dxa" w:w="3504"/>
            <w:vAlign w:val="center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Key points / frameworks</w:t>
            </w:r>
          </w:p>
        </w:tc>
        <w:tc>
          <w:tcPr>
            <w:tcW w:type="dxa" w:w="3504"/>
            <w:vAlign w:val="center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How to apply in an exam answer</w:t>
            </w:r>
          </w:p>
        </w:tc>
      </w:tr>
      <w:tr>
        <w:trPr>
          <w:cantSplit/>
        </w:trPr>
        <w:tc>
          <w:tcPr>
            <w:tcW w:type="dxa" w:w="3504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sz w:val="17"/>
              </w:rPr>
              <w:t>Definition and purpose</w:t>
            </w:r>
          </w:p>
        </w:tc>
        <w:tc>
          <w:tcPr>
            <w:tcW w:type="dxa" w:w="3504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Centralised provision of common support services such as ICT infrastructure, workplace services, finance, HR, procurement, or cybersecurity.</w:t>
            </w:r>
          </w:p>
        </w:tc>
        <w:tc>
          <w:tcPr>
            <w:tcW w:type="dxa" w:w="3504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Explain which services are suitable for centralisation and which should remain close to the policy domain.</w:t>
            </w:r>
          </w:p>
        </w:tc>
      </w:tr>
      <w:tr>
        <w:trPr>
          <w:cantSplit/>
        </w:trPr>
        <w:tc>
          <w:tcPr>
            <w:tcW w:type="dxa" w:w="3504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sz w:val="17"/>
              </w:rPr>
              <w:t>Political and strategic drivers</w:t>
            </w:r>
          </w:p>
        </w:tc>
        <w:tc>
          <w:tcPr>
            <w:tcW w:type="dxa" w:w="3504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Cost efficiency, workforce optimisation, standardisation, quality improvement, resilience and alignment with national digital strategy.</w:t>
            </w:r>
          </w:p>
        </w:tc>
        <w:tc>
          <w:tcPr>
            <w:tcW w:type="dxa" w:w="3504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Link the SSC to broader digital transformation objectives, not only to budget cuts.</w:t>
            </w:r>
          </w:p>
        </w:tc>
      </w:tr>
      <w:tr>
        <w:trPr>
          <w:cantSplit/>
        </w:trPr>
        <w:tc>
          <w:tcPr>
            <w:tcW w:type="dxa" w:w="3504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sz w:val="17"/>
              </w:rPr>
              <w:t>Core SSC principles</w:t>
            </w:r>
          </w:p>
        </w:tc>
        <w:tc>
          <w:tcPr>
            <w:tcW w:type="dxa" w:w="3504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Common service catalogue; standard processes; SLAs and KPIs; client-oriented service culture; transparent costs.</w:t>
            </w:r>
          </w:p>
        </w:tc>
        <w:tc>
          <w:tcPr>
            <w:tcW w:type="dxa" w:w="3504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Show how service expectations are defined and monitored.</w:t>
            </w:r>
          </w:p>
        </w:tc>
      </w:tr>
      <w:tr>
        <w:trPr>
          <w:cantSplit/>
        </w:trPr>
        <w:tc>
          <w:tcPr>
            <w:tcW w:type="dxa" w:w="3504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sz w:val="17"/>
              </w:rPr>
              <w:t>Governance alignment</w:t>
            </w:r>
          </w:p>
        </w:tc>
        <w:tc>
          <w:tcPr>
            <w:tcW w:type="dxa" w:w="3504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Steering committee, service owner, escalation routes, change-control process and portfolio-level prioritisation.</w:t>
            </w:r>
          </w:p>
        </w:tc>
        <w:tc>
          <w:tcPr>
            <w:tcW w:type="dxa" w:w="3504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Identify who decides, who funds, who owns the service, and who measures performance.</w:t>
            </w:r>
          </w:p>
        </w:tc>
      </w:tr>
      <w:tr>
        <w:trPr>
          <w:cantSplit/>
        </w:trPr>
        <w:tc>
          <w:tcPr>
            <w:tcW w:type="dxa" w:w="3504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sz w:val="17"/>
              </w:rPr>
              <w:t>Main risks</w:t>
            </w:r>
          </w:p>
        </w:tc>
        <w:tc>
          <w:tcPr>
            <w:tcW w:type="dxa" w:w="3504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Loss of agency autonomy, one-size-fits-all services, weak demand management, unclear accountability, vendor dependency.</w:t>
            </w:r>
          </w:p>
        </w:tc>
        <w:tc>
          <w:tcPr>
            <w:tcW w:type="dxa" w:w="3504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Balance efficiency with flexibility and domain-specific needs.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</w:tblPr>
      <w:tblGrid>
        <w:gridCol w:w="10512"/>
      </w:tblGrid>
      <w:tr>
        <w:tc>
          <w:tcPr>
            <w:tcW w:type="dxa" w:w="10512"/>
            <w:shd w:fill="DDEFE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F4E79"/>
                <w:sz w:val="19"/>
              </w:rPr>
              <w:t>Remember</w:t>
            </w:r>
            <w:r>
              <w:rPr>
                <w:sz w:val="18"/>
              </w:rPr>
              <w:br/>
              <w:t>Digital transformation means redesigning services, processes, data flows, roles and capabilities. It is not simply adding a digital channel to an existing administrative procedure.</w:t>
            </w:r>
          </w:p>
        </w:tc>
      </w:tr>
    </w:tbl>
    <w:p/>
    <w:p>
      <w:pPr>
        <w:pStyle w:val="Heading1"/>
      </w:pPr>
      <w:r>
        <w:t>2. Public Service and e-Service Portfolio Management</w:t>
      </w:r>
    </w:p>
    <w:p>
      <w:pPr>
        <w:pStyle w:val="Subtitle"/>
      </w:pPr>
      <w:r>
        <w:t>Portfolio management helps public organisations decide what to develop, maintain, improve, merge or retire.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7E3"/>
          <w:left w:val="single" w:sz="6" w:space="0" w:color="C9D7E3"/>
          <w:bottom w:val="single" w:sz="6" w:space="0" w:color="C9D7E3"/>
          <w:right w:val="single" w:sz="6" w:space="0" w:color="C9D7E3"/>
          <w:insideH w:val="single" w:sz="6" w:space="0" w:color="C9D7E3"/>
          <w:insideV w:val="single" w:sz="6" w:space="0" w:color="C9D7E3"/>
        </w:tblBorders>
      </w:tblPr>
      <w:tblGrid>
        <w:gridCol w:w="3504"/>
        <w:gridCol w:w="3504"/>
        <w:gridCol w:w="3504"/>
      </w:tblGrid>
      <w:tr>
        <w:trPr>
          <w:cantSplit/>
        </w:trPr>
        <w:tc>
          <w:tcPr>
            <w:tcW w:type="dxa" w:w="3504"/>
            <w:vAlign w:val="center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Portfolio layer</w:t>
            </w:r>
          </w:p>
        </w:tc>
        <w:tc>
          <w:tcPr>
            <w:tcW w:type="dxa" w:w="3504"/>
            <w:vAlign w:val="center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Key activities / tools</w:t>
            </w:r>
          </w:p>
        </w:tc>
        <w:tc>
          <w:tcPr>
            <w:tcW w:type="dxa" w:w="3504"/>
            <w:vAlign w:val="center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Useful exam angle</w:t>
            </w:r>
          </w:p>
        </w:tc>
      </w:tr>
      <w:tr>
        <w:trPr>
          <w:cantSplit/>
        </w:trPr>
        <w:tc>
          <w:tcPr>
            <w:tcW w:type="dxa" w:w="3504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sz w:val="17"/>
              </w:rPr>
              <w:t>Public service portfolio</w:t>
            </w:r>
          </w:p>
        </w:tc>
        <w:tc>
          <w:tcPr>
            <w:tcW w:type="dxa" w:w="3504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Map statutory and discretionary services; identify legal mandate, target groups, outputs and outcomes.</w:t>
            </w:r>
          </w:p>
        </w:tc>
        <w:tc>
          <w:tcPr>
            <w:tcW w:type="dxa" w:w="3504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Prioritise by public value, legal obligation, risk, demand and life-event relevance.</w:t>
            </w:r>
          </w:p>
        </w:tc>
      </w:tr>
      <w:tr>
        <w:trPr>
          <w:cantSplit/>
        </w:trPr>
        <w:tc>
          <w:tcPr>
            <w:tcW w:type="dxa" w:w="3504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sz w:val="17"/>
              </w:rPr>
              <w:t>e-Service portfolio</w:t>
            </w:r>
          </w:p>
        </w:tc>
        <w:tc>
          <w:tcPr>
            <w:tcW w:type="dxa" w:w="3504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Manage digital services across the lifecycle: concept, planning, development, operation, evaluation and retirement.</w:t>
            </w:r>
          </w:p>
        </w:tc>
        <w:tc>
          <w:tcPr>
            <w:tcW w:type="dxa" w:w="3504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Assess whether the digital service supports the whole service, not just the front-office interface.</w:t>
            </w:r>
          </w:p>
        </w:tc>
      </w:tr>
      <w:tr>
        <w:trPr>
          <w:cantSplit/>
        </w:trPr>
        <w:tc>
          <w:tcPr>
            <w:tcW w:type="dxa" w:w="3504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sz w:val="17"/>
              </w:rPr>
              <w:t>Development needs portfolio</w:t>
            </w:r>
          </w:p>
        </w:tc>
        <w:tc>
          <w:tcPr>
            <w:tcW w:type="dxa" w:w="3504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Collect, compare and prioritise change requests across agencies and services.</w:t>
            </w:r>
          </w:p>
        </w:tc>
        <w:tc>
          <w:tcPr>
            <w:tcW w:type="dxa" w:w="3504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Avoid duplicated developments and align limited resources with strategic objectives.</w:t>
            </w:r>
          </w:p>
        </w:tc>
      </w:tr>
      <w:tr>
        <w:trPr>
          <w:cantSplit/>
        </w:trPr>
        <w:tc>
          <w:tcPr>
            <w:tcW w:type="dxa" w:w="3504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sz w:val="17"/>
              </w:rPr>
              <w:t>Business architecture link</w:t>
            </w:r>
          </w:p>
        </w:tc>
        <w:tc>
          <w:tcPr>
            <w:tcW w:type="dxa" w:w="3504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Connect services, processes, data, applications, roles and capabilities.</w:t>
            </w:r>
          </w:p>
        </w:tc>
        <w:tc>
          <w:tcPr>
            <w:tcW w:type="dxa" w:w="3504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Use architecture to show dependencies and hidden impacts of change.</w:t>
            </w:r>
          </w:p>
        </w:tc>
      </w:tr>
      <w:tr>
        <w:trPr>
          <w:cantSplit/>
        </w:trPr>
        <w:tc>
          <w:tcPr>
            <w:tcW w:type="dxa" w:w="3504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sz w:val="17"/>
              </w:rPr>
              <w:t>Budget link</w:t>
            </w:r>
          </w:p>
        </w:tc>
        <w:tc>
          <w:tcPr>
            <w:tcW w:type="dxa" w:w="3504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Connect development and maintenance costs to expected benefits and performance indicators.</w:t>
            </w:r>
          </w:p>
        </w:tc>
        <w:tc>
          <w:tcPr>
            <w:tcW w:type="dxa" w:w="3504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Mention total cost of ownership, not only procurement or project cost.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7E3"/>
          <w:left w:val="single" w:sz="6" w:space="0" w:color="C9D7E3"/>
          <w:bottom w:val="single" w:sz="6" w:space="0" w:color="C9D7E3"/>
          <w:right w:val="single" w:sz="6" w:space="0" w:color="C9D7E3"/>
          <w:insideH w:val="single" w:sz="6" w:space="0" w:color="C9D7E3"/>
          <w:insideV w:val="single" w:sz="6" w:space="0" w:color="C9D7E3"/>
        </w:tblBorders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4F81B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Lifecycle phase</w:t>
            </w:r>
          </w:p>
        </w:tc>
        <w:tc>
          <w:tcPr>
            <w:tcW w:type="dxa" w:w="5256"/>
            <w:vAlign w:val="center"/>
            <w:shd w:fill="4F81B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What students should remember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sz w:val="17"/>
              </w:rPr>
              <w:t>Initiating &amp; planning</w:t>
            </w:r>
          </w:p>
        </w:tc>
        <w:tc>
          <w:tcPr>
            <w:tcW w:type="dxa" w:w="5256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Stakeholder analysis, as-is/to-be situation, legal basis, business architecture, KPIs and risk plan.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sz w:val="17"/>
              </w:rPr>
              <w:t>Budgeting &amp; financing</w:t>
            </w:r>
          </w:p>
        </w:tc>
        <w:tc>
          <w:tcPr>
            <w:tcW w:type="dxa" w:w="5256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Cost-benefit logic, activity-based costing, total cost of ownership and funding constraints.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sz w:val="17"/>
              </w:rPr>
              <w:t>Implementing</w:t>
            </w:r>
          </w:p>
        </w:tc>
        <w:tc>
          <w:tcPr>
            <w:tcW w:type="dxa" w:w="5256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Change management, project execution, agile delivery, policy enforcement and benefit tracking.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sz w:val="17"/>
              </w:rPr>
              <w:t>Operations &amp; maintenance</w:t>
            </w:r>
          </w:p>
        </w:tc>
        <w:tc>
          <w:tcPr>
            <w:tcW w:type="dxa" w:w="5256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Service handover, maintenance plan, support model, vendor management and long-term costs.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sz w:val="17"/>
              </w:rPr>
              <w:t>Controlling &amp; evaluation</w:t>
            </w:r>
          </w:p>
        </w:tc>
        <w:tc>
          <w:tcPr>
            <w:tcW w:type="dxa" w:w="5256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Continuous monitoring, performance audit, user feedback and input to the next planning cycle.</w:t>
            </w:r>
          </w:p>
        </w:tc>
      </w:tr>
    </w:tbl>
    <w:p>
      <w:pPr>
        <w:pStyle w:val="Heading1"/>
      </w:pPr>
      <w:r>
        <w:t>3. KPI Formulation &amp; Measurement</w:t>
      </w:r>
    </w:p>
    <w:p>
      <w:pPr>
        <w:pStyle w:val="Subtitle"/>
      </w:pPr>
      <w:r>
        <w:t>Good KPIs connect service performance to public value, user experience, operational reliability and legal or strategic mandates.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7E3"/>
          <w:left w:val="single" w:sz="6" w:space="0" w:color="C9D7E3"/>
          <w:bottom w:val="single" w:sz="6" w:space="0" w:color="C9D7E3"/>
          <w:right w:val="single" w:sz="6" w:space="0" w:color="C9D7E3"/>
          <w:insideH w:val="single" w:sz="6" w:space="0" w:color="C9D7E3"/>
          <w:insideV w:val="single" w:sz="6" w:space="0" w:color="C9D7E3"/>
        </w:tblBorders>
      </w:tblPr>
      <w:tblGrid>
        <w:gridCol w:w="3504"/>
        <w:gridCol w:w="3504"/>
        <w:gridCol w:w="3504"/>
      </w:tblGrid>
      <w:tr>
        <w:trPr>
          <w:cantSplit/>
        </w:trPr>
        <w:tc>
          <w:tcPr>
            <w:tcW w:type="dxa" w:w="3504"/>
            <w:vAlign w:val="center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Dimension</w:t>
            </w:r>
          </w:p>
        </w:tc>
        <w:tc>
          <w:tcPr>
            <w:tcW w:type="dxa" w:w="3504"/>
            <w:vAlign w:val="center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Example indicators</w:t>
            </w:r>
          </w:p>
        </w:tc>
        <w:tc>
          <w:tcPr>
            <w:tcW w:type="dxa" w:w="3504"/>
            <w:vAlign w:val="center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Interpretation tip</w:t>
            </w:r>
          </w:p>
        </w:tc>
      </w:tr>
      <w:tr>
        <w:trPr>
          <w:cantSplit/>
        </w:trPr>
        <w:tc>
          <w:tcPr>
            <w:tcW w:type="dxa" w:w="3504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sz w:val="17"/>
              </w:rPr>
              <w:t>Business / value</w:t>
            </w:r>
          </w:p>
        </w:tc>
        <w:tc>
          <w:tcPr>
            <w:tcW w:type="dxa" w:w="3504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User satisfaction index; lead time; take-up rate; cost-to-serve; number of unnecessary contacts avoided.</w:t>
            </w:r>
          </w:p>
        </w:tc>
        <w:tc>
          <w:tcPr>
            <w:tcW w:type="dxa" w:w="3504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Show whether the service creates value for users and the public authority.</w:t>
            </w:r>
          </w:p>
        </w:tc>
      </w:tr>
      <w:tr>
        <w:trPr>
          <w:cantSplit/>
        </w:trPr>
        <w:tc>
          <w:tcPr>
            <w:tcW w:type="dxa" w:w="3504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sz w:val="17"/>
              </w:rPr>
              <w:t>Outcome</w:t>
            </w:r>
          </w:p>
        </w:tc>
        <w:tc>
          <w:tcPr>
            <w:tcW w:type="dxa" w:w="3504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Reduction in administrative burden; faster access to benefits; fewer errors; improved compliance.</w:t>
            </w:r>
          </w:p>
        </w:tc>
        <w:tc>
          <w:tcPr>
            <w:tcW w:type="dxa" w:w="3504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Outcome indicators should capture change in society, users or institutional performance.</w:t>
            </w:r>
          </w:p>
        </w:tc>
      </w:tr>
      <w:tr>
        <w:trPr>
          <w:cantSplit/>
        </w:trPr>
        <w:tc>
          <w:tcPr>
            <w:tcW w:type="dxa" w:w="3504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sz w:val="17"/>
              </w:rPr>
              <w:t>Output</w:t>
            </w:r>
          </w:p>
        </w:tc>
        <w:tc>
          <w:tcPr>
            <w:tcW w:type="dxa" w:w="3504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Number of processed applications; number of digital transactions; completed integrations.</w:t>
            </w:r>
          </w:p>
        </w:tc>
        <w:tc>
          <w:tcPr>
            <w:tcW w:type="dxa" w:w="3504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Output indicators show delivery, but not necessarily impact.</w:t>
            </w:r>
          </w:p>
        </w:tc>
      </w:tr>
      <w:tr>
        <w:trPr>
          <w:cantSplit/>
        </w:trPr>
        <w:tc>
          <w:tcPr>
            <w:tcW w:type="dxa" w:w="3504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sz w:val="17"/>
              </w:rPr>
              <w:t>IT operational</w:t>
            </w:r>
          </w:p>
        </w:tc>
        <w:tc>
          <w:tcPr>
            <w:tcW w:type="dxa" w:w="3504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System availability; mean time to recover; incident volume; release frequency; backlog age.</w:t>
            </w:r>
          </w:p>
        </w:tc>
        <w:tc>
          <w:tcPr>
            <w:tcW w:type="dxa" w:w="3504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Operational indicators help evaluate reliability and agility.</w:t>
            </w:r>
          </w:p>
        </w:tc>
      </w:tr>
      <w:tr>
        <w:trPr>
          <w:cantSplit/>
        </w:trPr>
        <w:tc>
          <w:tcPr>
            <w:tcW w:type="dxa" w:w="3504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sz w:val="17"/>
              </w:rPr>
              <w:t>Mandate and policy alignment</w:t>
            </w:r>
          </w:p>
        </w:tc>
        <w:tc>
          <w:tcPr>
            <w:tcW w:type="dxa" w:w="3504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Digital take-up; cost savings; workforce optimisation; accessibility compliance; once-only reuse.</w:t>
            </w:r>
          </w:p>
        </w:tc>
        <w:tc>
          <w:tcPr>
            <w:tcW w:type="dxa" w:w="3504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Check whether the indicator reflects the policy objective, not only internal activity.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</w:tblPr>
      <w:tblGrid>
        <w:gridCol w:w="10512"/>
      </w:tblGrid>
      <w:tr>
        <w:tc>
          <w:tcPr>
            <w:tcW w:type="dxa" w:w="10512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F4E79"/>
                <w:sz w:val="19"/>
              </w:rPr>
              <w:t>A simple KPI test</w:t>
            </w:r>
            <w:r>
              <w:rPr>
                <w:sz w:val="18"/>
              </w:rPr>
              <w:br/>
              <w:t>A strong KPI should be specific, measurable, linked to a decision, and understandable to both business and IT stakeholders. Avoid indicators that measure activity without showing value.</w:t>
            </w:r>
          </w:p>
        </w:tc>
      </w:tr>
    </w:tbl>
    <w:p/>
    <w:p>
      <w:pPr>
        <w:pStyle w:val="Heading1"/>
      </w:pPr>
      <w:r>
        <w:t>4. Risk Management in a Government Operational Model</w:t>
      </w:r>
    </w:p>
    <w:p>
      <w:pPr>
        <w:pStyle w:val="Subtitle"/>
      </w:pPr>
      <w:r>
        <w:t>Risk management should be integrated into planning, budgeting, implementation and evaluation, not added at the end of a project.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7E3"/>
          <w:left w:val="single" w:sz="6" w:space="0" w:color="C9D7E3"/>
          <w:bottom w:val="single" w:sz="6" w:space="0" w:color="C9D7E3"/>
          <w:right w:val="single" w:sz="6" w:space="0" w:color="C9D7E3"/>
          <w:insideH w:val="single" w:sz="6" w:space="0" w:color="C9D7E3"/>
          <w:insideV w:val="single" w:sz="6" w:space="0" w:color="C9D7E3"/>
        </w:tblBorders>
      </w:tblPr>
      <w:tblGrid>
        <w:gridCol w:w="3504"/>
        <w:gridCol w:w="3504"/>
        <w:gridCol w:w="3504"/>
      </w:tblGrid>
      <w:tr>
        <w:trPr>
          <w:cantSplit/>
        </w:trPr>
        <w:tc>
          <w:tcPr>
            <w:tcW w:type="dxa" w:w="3504"/>
            <w:vAlign w:val="center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Risk category</w:t>
            </w:r>
          </w:p>
        </w:tc>
        <w:tc>
          <w:tcPr>
            <w:tcW w:type="dxa" w:w="3504"/>
            <w:vAlign w:val="center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Typical risks</w:t>
            </w:r>
          </w:p>
        </w:tc>
        <w:tc>
          <w:tcPr>
            <w:tcW w:type="dxa" w:w="3504"/>
            <w:vAlign w:val="center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Possible mitigation</w:t>
            </w:r>
          </w:p>
        </w:tc>
      </w:tr>
      <w:tr>
        <w:trPr>
          <w:cantSplit/>
        </w:trPr>
        <w:tc>
          <w:tcPr>
            <w:tcW w:type="dxa" w:w="3504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sz w:val="17"/>
              </w:rPr>
              <w:t>Strategic</w:t>
            </w:r>
          </w:p>
        </w:tc>
        <w:tc>
          <w:tcPr>
            <w:tcW w:type="dxa" w:w="3504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Misaligned objectives; weak political mandate; unstable funding; regulatory change.</w:t>
            </w:r>
          </w:p>
        </w:tc>
        <w:tc>
          <w:tcPr>
            <w:tcW w:type="dxa" w:w="3504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Link the service to strategy and legal mandate; secure decision-maker ownership.</w:t>
            </w:r>
          </w:p>
        </w:tc>
      </w:tr>
      <w:tr>
        <w:trPr>
          <w:cantSplit/>
        </w:trPr>
        <w:tc>
          <w:tcPr>
            <w:tcW w:type="dxa" w:w="3504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sz w:val="17"/>
              </w:rPr>
              <w:t>Operational</w:t>
            </w:r>
          </w:p>
        </w:tc>
        <w:tc>
          <w:tcPr>
            <w:tcW w:type="dxa" w:w="3504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Process bottlenecks; unclear responsibilities; talent gaps; resistance to change.</w:t>
            </w:r>
          </w:p>
        </w:tc>
        <w:tc>
          <w:tcPr>
            <w:tcW w:type="dxa" w:w="3504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Clarify roles, simplify processes, train staff and communicate the change.</w:t>
            </w:r>
          </w:p>
        </w:tc>
      </w:tr>
      <w:tr>
        <w:trPr>
          <w:cantSplit/>
        </w:trPr>
        <w:tc>
          <w:tcPr>
            <w:tcW w:type="dxa" w:w="3504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sz w:val="17"/>
              </w:rPr>
              <w:t>Technical</w:t>
            </w:r>
          </w:p>
        </w:tc>
        <w:tc>
          <w:tcPr>
            <w:tcW w:type="dxa" w:w="3504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Legacy integration; poor scalability; vendor lock-in; cybersecurity threats.</w:t>
            </w:r>
          </w:p>
        </w:tc>
        <w:tc>
          <w:tcPr>
            <w:tcW w:type="dxa" w:w="3504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Use architecture review, open standards, modular design and security-by-design.</w:t>
            </w:r>
          </w:p>
        </w:tc>
      </w:tr>
      <w:tr>
        <w:trPr>
          <w:cantSplit/>
        </w:trPr>
        <w:tc>
          <w:tcPr>
            <w:tcW w:type="dxa" w:w="3504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sz w:val="17"/>
              </w:rPr>
              <w:t>Data / ethics</w:t>
            </w:r>
          </w:p>
        </w:tc>
        <w:tc>
          <w:tcPr>
            <w:tcW w:type="dxa" w:w="3504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Privacy breaches; poor data quality; bias in analytics; excessive data use.</w:t>
            </w:r>
          </w:p>
        </w:tc>
        <w:tc>
          <w:tcPr>
            <w:tcW w:type="dxa" w:w="3504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Apply data minimisation, DPIA, data governance roles and human oversight where needed.</w:t>
            </w:r>
          </w:p>
        </w:tc>
      </w:tr>
      <w:tr>
        <w:trPr>
          <w:cantSplit/>
        </w:trPr>
        <w:tc>
          <w:tcPr>
            <w:tcW w:type="dxa" w:w="3504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sz w:val="17"/>
              </w:rPr>
              <w:t>Service continuity</w:t>
            </w:r>
          </w:p>
        </w:tc>
        <w:tc>
          <w:tcPr>
            <w:tcW w:type="dxa" w:w="3504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Critical service downtime; inadequate support; forgotten maintenance costs.</w:t>
            </w:r>
          </w:p>
        </w:tc>
        <w:tc>
          <w:tcPr>
            <w:tcW w:type="dxa" w:w="3504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Plan incident response, business continuity, SLAs and total cost of ownership.</w:t>
            </w:r>
          </w:p>
        </w:tc>
      </w:tr>
    </w:tbl>
    <w:p>
      <w:pPr>
        <w:pStyle w:val="Heading1"/>
      </w:pPr>
      <w:r>
        <w:t>5. Capability Management &amp; Sourcing Decisions</w:t>
      </w:r>
    </w:p>
    <w:p>
      <w:pPr>
        <w:pStyle w:val="Subtitle"/>
      </w:pPr>
      <w:r>
        <w:t>Capability management asks which skills, tools and responsibilities the public sector must retain, and which may be sourced externally.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7E3"/>
          <w:left w:val="single" w:sz="6" w:space="0" w:color="C9D7E3"/>
          <w:bottom w:val="single" w:sz="6" w:space="0" w:color="C9D7E3"/>
          <w:right w:val="single" w:sz="6" w:space="0" w:color="C9D7E3"/>
          <w:insideH w:val="single" w:sz="6" w:space="0" w:color="C9D7E3"/>
          <w:insideV w:val="single" w:sz="6" w:space="0" w:color="C9D7E3"/>
        </w:tblBorders>
      </w:tblPr>
      <w:tblGrid>
        <w:gridCol w:w="2628"/>
        <w:gridCol w:w="2628"/>
        <w:gridCol w:w="2628"/>
        <w:gridCol w:w="2628"/>
      </w:tblGrid>
      <w:tr>
        <w:trPr>
          <w:cantSplit/>
        </w:trPr>
        <w:tc>
          <w:tcPr>
            <w:tcW w:type="dxa" w:w="2628"/>
            <w:vAlign w:val="center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Capability example</w:t>
            </w:r>
          </w:p>
        </w:tc>
        <w:tc>
          <w:tcPr>
            <w:tcW w:type="dxa" w:w="2628"/>
            <w:vAlign w:val="center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Keep in-house when...</w:t>
            </w:r>
          </w:p>
        </w:tc>
        <w:tc>
          <w:tcPr>
            <w:tcW w:type="dxa" w:w="2628"/>
            <w:vAlign w:val="center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Outsource or partner when...</w:t>
            </w:r>
          </w:p>
        </w:tc>
        <w:tc>
          <w:tcPr>
            <w:tcW w:type="dxa" w:w="2628"/>
            <w:vAlign w:val="center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Watch out for</w:t>
            </w:r>
          </w:p>
        </w:tc>
      </w:tr>
      <w:tr>
        <w:trPr>
          <w:cantSplit/>
        </w:trPr>
        <w:tc>
          <w:tcPr>
            <w:tcW w:type="dxa" w:w="2628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sz w:val="17"/>
              </w:rPr>
              <w:t>Enterprise architecture</w:t>
            </w:r>
          </w:p>
        </w:tc>
        <w:tc>
          <w:tcPr>
            <w:tcW w:type="dxa" w:w="2628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It shapes public value, interoperability, legal compliance and long-term dependency choices.</w:t>
            </w:r>
          </w:p>
        </w:tc>
        <w:tc>
          <w:tcPr>
            <w:tcW w:type="dxa" w:w="2628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External expertise may support assessments or maturity building.</w:t>
            </w:r>
          </w:p>
        </w:tc>
        <w:tc>
          <w:tcPr>
            <w:tcW w:type="dxa" w:w="2628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Do not outsource strategic ownership of architecture.</w:t>
            </w:r>
          </w:p>
        </w:tc>
      </w:tr>
      <w:tr>
        <w:trPr>
          <w:cantSplit/>
        </w:trPr>
        <w:tc>
          <w:tcPr>
            <w:tcW w:type="dxa" w:w="2628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sz w:val="17"/>
              </w:rPr>
              <w:t>DevSecOps pipeline</w:t>
            </w:r>
          </w:p>
        </w:tc>
        <w:tc>
          <w:tcPr>
            <w:tcW w:type="dxa" w:w="2628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Security, release control and institutional learning are central to the organisation.</w:t>
            </w:r>
          </w:p>
        </w:tc>
        <w:tc>
          <w:tcPr>
            <w:tcW w:type="dxa" w:w="2628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Specialist vendors may provide tools, automation or temporary capacity.</w:t>
            </w:r>
          </w:p>
        </w:tc>
        <w:tc>
          <w:tcPr>
            <w:tcW w:type="dxa" w:w="2628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Avoid dependency on one supplier or opaque delivery practices.</w:t>
            </w:r>
          </w:p>
        </w:tc>
      </w:tr>
      <w:tr>
        <w:trPr>
          <w:cantSplit/>
        </w:trPr>
        <w:tc>
          <w:tcPr>
            <w:tcW w:type="dxa" w:w="2628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sz w:val="17"/>
              </w:rPr>
              <w:t>Cybersecurity SOC</w:t>
            </w:r>
          </w:p>
        </w:tc>
        <w:tc>
          <w:tcPr>
            <w:tcW w:type="dxa" w:w="2628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Critical services require rapid response, trusted access and institutional accountability.</w:t>
            </w:r>
          </w:p>
        </w:tc>
        <w:tc>
          <w:tcPr>
            <w:tcW w:type="dxa" w:w="2628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A national or shared SOC may provide economies of scale and advanced expertise.</w:t>
            </w:r>
          </w:p>
        </w:tc>
        <w:tc>
          <w:tcPr>
            <w:tcW w:type="dxa" w:w="2628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Define responsibility for incidents, escalation and evidence handling.</w:t>
            </w:r>
          </w:p>
        </w:tc>
      </w:tr>
      <w:tr>
        <w:trPr>
          <w:cantSplit/>
        </w:trPr>
        <w:tc>
          <w:tcPr>
            <w:tcW w:type="dxa" w:w="2628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sz w:val="17"/>
              </w:rPr>
              <w:t>AI analytics services</w:t>
            </w:r>
          </w:p>
        </w:tc>
        <w:tc>
          <w:tcPr>
            <w:tcW w:type="dxa" w:w="2628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The model affects administrative decisions, rights, transparency or policy choices.</w:t>
            </w:r>
          </w:p>
        </w:tc>
        <w:tc>
          <w:tcPr>
            <w:tcW w:type="dxa" w:w="2628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External partners may support modelling, testing or infrastructure.</w:t>
            </w:r>
          </w:p>
        </w:tc>
        <w:tc>
          <w:tcPr>
            <w:tcW w:type="dxa" w:w="2628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Ensure data protection, explainability, bias testing and human accountability.</w:t>
            </w:r>
          </w:p>
        </w:tc>
      </w:tr>
      <w:tr>
        <w:trPr>
          <w:cantSplit/>
        </w:trPr>
        <w:tc>
          <w:tcPr>
            <w:tcW w:type="dxa" w:w="2628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sz w:val="17"/>
              </w:rPr>
              <w:t>Cloud and infrastructure</w:t>
            </w:r>
          </w:p>
        </w:tc>
        <w:tc>
          <w:tcPr>
            <w:tcW w:type="dxa" w:w="2628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Sovereignty, resilience or classified data require strong public control.</w:t>
            </w:r>
          </w:p>
        </w:tc>
        <w:tc>
          <w:tcPr>
            <w:tcW w:type="dxa" w:w="2628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Commodity infrastructure may benefit from shared or cloud-based services.</w:t>
            </w:r>
          </w:p>
        </w:tc>
        <w:tc>
          <w:tcPr>
            <w:tcW w:type="dxa" w:w="2628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Assess data location, exit strategy, continuity and security obligations.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</w:tblPr>
      <w:tblGrid>
        <w:gridCol w:w="10512"/>
      </w:tblGrid>
      <w:tr>
        <w:tc>
          <w:tcPr>
            <w:tcW w:type="dxa" w:w="10512"/>
            <w:shd w:fill="DDEFE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F4E79"/>
                <w:sz w:val="19"/>
              </w:rPr>
              <w:t>Decision logic</w:t>
            </w:r>
            <w:r>
              <w:rPr>
                <w:sz w:val="18"/>
              </w:rPr>
              <w:br/>
              <w:t>The more a capability affects legality, accountability, public trust or strategic knowledge, the stronger the case for retaining ownership and competence inside the public sector, even if delivery is supported by partners.</w:t>
            </w:r>
          </w:p>
        </w:tc>
      </w:tr>
    </w:tbl>
    <w:p/>
    <w:p>
      <w:pPr>
        <w:pStyle w:val="Heading1"/>
      </w:pPr>
      <w:r>
        <w:t>6. Roles, Responsibilities &amp; Governance</w:t>
      </w:r>
    </w:p>
    <w:p>
      <w:pPr>
        <w:pStyle w:val="Subtitle"/>
      </w:pPr>
      <w:r>
        <w:t>Successful digital government requires clear ownership across business, IT, data, security and legal functions.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7E3"/>
          <w:left w:val="single" w:sz="6" w:space="0" w:color="C9D7E3"/>
          <w:bottom w:val="single" w:sz="6" w:space="0" w:color="C9D7E3"/>
          <w:right w:val="single" w:sz="6" w:space="0" w:color="C9D7E3"/>
          <w:insideH w:val="single" w:sz="6" w:space="0" w:color="C9D7E3"/>
          <w:insideV w:val="single" w:sz="6" w:space="0" w:color="C9D7E3"/>
        </w:tblBorders>
      </w:tblPr>
      <w:tblGrid>
        <w:gridCol w:w="2628"/>
        <w:gridCol w:w="2628"/>
        <w:gridCol w:w="2628"/>
        <w:gridCol w:w="2628"/>
      </w:tblGrid>
      <w:tr>
        <w:trPr>
          <w:cantSplit/>
        </w:trPr>
        <w:tc>
          <w:tcPr>
            <w:tcW w:type="dxa" w:w="2628"/>
            <w:vAlign w:val="center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2628"/>
            <w:vAlign w:val="center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Core accountabilities</w:t>
            </w:r>
          </w:p>
        </w:tc>
        <w:tc>
          <w:tcPr>
            <w:tcW w:type="dxa" w:w="2628"/>
            <w:vAlign w:val="center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Reports / relates to</w:t>
            </w:r>
          </w:p>
        </w:tc>
        <w:tc>
          <w:tcPr>
            <w:tcW w:type="dxa" w:w="2628"/>
            <w:vAlign w:val="center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Key competencies</w:t>
            </w:r>
          </w:p>
        </w:tc>
      </w:tr>
      <w:tr>
        <w:trPr>
          <w:cantSplit/>
        </w:trPr>
        <w:tc>
          <w:tcPr>
            <w:tcW w:type="dxa" w:w="2628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sz w:val="17"/>
              </w:rPr>
              <w:t>SSC Director</w:t>
            </w:r>
          </w:p>
        </w:tc>
        <w:tc>
          <w:tcPr>
            <w:tcW w:type="dxa" w:w="2628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Strategy, budget ownership, service catalogue, client relationship and performance.</w:t>
            </w:r>
          </w:p>
        </w:tc>
        <w:tc>
          <w:tcPr>
            <w:tcW w:type="dxa" w:w="2628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Steering committee / ministry leadership.</w:t>
            </w:r>
          </w:p>
        </w:tc>
        <w:tc>
          <w:tcPr>
            <w:tcW w:type="dxa" w:w="2628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Service portfolio management, stakeholder communication, financial governance.</w:t>
            </w:r>
          </w:p>
        </w:tc>
      </w:tr>
      <w:tr>
        <w:trPr>
          <w:cantSplit/>
        </w:trPr>
        <w:tc>
          <w:tcPr>
            <w:tcW w:type="dxa" w:w="2628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sz w:val="17"/>
              </w:rPr>
              <w:t>Business Architect</w:t>
            </w:r>
          </w:p>
        </w:tc>
        <w:tc>
          <w:tcPr>
            <w:tcW w:type="dxa" w:w="2628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Connect services, processes, capabilities, data and organisational change.</w:t>
            </w:r>
          </w:p>
        </w:tc>
        <w:tc>
          <w:tcPr>
            <w:tcW w:type="dxa" w:w="2628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Senior management / portfolio governance.</w:t>
            </w:r>
          </w:p>
        </w:tc>
        <w:tc>
          <w:tcPr>
            <w:tcW w:type="dxa" w:w="2628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Business architecture, process analysis, policy understanding.</w:t>
            </w:r>
          </w:p>
        </w:tc>
      </w:tr>
      <w:tr>
        <w:trPr>
          <w:cantSplit/>
        </w:trPr>
        <w:tc>
          <w:tcPr>
            <w:tcW w:type="dxa" w:w="2628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sz w:val="17"/>
              </w:rPr>
              <w:t>Service Owner</w:t>
            </w:r>
          </w:p>
        </w:tc>
        <w:tc>
          <w:tcPr>
            <w:tcW w:type="dxa" w:w="2628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Own service value, target group, quality, KPIs, development needs and user feedback.</w:t>
            </w:r>
          </w:p>
        </w:tc>
        <w:tc>
          <w:tcPr>
            <w:tcW w:type="dxa" w:w="2628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Agency or domain leadership.</w:t>
            </w:r>
          </w:p>
        </w:tc>
        <w:tc>
          <w:tcPr>
            <w:tcW w:type="dxa" w:w="2628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Service design, stakeholder management, value definition.</w:t>
            </w:r>
          </w:p>
        </w:tc>
      </w:tr>
      <w:tr>
        <w:trPr>
          <w:cantSplit/>
        </w:trPr>
        <w:tc>
          <w:tcPr>
            <w:tcW w:type="dxa" w:w="2628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sz w:val="17"/>
              </w:rPr>
              <w:t>Product Owner</w:t>
            </w:r>
          </w:p>
        </w:tc>
        <w:tc>
          <w:tcPr>
            <w:tcW w:type="dxa" w:w="2628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Prioritise backlog, translate service needs into development tasks, accept increments.</w:t>
            </w:r>
          </w:p>
        </w:tc>
        <w:tc>
          <w:tcPr>
            <w:tcW w:type="dxa" w:w="2628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Service owner / product manager.</w:t>
            </w:r>
          </w:p>
        </w:tc>
        <w:tc>
          <w:tcPr>
            <w:tcW w:type="dxa" w:w="2628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Agile delivery, requirements, user needs, prioritisation.</w:t>
            </w:r>
          </w:p>
        </w:tc>
      </w:tr>
      <w:tr>
        <w:trPr>
          <w:cantSplit/>
        </w:trPr>
        <w:tc>
          <w:tcPr>
            <w:tcW w:type="dxa" w:w="2628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sz w:val="17"/>
              </w:rPr>
              <w:t>Data Protection Officer</w:t>
            </w:r>
          </w:p>
        </w:tc>
        <w:tc>
          <w:tcPr>
            <w:tcW w:type="dxa" w:w="2628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Advise on GDPR compliance, DPIA, lawful processing and data subject rights.</w:t>
            </w:r>
          </w:p>
        </w:tc>
        <w:tc>
          <w:tcPr>
            <w:tcW w:type="dxa" w:w="2628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Independently to management.</w:t>
            </w:r>
          </w:p>
        </w:tc>
        <w:tc>
          <w:tcPr>
            <w:tcW w:type="dxa" w:w="2628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Privacy law, risk assessment, audit and consultation.</w:t>
            </w:r>
          </w:p>
        </w:tc>
      </w:tr>
      <w:tr>
        <w:trPr>
          <w:cantSplit/>
        </w:trPr>
        <w:tc>
          <w:tcPr>
            <w:tcW w:type="dxa" w:w="2628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sz w:val="17"/>
              </w:rPr>
              <w:t>Cybersecurity Manager / CISO</w:t>
            </w:r>
          </w:p>
        </w:tc>
        <w:tc>
          <w:tcPr>
            <w:tcW w:type="dxa" w:w="2628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Security controls, incident response, SOC coordination and security standards.</w:t>
            </w:r>
          </w:p>
        </w:tc>
        <w:tc>
          <w:tcPr>
            <w:tcW w:type="dxa" w:w="2628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Director / senior executive.</w:t>
            </w:r>
          </w:p>
        </w:tc>
        <w:tc>
          <w:tcPr>
            <w:tcW w:type="dxa" w:w="2628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Threat intelligence, ISO 27001, E-ITS, NIS2 awareness.</w:t>
            </w:r>
          </w:p>
        </w:tc>
      </w:tr>
      <w:tr>
        <w:trPr>
          <w:cantSplit/>
        </w:trPr>
        <w:tc>
          <w:tcPr>
            <w:tcW w:type="dxa" w:w="2628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sz w:val="17"/>
              </w:rPr>
              <w:t>Data Architect / Data Steward</w:t>
            </w:r>
          </w:p>
        </w:tc>
        <w:tc>
          <w:tcPr>
            <w:tcW w:type="dxa" w:w="2628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Data model, quality, metadata, reuse conditions and data ownership.</w:t>
            </w:r>
          </w:p>
        </w:tc>
        <w:tc>
          <w:tcPr>
            <w:tcW w:type="dxa" w:w="2628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Business architect / data governance board.</w:t>
            </w:r>
          </w:p>
        </w:tc>
        <w:tc>
          <w:tcPr>
            <w:tcW w:type="dxa" w:w="2628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Data governance, semantics, registries, interoperability.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7E3"/>
          <w:left w:val="single" w:sz="6" w:space="0" w:color="C9D7E3"/>
          <w:bottom w:val="single" w:sz="6" w:space="0" w:color="C9D7E3"/>
          <w:right w:val="single" w:sz="6" w:space="0" w:color="C9D7E3"/>
          <w:insideH w:val="single" w:sz="6" w:space="0" w:color="C9D7E3"/>
          <w:insideV w:val="single" w:sz="6" w:space="0" w:color="C9D7E3"/>
        </w:tblBorders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4F81B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Governance question</w:t>
            </w:r>
          </w:p>
        </w:tc>
        <w:tc>
          <w:tcPr>
            <w:tcW w:type="dxa" w:w="5256"/>
            <w:vAlign w:val="center"/>
            <w:shd w:fill="4F81B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Why it matters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sz w:val="17"/>
              </w:rPr>
              <w:t>Who owns the service?</w:t>
            </w:r>
          </w:p>
        </w:tc>
        <w:tc>
          <w:tcPr>
            <w:tcW w:type="dxa" w:w="5256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Prevents unclear accountability between policy, agency and IT provider.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sz w:val="17"/>
              </w:rPr>
              <w:t>Who prioritises development needs?</w:t>
            </w:r>
          </w:p>
        </w:tc>
        <w:tc>
          <w:tcPr>
            <w:tcW w:type="dxa" w:w="5256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Avoids duplicated investments and unmanaged backlog growth.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sz w:val="17"/>
              </w:rPr>
              <w:t>Who controls data access?</w:t>
            </w:r>
          </w:p>
        </w:tc>
        <w:tc>
          <w:tcPr>
            <w:tcW w:type="dxa" w:w="5256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Supports legality, confidentiality, integrity and accountability.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sz w:val="17"/>
              </w:rPr>
              <w:t>Who measures benefits?</w:t>
            </w:r>
          </w:p>
        </w:tc>
        <w:tc>
          <w:tcPr>
            <w:tcW w:type="dxa" w:w="5256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Ensures that digitalisation is assessed against outcomes, not only delivery.</w:t>
            </w:r>
          </w:p>
        </w:tc>
      </w:tr>
    </w:tbl>
    <w:p>
      <w:pPr>
        <w:pStyle w:val="Heading1"/>
      </w:pPr>
      <w:r>
        <w:t>7. Information Society &amp; Interoperability Principles</w:t>
      </w:r>
    </w:p>
    <w:p>
      <w:pPr>
        <w:pStyle w:val="Subtitle"/>
      </w:pPr>
      <w:r>
        <w:t>Interoperability is a core condition for data-driven, user-centred and cross-border public services.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7E3"/>
          <w:left w:val="single" w:sz="6" w:space="0" w:color="C9D7E3"/>
          <w:bottom w:val="single" w:sz="6" w:space="0" w:color="C9D7E3"/>
          <w:right w:val="single" w:sz="6" w:space="0" w:color="C9D7E3"/>
          <w:insideH w:val="single" w:sz="6" w:space="0" w:color="C9D7E3"/>
          <w:insideV w:val="single" w:sz="6" w:space="0" w:color="C9D7E3"/>
        </w:tblBorders>
      </w:tblPr>
      <w:tblGrid>
        <w:gridCol w:w="3504"/>
        <w:gridCol w:w="3504"/>
        <w:gridCol w:w="3504"/>
      </w:tblGrid>
      <w:tr>
        <w:trPr>
          <w:cantSplit/>
        </w:trPr>
        <w:tc>
          <w:tcPr>
            <w:tcW w:type="dxa" w:w="3504"/>
            <w:vAlign w:val="center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Framework / principle</w:t>
            </w:r>
          </w:p>
        </w:tc>
        <w:tc>
          <w:tcPr>
            <w:tcW w:type="dxa" w:w="3504"/>
            <w:vAlign w:val="center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Essentials</w:t>
            </w:r>
          </w:p>
        </w:tc>
        <w:tc>
          <w:tcPr>
            <w:tcW w:type="dxa" w:w="3504"/>
            <w:vAlign w:val="center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Application tips</w:t>
            </w:r>
          </w:p>
        </w:tc>
      </w:tr>
      <w:tr>
        <w:trPr>
          <w:cantSplit/>
        </w:trPr>
        <w:tc>
          <w:tcPr>
            <w:tcW w:type="dxa" w:w="3504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sz w:val="17"/>
              </w:rPr>
              <w:t>EIF layers</w:t>
            </w:r>
          </w:p>
        </w:tc>
        <w:tc>
          <w:tcPr>
            <w:tcW w:type="dxa" w:w="3504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Legal, organisational, semantic and technical interoperability.</w:t>
            </w:r>
          </w:p>
        </w:tc>
        <w:tc>
          <w:tcPr>
            <w:tcW w:type="dxa" w:w="3504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Identify the barrier at the correct layer before proposing a solution.</w:t>
            </w:r>
          </w:p>
        </w:tc>
      </w:tr>
      <w:tr>
        <w:trPr>
          <w:cantSplit/>
        </w:trPr>
        <w:tc>
          <w:tcPr>
            <w:tcW w:type="dxa" w:w="3504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sz w:val="17"/>
              </w:rPr>
              <w:t>Legal interoperability</w:t>
            </w:r>
          </w:p>
        </w:tc>
        <w:tc>
          <w:tcPr>
            <w:tcW w:type="dxa" w:w="3504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Different legal frameworks, mandates or access rules must be compatible.</w:t>
            </w:r>
          </w:p>
        </w:tc>
        <w:tc>
          <w:tcPr>
            <w:tcW w:type="dxa" w:w="3504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Check legal basis, data-sharing agreements, liability and proportionality.</w:t>
            </w:r>
          </w:p>
        </w:tc>
      </w:tr>
      <w:tr>
        <w:trPr>
          <w:cantSplit/>
        </w:trPr>
        <w:tc>
          <w:tcPr>
            <w:tcW w:type="dxa" w:w="3504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sz w:val="17"/>
              </w:rPr>
              <w:t>Organisational interoperability</w:t>
            </w:r>
          </w:p>
        </w:tc>
        <w:tc>
          <w:tcPr>
            <w:tcW w:type="dxa" w:w="3504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Processes, roles, responsibilities and expectations must be aligned.</w:t>
            </w:r>
          </w:p>
        </w:tc>
        <w:tc>
          <w:tcPr>
            <w:tcW w:type="dxa" w:w="3504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Use process mapping, SLAs, memoranda of understanding and shared governance.</w:t>
            </w:r>
          </w:p>
        </w:tc>
      </w:tr>
      <w:tr>
        <w:trPr>
          <w:cantSplit/>
        </w:trPr>
        <w:tc>
          <w:tcPr>
            <w:tcW w:type="dxa" w:w="3504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sz w:val="17"/>
              </w:rPr>
              <w:t>Semantic interoperability</w:t>
            </w:r>
          </w:p>
        </w:tc>
        <w:tc>
          <w:tcPr>
            <w:tcW w:type="dxa" w:w="3504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The meaning and structure of data must be preserved across systems.</w:t>
            </w:r>
          </w:p>
        </w:tc>
        <w:tc>
          <w:tcPr>
            <w:tcW w:type="dxa" w:w="3504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Use shared vocabularies, metadata, data models and common definitions.</w:t>
            </w:r>
          </w:p>
        </w:tc>
      </w:tr>
      <w:tr>
        <w:trPr>
          <w:cantSplit/>
        </w:trPr>
        <w:tc>
          <w:tcPr>
            <w:tcW w:type="dxa" w:w="3504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sz w:val="17"/>
              </w:rPr>
              <w:t>Technical interoperability</w:t>
            </w:r>
          </w:p>
        </w:tc>
        <w:tc>
          <w:tcPr>
            <w:tcW w:type="dxa" w:w="3504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Systems must exchange and use data through agreed standards and interfaces.</w:t>
            </w:r>
          </w:p>
        </w:tc>
        <w:tc>
          <w:tcPr>
            <w:tcW w:type="dxa" w:w="3504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Discuss APIs, secure data exchange, authentication, logging and standards.</w:t>
            </w:r>
          </w:p>
        </w:tc>
      </w:tr>
      <w:tr>
        <w:trPr>
          <w:cantSplit/>
        </w:trPr>
        <w:tc>
          <w:tcPr>
            <w:tcW w:type="dxa" w:w="3504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sz w:val="17"/>
              </w:rPr>
              <w:t>X-Road governance</w:t>
            </w:r>
          </w:p>
        </w:tc>
        <w:tc>
          <w:tcPr>
            <w:tcW w:type="dxa" w:w="3504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Distributed data exchange using security servers, access rights, logs and organisational responsibility of data owners.</w:t>
            </w:r>
          </w:p>
        </w:tc>
        <w:tc>
          <w:tcPr>
            <w:tcW w:type="dxa" w:w="3504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Explain how trust is created without centralising all data into one database.</w:t>
            </w:r>
          </w:p>
        </w:tc>
      </w:tr>
      <w:tr>
        <w:trPr>
          <w:cantSplit/>
        </w:trPr>
        <w:tc>
          <w:tcPr>
            <w:tcW w:type="dxa" w:w="3504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sz w:val="17"/>
              </w:rPr>
              <w:t>Once-only principle</w:t>
            </w:r>
          </w:p>
        </w:tc>
        <w:tc>
          <w:tcPr>
            <w:tcW w:type="dxa" w:w="3504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Citizens and businesses should not repeatedly provide data already held by public administrations.</w:t>
            </w:r>
          </w:p>
        </w:tc>
        <w:tc>
          <w:tcPr>
            <w:tcW w:type="dxa" w:w="3504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Requires eID, registries, interoperability, lawful reuse and transparency for users.</w:t>
            </w:r>
          </w:p>
        </w:tc>
      </w:tr>
      <w:tr>
        <w:trPr>
          <w:cantSplit/>
        </w:trPr>
        <w:tc>
          <w:tcPr>
            <w:tcW w:type="dxa" w:w="3504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sz w:val="17"/>
              </w:rPr>
              <w:t>Knowledge services</w:t>
            </w:r>
          </w:p>
        </w:tc>
        <w:tc>
          <w:tcPr>
            <w:tcW w:type="dxa" w:w="3504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Data-driven insights support citizens, officials and policymakers.</w:t>
            </w:r>
          </w:p>
        </w:tc>
        <w:tc>
          <w:tcPr>
            <w:tcW w:type="dxa" w:w="3504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Combine registries responsibly; define purpose, quality, access and public value.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</w:tblPr>
      <w:tblGrid>
        <w:gridCol w:w="10512"/>
      </w:tblGrid>
      <w:tr>
        <w:tc>
          <w:tcPr>
            <w:tcW w:type="dxa" w:w="10512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F4E79"/>
                <w:sz w:val="19"/>
              </w:rPr>
              <w:t>Common exam mistake</w:t>
            </w:r>
            <w:r>
              <w:rPr>
                <w:sz w:val="18"/>
              </w:rPr>
              <w:br/>
              <w:t>Do not reduce interoperability to technology. In public administration, the organisational and legal layers are often the decisive barriers.</w:t>
            </w:r>
          </w:p>
        </w:tc>
      </w:tr>
    </w:tbl>
    <w:p/>
    <w:p>
      <w:r>
        <w:br w:type="page"/>
      </w:r>
    </w:p>
    <w:p>
      <w:pPr>
        <w:pStyle w:val="Heading1"/>
      </w:pPr>
      <w:r>
        <w:t>8. Legal Foundations &amp; Soft-Law Instruments</w:t>
      </w:r>
    </w:p>
    <w:p>
      <w:pPr>
        <w:pStyle w:val="Subtitle"/>
      </w:pPr>
      <w:r>
        <w:t>Legal knowledge in the exam should be practical: identify the relevant framework, explain why it matters, and connect it to governance choices.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7E3"/>
          <w:left w:val="single" w:sz="6" w:space="0" w:color="C9D7E3"/>
          <w:bottom w:val="single" w:sz="6" w:space="0" w:color="C9D7E3"/>
          <w:right w:val="single" w:sz="6" w:space="0" w:color="C9D7E3"/>
          <w:insideH w:val="single" w:sz="6" w:space="0" w:color="C9D7E3"/>
          <w:insideV w:val="single" w:sz="6" w:space="0" w:color="C9D7E3"/>
        </w:tblBorders>
      </w:tblPr>
      <w:tblGrid>
        <w:gridCol w:w="3504"/>
        <w:gridCol w:w="3504"/>
        <w:gridCol w:w="3504"/>
      </w:tblGrid>
      <w:tr>
        <w:trPr>
          <w:cantSplit/>
        </w:trPr>
        <w:tc>
          <w:tcPr>
            <w:tcW w:type="dxa" w:w="3504"/>
            <w:vAlign w:val="center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Level</w:t>
            </w:r>
          </w:p>
        </w:tc>
        <w:tc>
          <w:tcPr>
            <w:tcW w:type="dxa" w:w="3504"/>
            <w:vAlign w:val="center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Key acts / standards</w:t>
            </w:r>
          </w:p>
        </w:tc>
        <w:tc>
          <w:tcPr>
            <w:tcW w:type="dxa" w:w="3504"/>
            <w:vAlign w:val="center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Relevance to exam topics</w:t>
            </w:r>
          </w:p>
        </w:tc>
      </w:tr>
      <w:tr>
        <w:trPr>
          <w:cantSplit/>
        </w:trPr>
        <w:tc>
          <w:tcPr>
            <w:tcW w:type="dxa" w:w="3504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sz w:val="17"/>
              </w:rPr>
              <w:t>EU</w:t>
            </w:r>
          </w:p>
        </w:tc>
        <w:tc>
          <w:tcPr>
            <w:tcW w:type="dxa" w:w="3504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GDPR; NIS2; Data Act; Data Governance Act; eIDAS 2.0; Interoperable Europe Act; AI Act; Digital Services Act; Single Digital Gateway Regulation.</w:t>
            </w:r>
          </w:p>
        </w:tc>
        <w:tc>
          <w:tcPr>
            <w:tcW w:type="dxa" w:w="3504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Data protection, cybersecurity, data sharing, digital identity, trustworthy AI, platform governance and cross-border public services.</w:t>
            </w:r>
          </w:p>
        </w:tc>
      </w:tr>
      <w:tr>
        <w:trPr>
          <w:cantSplit/>
        </w:trPr>
        <w:tc>
          <w:tcPr>
            <w:tcW w:type="dxa" w:w="3504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sz w:val="17"/>
              </w:rPr>
              <w:t>National (Estonia)</w:t>
            </w:r>
          </w:p>
        </w:tc>
        <w:tc>
          <w:tcPr>
            <w:tcW w:type="dxa" w:w="3504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Public Information Act; Cybersecurity Act; Digital Signatures Act and relevant sectoral legislation.</w:t>
            </w:r>
          </w:p>
        </w:tc>
        <w:tc>
          <w:tcPr>
            <w:tcW w:type="dxa" w:w="3504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Transparency, access to information, critical service security, trust services and national implementation.</w:t>
            </w:r>
          </w:p>
        </w:tc>
      </w:tr>
      <w:tr>
        <w:trPr>
          <w:cantSplit/>
        </w:trPr>
        <w:tc>
          <w:tcPr>
            <w:tcW w:type="dxa" w:w="3504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sz w:val="17"/>
              </w:rPr>
              <w:t>Soft law / strategy</w:t>
            </w:r>
          </w:p>
        </w:tc>
        <w:tc>
          <w:tcPr>
            <w:tcW w:type="dxa" w:w="3504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Tallinn Declaration; Berlin Declaration; Estonian Digital Agenda 2030; E-ITS; guidelines, standards and recommendations.</w:t>
            </w:r>
          </w:p>
        </w:tc>
        <w:tc>
          <w:tcPr>
            <w:tcW w:type="dxa" w:w="3504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Non-binding instruments shape expectations, targets, best practice and implementation culture.</w:t>
            </w:r>
          </w:p>
        </w:tc>
      </w:tr>
      <w:tr>
        <w:trPr>
          <w:cantSplit/>
        </w:trPr>
        <w:tc>
          <w:tcPr>
            <w:tcW w:type="dxa" w:w="3504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sz w:val="17"/>
              </w:rPr>
              <w:t>Regulatory experimentation</w:t>
            </w:r>
          </w:p>
        </w:tc>
        <w:tc>
          <w:tcPr>
            <w:tcW w:type="dxa" w:w="3504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Regulatory sandboxes, pilots and controlled testing environments.</w:t>
            </w:r>
          </w:p>
        </w:tc>
        <w:tc>
          <w:tcPr>
            <w:tcW w:type="dxa" w:w="3504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Useful where technology develops faster than legislation and regulators need evidence before setting rules.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7E3"/>
          <w:left w:val="single" w:sz="6" w:space="0" w:color="C9D7E3"/>
          <w:bottom w:val="single" w:sz="6" w:space="0" w:color="C9D7E3"/>
          <w:right w:val="single" w:sz="6" w:space="0" w:color="C9D7E3"/>
          <w:insideH w:val="single" w:sz="6" w:space="0" w:color="C9D7E3"/>
          <w:insideV w:val="single" w:sz="6" w:space="0" w:color="C9D7E3"/>
        </w:tblBorders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4F81B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Instrument</w:t>
            </w:r>
          </w:p>
        </w:tc>
        <w:tc>
          <w:tcPr>
            <w:tcW w:type="dxa" w:w="5256"/>
            <w:vAlign w:val="center"/>
            <w:shd w:fill="4F81B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Student-friendly meaning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sz w:val="17"/>
              </w:rPr>
              <w:t>Regulation</w:t>
            </w:r>
          </w:p>
        </w:tc>
        <w:tc>
          <w:tcPr>
            <w:tcW w:type="dxa" w:w="5256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Directly applicable EU legal act; creates binding obligations.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sz w:val="17"/>
              </w:rPr>
              <w:t>Directive</w:t>
            </w:r>
          </w:p>
        </w:tc>
        <w:tc>
          <w:tcPr>
            <w:tcW w:type="dxa" w:w="5256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Binding as to result, but Member States decide how to transpose it nationally.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sz w:val="17"/>
              </w:rPr>
              <w:t>Standard</w:t>
            </w:r>
          </w:p>
        </w:tc>
        <w:tc>
          <w:tcPr>
            <w:tcW w:type="dxa" w:w="5256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Technical or organisational specification supporting consistency, safety, quality or interoperability.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sz w:val="17"/>
              </w:rPr>
              <w:t>Declaration / strategy</w:t>
            </w:r>
          </w:p>
        </w:tc>
        <w:tc>
          <w:tcPr>
            <w:tcW w:type="dxa" w:w="5256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Usually not legally binding, but important for policy direction and exam reasoning.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sz w:val="17"/>
              </w:rPr>
              <w:t>Guideline / recommendation</w:t>
            </w:r>
          </w:p>
        </w:tc>
        <w:tc>
          <w:tcPr>
            <w:tcW w:type="dxa" w:w="5256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Explains expected practice and supports consistent implementation.</w:t>
            </w:r>
          </w:p>
        </w:tc>
      </w:tr>
    </w:tbl>
    <w:p>
      <w:r>
        <w:br w:type="page"/>
      </w:r>
    </w:p>
    <w:p>
      <w:pPr>
        <w:pStyle w:val="Heading1"/>
      </w:pPr>
      <w:r>
        <w:t>9. Final Revision Checklist</w:t>
      </w:r>
    </w:p>
    <w:p>
      <w:pPr>
        <w:pStyle w:val="Subtitle"/>
      </w:pPr>
      <w:r>
        <w:t>Use this page to test whether you can apply the guide to a case, rather than only recalling definitions.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7E3"/>
          <w:left w:val="single" w:sz="6" w:space="0" w:color="C9D7E3"/>
          <w:bottom w:val="single" w:sz="6" w:space="0" w:color="C9D7E3"/>
          <w:right w:val="single" w:sz="6" w:space="0" w:color="C9D7E3"/>
          <w:insideH w:val="single" w:sz="6" w:space="0" w:color="C9D7E3"/>
          <w:insideV w:val="single" w:sz="6" w:space="0" w:color="C9D7E3"/>
        </w:tblBorders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vAlign w:val="center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Question to ask yourself</w:t>
            </w:r>
          </w:p>
        </w:tc>
        <w:tc>
          <w:tcPr>
            <w:tcW w:type="dxa" w:w="5256"/>
            <w:vAlign w:val="center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Why it matters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sz w:val="17"/>
              </w:rPr>
              <w:t>What public value is the service expected to create?</w:t>
            </w:r>
          </w:p>
        </w:tc>
        <w:tc>
          <w:tcPr>
            <w:tcW w:type="dxa" w:w="5256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Keeps the answer focused on citizens, businesses and societal outcomes.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sz w:val="17"/>
              </w:rPr>
              <w:t>Which organisation owns the service and which owns the technology?</w:t>
            </w:r>
          </w:p>
        </w:tc>
        <w:tc>
          <w:tcPr>
            <w:tcW w:type="dxa" w:w="5256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Clarifies governance and accountability.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sz w:val="17"/>
              </w:rPr>
              <w:t>Which EIF layer is the main obstacle?</w:t>
            </w:r>
          </w:p>
        </w:tc>
        <w:tc>
          <w:tcPr>
            <w:tcW w:type="dxa" w:w="5256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Prevents purely technical answers to organisational or legal problems.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sz w:val="17"/>
              </w:rPr>
              <w:t>What data is needed, who owns it, and what is the lawful basis?</w:t>
            </w:r>
          </w:p>
        </w:tc>
        <w:tc>
          <w:tcPr>
            <w:tcW w:type="dxa" w:w="5256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Links data governance, GDPR and once-only implementation.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sz w:val="17"/>
              </w:rPr>
              <w:t>Which KPIs prove success?</w:t>
            </w:r>
          </w:p>
        </w:tc>
        <w:tc>
          <w:tcPr>
            <w:tcW w:type="dxa" w:w="5256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Connects outputs, outcomes and operational performance.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sz w:val="17"/>
              </w:rPr>
              <w:t>What are the main risks and mitigations?</w:t>
            </w:r>
          </w:p>
        </w:tc>
        <w:tc>
          <w:tcPr>
            <w:tcW w:type="dxa" w:w="5256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Shows realistic public sector implementation thinking.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sz w:val="17"/>
              </w:rPr>
              <w:t>Should the capability be kept in-house, shared or outsourced?</w:t>
            </w:r>
          </w:p>
        </w:tc>
        <w:tc>
          <w:tcPr>
            <w:tcW w:type="dxa" w:w="5256"/>
            <w:vAlign w:val="center"/>
            <w:shd w:fill="F4F8F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Addresses capability management and vendor dependency.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sz w:val="17"/>
              </w:rPr>
              <w:t>Which legal or soft-law instruments guide the decision?</w:t>
            </w:r>
          </w:p>
        </w:tc>
        <w:tc>
          <w:tcPr>
            <w:tcW w:type="dxa" w:w="5256"/>
            <w:vAlign w:val="center"/>
            <w:shd w:fill="FFFF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 w:val="0"/>
                <w:sz w:val="17"/>
              </w:rPr>
              <w:t>Demonstrates regulatory awareness and policy alignment.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</w:tblPr>
      <w:tblGrid>
        <w:gridCol w:w="10512"/>
      </w:tblGrid>
      <w:tr>
        <w:tc>
          <w:tcPr>
            <w:tcW w:type="dxa" w:w="10512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F4E79"/>
                <w:sz w:val="19"/>
              </w:rPr>
              <w:t>One-page answer structure for case questions</w:t>
            </w:r>
            <w:r>
              <w:rPr>
                <w:sz w:val="18"/>
              </w:rPr>
              <w:br/>
              <w:t>1) Define the issue. 2) Select the relevant framework. 3) Apply it to the case. 4) Identify trade-offs and risks. 5) Recommend a feasible next step.</w:t>
            </w:r>
          </w:p>
        </w:tc>
      </w:tr>
    </w:tbl>
    <w:p/>
    <w:p>
      <w:pPr>
        <w:jc w:val="center"/>
      </w:pPr>
      <w:r>
        <w:rPr>
          <w:i/>
          <w:color w:val="787878"/>
        </w:rPr>
        <w:t>End of study guide</w:t>
      </w:r>
    </w:p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Master's Exam Study Guide | E-Governance Technologies &amp; Services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A5A5A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Master's Exam Study Guide - Expanded</dc:title>
  <dc:subject>E-Governance Technologies and Services</dc:subject>
  <dc:creator>Tallinn University of Technology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