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AD0003" w:rsidRDefault="001B5556" w:rsidP="00AD0003">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Pr="00AD0003" w:rsidRDefault="00AD0003" w:rsidP="001B5556">
      <w:pPr>
        <w:pStyle w:val="NormlWeb"/>
        <w:rPr>
          <w:b/>
        </w:rPr>
      </w:pPr>
      <w:r>
        <w:rPr>
          <w:color w:val="FF0000"/>
        </w:rPr>
        <w:t>We now moved all tables and figures in the Appendix into the main body of the manuscript.</w:t>
      </w:r>
      <w:r w:rsidR="001B5556" w:rsidRPr="0007596D">
        <w:rPr>
          <w:color w:val="FF0000"/>
        </w:rPr>
        <w:br/>
      </w:r>
      <w:r w:rsidR="001B5556" w:rsidRPr="007B60EA">
        <w:rPr>
          <w:b/>
        </w:rPr>
        <w:br/>
        <w:t xml:space="preserve">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w:t>
      </w:r>
      <w:r>
        <w:rPr>
          <w:b/>
        </w:rPr>
        <w:t>from zero for the first choice.</w:t>
      </w:r>
    </w:p>
    <w:p w:rsidR="00226F4C" w:rsidRPr="006B03F8" w:rsidRDefault="008C1E6C" w:rsidP="001B5556">
      <w:pPr>
        <w:pStyle w:val="NormlWeb"/>
        <w:rPr>
          <w:color w:val="FF0000"/>
        </w:rPr>
      </w:pPr>
      <w:r w:rsidRPr="006B03F8">
        <w:rPr>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“The proportion of trials where the target was chosen shows greater variation for participants who were presented with relatively fewer choice trials, whereas it is more narrowly concentrated around .5 for participants with a higher number of trials.”</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E91E98" w:rsidRDefault="0007596D" w:rsidP="001B5556">
      <w:pPr>
        <w:pStyle w:val="NormlWeb"/>
        <w:rPr>
          <w:color w:val="FF0000"/>
        </w:rPr>
      </w:pPr>
      <w:r>
        <w:rPr>
          <w:color w:val="FF0000"/>
        </w:rPr>
        <w:t xml:space="preserve">Our original analysis plan did not aim to </w:t>
      </w:r>
      <w:r w:rsidR="005D3C97">
        <w:rPr>
          <w:color w:val="FF0000"/>
        </w:rPr>
        <w:t xml:space="preserve">estimate the attraction effect on the individual level, and therefore our experimental design </w:t>
      </w:r>
      <w:r w:rsidR="00D3250B">
        <w:rPr>
          <w:color w:val="FF0000"/>
        </w:rPr>
        <w:t>does not have enough statistical power</w:t>
      </w:r>
      <w:r w:rsidR="005D3C97">
        <w:rPr>
          <w:color w:val="FF0000"/>
        </w:rPr>
        <w:t xml:space="preserve"> for a precise estimation of these effects. </w:t>
      </w:r>
      <w:r w:rsidR="00D3250B">
        <w:rPr>
          <w:color w:val="FF0000"/>
        </w:rPr>
        <w:t>Nevertheless</w:t>
      </w:r>
      <w:r w:rsidR="005D3C97">
        <w:rPr>
          <w:color w:val="FF0000"/>
        </w:rPr>
        <w:t>, t</w:t>
      </w:r>
      <w:r w:rsidR="00F1241F">
        <w:rPr>
          <w:color w:val="FF0000"/>
        </w:rPr>
        <w:t xml:space="preserve">o give </w:t>
      </w:r>
      <w:r w:rsidR="005D3C97">
        <w:rPr>
          <w:color w:val="FF0000"/>
        </w:rPr>
        <w:t xml:space="preserve">a sense of the variation in the </w:t>
      </w:r>
      <w:r w:rsidR="00F1241F">
        <w:rPr>
          <w:color w:val="FF0000"/>
        </w:rPr>
        <w:t>attraction effect on the individual level, we include a version of Figure 5</w:t>
      </w:r>
      <w:r w:rsidR="00E91E98">
        <w:rPr>
          <w:color w:val="FF0000"/>
        </w:rPr>
        <w:t>,</w:t>
      </w:r>
      <w:r w:rsidR="00F1241F">
        <w:rPr>
          <w:color w:val="FF0000"/>
        </w:rPr>
        <w:t xml:space="preserve"> where we include </w:t>
      </w:r>
      <w:r w:rsidR="00500FA3">
        <w:rPr>
          <w:color w:val="FF0000"/>
        </w:rPr>
        <w:t xml:space="preserve">individual </w:t>
      </w:r>
      <w:r w:rsidR="00F1241F">
        <w:rPr>
          <w:color w:val="FF0000"/>
        </w:rPr>
        <w:t>b</w:t>
      </w:r>
      <w:r w:rsidR="00E91E98">
        <w:rPr>
          <w:color w:val="FF0000"/>
        </w:rPr>
        <w:t xml:space="preserve">ootstrapped confidence intervals </w:t>
      </w:r>
      <w:r w:rsidR="004D74DD">
        <w:rPr>
          <w:color w:val="FF0000"/>
        </w:rPr>
        <w:t xml:space="preserve">(CIs) </w:t>
      </w:r>
      <w:r w:rsidR="00E91E98">
        <w:rPr>
          <w:color w:val="FF0000"/>
        </w:rPr>
        <w:t>for the proportion of trials where the target was chosen</w:t>
      </w:r>
      <w:r w:rsidR="00F1241F">
        <w:rPr>
          <w:color w:val="FF0000"/>
        </w:rPr>
        <w:t xml:space="preserve">. We excluded </w:t>
      </w:r>
      <w:r w:rsidR="00E91E98">
        <w:rPr>
          <w:color w:val="FF0000"/>
        </w:rPr>
        <w:t>participants for whom this proportion was exactly 0.5 (</w:t>
      </w:r>
      <w:r w:rsidR="004D74DD">
        <w:rPr>
          <w:color w:val="FF0000"/>
        </w:rPr>
        <w:t>and therefore could not have had a significant negative or positive attraction effect; about 57</w:t>
      </w:r>
      <w:r w:rsidR="00E91E98">
        <w:rPr>
          <w:color w:val="FF0000"/>
        </w:rPr>
        <w:t>% of participants).</w:t>
      </w:r>
      <w:r w:rsidR="004D74DD">
        <w:rPr>
          <w:color w:val="FF0000"/>
        </w:rPr>
        <w:t xml:space="preserve"> From the remaining 58 p</w:t>
      </w:r>
      <w:r w:rsidR="00526F06">
        <w:rPr>
          <w:color w:val="FF0000"/>
        </w:rPr>
        <w:t>articipants, only one</w:t>
      </w:r>
      <w:r w:rsidR="004D74DD">
        <w:rPr>
          <w:color w:val="FF0000"/>
        </w:rPr>
        <w:t xml:space="preserve"> had CIs with the upper limit below 0.5 and no participant had </w:t>
      </w:r>
      <w:r w:rsidR="00541029">
        <w:rPr>
          <w:color w:val="FF0000"/>
        </w:rPr>
        <w:t xml:space="preserve">CIs </w:t>
      </w:r>
      <w:r w:rsidR="004D74DD">
        <w:rPr>
          <w:color w:val="FF0000"/>
        </w:rPr>
        <w:t>with a lower limit higher than 0.5.</w:t>
      </w:r>
    </w:p>
    <w:p w:rsidR="00E91E98" w:rsidRPr="006F61E2" w:rsidRDefault="00E91E98" w:rsidP="001B5556">
      <w:pPr>
        <w:pStyle w:val="NormlWeb"/>
        <w:rPr>
          <w:noProof/>
          <w:color w:val="FF0000"/>
        </w:rPr>
      </w:pPr>
      <w:r>
        <w:rPr>
          <w:noProof/>
          <w:color w:val="FF0000"/>
        </w:rPr>
        <w:lastRenderedPageBreak/>
        <w:drawing>
          <wp:inline distT="0" distB="0" distL="0" distR="0">
            <wp:extent cx="5760720" cy="30213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_h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w:t>
      </w:r>
      <w:r w:rsidR="008827B2">
        <w:rPr>
          <w:b/>
        </w:rPr>
        <w:t>asure of the attraction effect.</w:t>
      </w:r>
    </w:p>
    <w:p w:rsidR="00526F06" w:rsidRDefault="00F041E1" w:rsidP="001B5556">
      <w:pPr>
        <w:pStyle w:val="NormlWeb"/>
        <w:rPr>
          <w:color w:val="FF0000"/>
        </w:rPr>
      </w:pPr>
      <w:r>
        <w:rPr>
          <w:color w:val="FF0000"/>
        </w:rPr>
        <w:t>This is exactly what we have done in Model</w:t>
      </w:r>
      <w:r w:rsidR="003D6EE0">
        <w:rPr>
          <w:color w:val="FF0000"/>
        </w:rPr>
        <w:t>s</w:t>
      </w:r>
      <w:r>
        <w:rPr>
          <w:color w:val="FF0000"/>
        </w:rPr>
        <w:t xml:space="preserve"> 2, 4, 5, </w:t>
      </w:r>
      <w:r w:rsidR="00AD0003">
        <w:rPr>
          <w:color w:val="FF0000"/>
        </w:rPr>
        <w:t>8</w:t>
      </w:r>
      <w:r w:rsidR="003D6EE0">
        <w:rPr>
          <w:color w:val="FF0000"/>
        </w:rPr>
        <w:t>, and 9</w:t>
      </w:r>
      <w:r w:rsidR="008827B2">
        <w:rPr>
          <w:color w:val="FF0000"/>
        </w:rPr>
        <w:t xml:space="preserve"> to explore </w:t>
      </w:r>
      <w:r w:rsidR="003D6EE0">
        <w:rPr>
          <w:color w:val="FF0000"/>
        </w:rPr>
        <w:t>the factors influencing</w:t>
      </w:r>
      <w:r w:rsidR="008827B2">
        <w:rPr>
          <w:color w:val="FF0000"/>
        </w:rPr>
        <w:t xml:space="preserve"> the strength of the attraction effect</w:t>
      </w:r>
      <w:r>
        <w:rPr>
          <w:color w:val="FF0000"/>
        </w:rPr>
        <w:t>.</w:t>
      </w:r>
      <w:r w:rsidR="008827B2">
        <w:rPr>
          <w:color w:val="FF0000"/>
        </w:rPr>
        <w:t xml:space="preserve"> We found no evidence for an association between TD rating difference and our measure of the attraction effect.</w:t>
      </w:r>
    </w:p>
    <w:p w:rsidR="008827B2" w:rsidRPr="00526F06" w:rsidRDefault="001B5556" w:rsidP="001B5556">
      <w:pPr>
        <w:pStyle w:val="NormlWeb"/>
        <w:rPr>
          <w:color w:val="FF0000"/>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increases for TD pairs that are more similar or have more equal ratings.</w:t>
      </w:r>
    </w:p>
    <w:p w:rsidR="00526F06" w:rsidRPr="0007596D" w:rsidRDefault="00526F06" w:rsidP="00526F06">
      <w:pPr>
        <w:pStyle w:val="NormlWeb"/>
        <w:rPr>
          <w:color w:val="FF0000"/>
        </w:rPr>
      </w:pPr>
      <w:r>
        <w:rPr>
          <w:color w:val="FF0000"/>
        </w:rPr>
        <w:t xml:space="preserve">To explore this, </w:t>
      </w:r>
      <w:r w:rsidR="0007596D">
        <w:rPr>
          <w:color w:val="FF0000"/>
        </w:rPr>
        <w:t xml:space="preserve">using the subset of first choices, </w:t>
      </w:r>
      <w:r>
        <w:rPr>
          <w:color w:val="FF0000"/>
        </w:rPr>
        <w:t xml:space="preserve">we ran a logistic model where the outcome variable was the decoy being chosen and the explanatory variables were the target-decoy similarity ratings and rating difference. Here we include a plot of the predicted probability of choosing the decoy for each level of the explanatory variables. Altogether the decoy was chosen </w:t>
      </w:r>
      <w:r w:rsidR="0007596D">
        <w:rPr>
          <w:color w:val="FF0000"/>
        </w:rPr>
        <w:t xml:space="preserve">in less than 5% of trials. However, the decoy was more likely to be chosen when the rating difference between the target and the decoy was low, and when the decoy and target were perceived as more similar. </w:t>
      </w:r>
      <w:r w:rsidR="005D3C97">
        <w:rPr>
          <w:color w:val="FF0000"/>
        </w:rPr>
        <w:t>Nonetheless</w:t>
      </w:r>
      <w:r w:rsidR="0007596D">
        <w:rPr>
          <w:color w:val="FF0000"/>
        </w:rPr>
        <w:t xml:space="preserve">, this pattern could not have affected our measure of the attraction effect, since we measured the attraction effect by calculating the proportion of trials where the target was chosen </w:t>
      </w:r>
      <w:r w:rsidR="0007596D" w:rsidRPr="0007596D">
        <w:rPr>
          <w:color w:val="FF0000"/>
        </w:rPr>
        <w:t>after excluding all trials where the decoy was chosen.</w:t>
      </w:r>
    </w:p>
    <w:p w:rsidR="00526F06" w:rsidRDefault="00526F06" w:rsidP="00526F06">
      <w:pPr>
        <w:pStyle w:val="NormlWeb"/>
        <w:jc w:val="center"/>
        <w:rPr>
          <w:b/>
        </w:rPr>
      </w:pPr>
      <w:r>
        <w:rPr>
          <w:b/>
          <w:noProof/>
        </w:rPr>
        <w:lastRenderedPageBreak/>
        <w:drawing>
          <wp:inline distT="0" distB="0" distL="0" distR="0">
            <wp:extent cx="4032000" cy="3024000"/>
            <wp:effectExtent l="0" t="0" r="6985"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2000" cy="3024000"/>
                    </a:xfrm>
                    <a:prstGeom prst="rect">
                      <a:avLst/>
                    </a:prstGeom>
                  </pic:spPr>
                </pic:pic>
              </a:graphicData>
            </a:graphic>
          </wp:inline>
        </w:drawing>
      </w:r>
      <w:r w:rsidR="001B5556" w:rsidRPr="007B60EA">
        <w:rPr>
          <w:b/>
        </w:rPr>
        <w:br/>
      </w:r>
    </w:p>
    <w:p w:rsidR="00500FA3" w:rsidRDefault="001B5556" w:rsidP="001B5556">
      <w:pPr>
        <w:pStyle w:val="NormlWeb"/>
        <w:rPr>
          <w:b/>
        </w:rPr>
      </w:pP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Pr="00500FA3" w:rsidRDefault="003F52B6" w:rsidP="001B5556">
      <w:pPr>
        <w:pStyle w:val="NormlWeb"/>
        <w:rPr>
          <w:b/>
        </w:rPr>
      </w:pPr>
      <w:r>
        <w:rPr>
          <w:color w:val="FF0000"/>
        </w:rPr>
        <w:t>We rer</w:t>
      </w:r>
      <w:r w:rsidR="00FB6967">
        <w:rPr>
          <w:color w:val="FF0000"/>
        </w:rPr>
        <w:t>an the regressions in Table A</w:t>
      </w:r>
      <w:r w:rsidR="003038CD">
        <w:rPr>
          <w:color w:val="FF0000"/>
        </w:rPr>
        <w:t>2</w:t>
      </w:r>
      <w:r w:rsidR="00FB6967">
        <w:rPr>
          <w:color w:val="FF0000"/>
        </w:rPr>
        <w:t xml:space="preserve"> (now Models 6 and 8 in Table 3)</w:t>
      </w:r>
      <w:r>
        <w:rPr>
          <w:color w:val="FF0000"/>
        </w:rPr>
        <w:t xml:space="preserve"> </w:t>
      </w:r>
      <w:r w:rsidR="00EB4862">
        <w:rPr>
          <w:color w:val="FF0000"/>
        </w:rPr>
        <w:t>with first choices only</w:t>
      </w:r>
      <w:r w:rsidR="00AC7A8E">
        <w:rPr>
          <w:color w:val="FF0000"/>
        </w:rPr>
        <w:t xml:space="preserve"> </w:t>
      </w:r>
      <w:r w:rsidR="003038CD">
        <w:rPr>
          <w:color w:val="FF0000"/>
        </w:rPr>
        <w:t>(</w:t>
      </w:r>
      <w:r w:rsidR="00FB6967">
        <w:rPr>
          <w:color w:val="FF0000"/>
        </w:rPr>
        <w:t>see Models 7 and 9 in Table 3</w:t>
      </w:r>
      <w:r w:rsidR="003038CD">
        <w:rPr>
          <w:color w:val="FF0000"/>
        </w:rPr>
        <w:t>)</w:t>
      </w:r>
      <w:r w:rsidR="00EB4862">
        <w:rPr>
          <w:color w:val="FF0000"/>
        </w:rPr>
        <w:t>.</w:t>
      </w:r>
      <w:r w:rsidR="00790665">
        <w:rPr>
          <w:color w:val="FF0000"/>
        </w:rPr>
        <w:t xml:space="preserve"> We also updated </w:t>
      </w:r>
      <w:r w:rsidR="00500FA3">
        <w:rPr>
          <w:color w:val="FF0000"/>
        </w:rPr>
        <w:t xml:space="preserve">Figures A1 and A2 </w:t>
      </w:r>
      <w:r w:rsidR="00FB6967">
        <w:rPr>
          <w:color w:val="FF0000"/>
        </w:rPr>
        <w:t xml:space="preserve">(now Figures 7 and 8) </w:t>
      </w:r>
      <w:r w:rsidR="00790665">
        <w:rPr>
          <w:color w:val="FF0000"/>
        </w:rPr>
        <w:t>to only 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D3250B" w:rsidRDefault="00E017D5" w:rsidP="005D3C97">
      <w:pPr>
        <w:pStyle w:val="NormlWeb"/>
        <w:rPr>
          <w:b/>
        </w:rPr>
      </w:pPr>
      <w:r w:rsidRPr="005D3C97">
        <w:rPr>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w:t>
      </w:r>
      <w:r w:rsidR="001B5556" w:rsidRPr="007B60EA">
        <w:rPr>
          <w:b/>
        </w:rPr>
        <w:lastRenderedPageBreak/>
        <w:t>stimuli were pictorial. That is true in their data, but I don't think they "reported difficulties." I actually don't think they made that distinction at all.</w:t>
      </w:r>
    </w:p>
    <w:p w:rsidR="008931FC" w:rsidRDefault="00D3250B" w:rsidP="005D3C97">
      <w:pPr>
        <w:pStyle w:val="NormlWeb"/>
        <w:rPr>
          <w:color w:val="FF0000"/>
        </w:rPr>
      </w:pPr>
      <w:r>
        <w:rPr>
          <w:color w:val="FF0000"/>
        </w:rPr>
        <w:t>We</w:t>
      </w:r>
      <w:r w:rsidRPr="005D3C97">
        <w:rPr>
          <w:color w:val="FF0000"/>
        </w:rPr>
        <w:t xml:space="preserve"> </w:t>
      </w:r>
      <w:r w:rsidRPr="00D3250B">
        <w:rPr>
          <w:color w:val="FF0000"/>
        </w:rPr>
        <w:t>changed the sentence to “</w:t>
      </w:r>
      <w:r w:rsidRPr="00D3250B">
        <w:rPr>
          <w:i/>
          <w:color w:val="FF0000"/>
        </w:rPr>
        <w:t>who demonstrated difficulties replicating the attraction effect in experiments where the stimuli had qualitative-verbal or pictorial depictions</w:t>
      </w:r>
      <w:r w:rsidRPr="00D3250B">
        <w:rPr>
          <w:color w:val="FF0000"/>
        </w:rPr>
        <w:t>”.</w:t>
      </w:r>
    </w:p>
    <w:p w:rsidR="00235ED4" w:rsidRPr="008931FC" w:rsidRDefault="001B5556" w:rsidP="005D3C97">
      <w:pPr>
        <w:pStyle w:val="NormlWeb"/>
        <w:rPr>
          <w:color w:val="FF0000"/>
        </w:rPr>
      </w:pPr>
      <w:r w:rsidRPr="007B60EA">
        <w:rPr>
          <w:b/>
        </w:rPr>
        <w:br/>
      </w:r>
      <w:proofErr w:type="gramStart"/>
      <w:r w:rsidRPr="007B60EA">
        <w:rPr>
          <w:b/>
        </w:rPr>
        <w:t>page</w:t>
      </w:r>
      <w:proofErr w:type="gramEnd"/>
      <w:r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p>
    <w:p w:rsidR="00235ED4" w:rsidRDefault="00235ED4" w:rsidP="005D3C97">
      <w:pPr>
        <w:pStyle w:val="NormlWeb"/>
        <w:rPr>
          <w:b/>
        </w:rPr>
      </w:pPr>
      <w:r w:rsidRPr="00235ED4">
        <w:rPr>
          <w:color w:val="FF0000"/>
        </w:rPr>
        <w:t>We removed the word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p>
    <w:p w:rsidR="00922A20" w:rsidRPr="00922A20" w:rsidRDefault="00922A20" w:rsidP="00922A20">
      <w:pPr>
        <w:autoSpaceDE w:val="0"/>
        <w:autoSpaceDN w:val="0"/>
        <w:adjustRightInd w:val="0"/>
        <w:spacing w:after="0" w:line="240" w:lineRule="auto"/>
        <w:rPr>
          <w:rFonts w:ascii="NimbusRomNo9L-Regu" w:hAnsi="NimbusRomNo9L-Regu" w:cs="NimbusRomNo9L-Regu"/>
          <w:color w:val="FF0000"/>
          <w:sz w:val="24"/>
          <w:szCs w:val="24"/>
        </w:rPr>
      </w:pPr>
      <w:r>
        <w:rPr>
          <w:rFonts w:ascii="NimbusRomNo9L-Regu" w:hAnsi="NimbusRomNo9L-Regu" w:cs="NimbusRomNo9L-Regu"/>
          <w:color w:val="FF0000"/>
          <w:sz w:val="24"/>
          <w:szCs w:val="24"/>
        </w:rPr>
        <w:t>We shortened the paragraph as follows:</w:t>
      </w:r>
    </w:p>
    <w:p w:rsidR="008A1122" w:rsidRPr="00922A20" w:rsidRDefault="00922A20" w:rsidP="00922A20">
      <w:pPr>
        <w:autoSpaceDE w:val="0"/>
        <w:autoSpaceDN w:val="0"/>
        <w:adjustRightInd w:val="0"/>
        <w:spacing w:after="0" w:line="240" w:lineRule="auto"/>
        <w:rPr>
          <w:rFonts w:ascii="NimbusRomNo9L-Regu" w:hAnsi="NimbusRomNo9L-Regu" w:cs="NimbusRomNo9L-Regu"/>
          <w:i/>
          <w:color w:val="FF0000"/>
          <w:sz w:val="24"/>
          <w:szCs w:val="24"/>
        </w:rPr>
      </w:pPr>
      <w:r w:rsidRPr="00922A20">
        <w:rPr>
          <w:rFonts w:ascii="NimbusRomNo9L-Regu" w:hAnsi="NimbusRomNo9L-Regu" w:cs="NimbusRomNo9L-Regu"/>
          <w:i/>
          <w:color w:val="FF0000"/>
          <w:sz w:val="24"/>
          <w:szCs w:val="24"/>
        </w:rPr>
        <w:t>“In this article, we describe a rigorous test of the attraction ef</w:t>
      </w:r>
      <w:r>
        <w:rPr>
          <w:rFonts w:ascii="NimbusRomNo9L-Regu" w:hAnsi="NimbusRomNo9L-Regu" w:cs="NimbusRomNo9L-Regu"/>
          <w:i/>
          <w:color w:val="FF0000"/>
          <w:sz w:val="24"/>
          <w:szCs w:val="24"/>
        </w:rPr>
        <w:t xml:space="preserve">fect with complex, naturalistic </w:t>
      </w:r>
      <w:r w:rsidRPr="00922A20">
        <w:rPr>
          <w:rFonts w:ascii="NimbusRomNo9L-Regu" w:hAnsi="NimbusRomNo9L-Regu" w:cs="NimbusRomNo9L-Regu"/>
          <w:i/>
          <w:color w:val="FF0000"/>
          <w:sz w:val="24"/>
          <w:szCs w:val="24"/>
        </w:rPr>
        <w:t>choice options, using a carefully developed experimental me</w:t>
      </w:r>
      <w:r>
        <w:rPr>
          <w:rFonts w:ascii="NimbusRomNo9L-Regu" w:hAnsi="NimbusRomNo9L-Regu" w:cs="NimbusRomNo9L-Regu"/>
          <w:i/>
          <w:color w:val="FF0000"/>
          <w:sz w:val="24"/>
          <w:szCs w:val="24"/>
        </w:rPr>
        <w:t xml:space="preserve">thodology that addresses all of </w:t>
      </w:r>
      <w:r w:rsidRPr="00922A20">
        <w:rPr>
          <w:rFonts w:ascii="NimbusRomNo9L-Regu" w:hAnsi="NimbusRomNo9L-Regu" w:cs="NimbusRomNo9L-Regu"/>
          <w:i/>
          <w:color w:val="FF0000"/>
          <w:sz w:val="24"/>
          <w:szCs w:val="24"/>
        </w:rPr>
        <w:t>the critical conditions discussed by Huber et al. (2014). Ou</w:t>
      </w:r>
      <w:r>
        <w:rPr>
          <w:rFonts w:ascii="NimbusRomNo9L-Regu" w:hAnsi="NimbusRomNo9L-Regu" w:cs="NimbusRomNo9L-Regu"/>
          <w:i/>
          <w:color w:val="FF0000"/>
          <w:sz w:val="24"/>
          <w:szCs w:val="24"/>
        </w:rPr>
        <w:t xml:space="preserve">r results show a precisely zero attraction </w:t>
      </w:r>
      <w:r w:rsidRPr="00922A20">
        <w:rPr>
          <w:rFonts w:ascii="NimbusRomNo9L-Regu" w:hAnsi="NimbusRomNo9L-Regu" w:cs="NimbusRomNo9L-Regu"/>
          <w:i/>
          <w:color w:val="FF0000"/>
          <w:sz w:val="24"/>
          <w:szCs w:val="24"/>
        </w:rPr>
        <w:t>effect. Taken together with earlier results from Frede</w:t>
      </w:r>
      <w:r>
        <w:rPr>
          <w:rFonts w:ascii="NimbusRomNo9L-Regu" w:hAnsi="NimbusRomNo9L-Regu" w:cs="NimbusRomNo9L-Regu"/>
          <w:i/>
          <w:color w:val="FF0000"/>
          <w:sz w:val="24"/>
          <w:szCs w:val="24"/>
        </w:rPr>
        <w:t xml:space="preserve">rick et al. (2014) and Yang and </w:t>
      </w:r>
      <w:r w:rsidRPr="00922A20">
        <w:rPr>
          <w:rFonts w:ascii="NimbusRomNo9L-Regu" w:hAnsi="NimbusRomNo9L-Regu" w:cs="NimbusRomNo9L-Regu"/>
          <w:i/>
          <w:color w:val="FF0000"/>
          <w:sz w:val="24"/>
          <w:szCs w:val="24"/>
        </w:rPr>
        <w:t xml:space="preserve">Lynn (2014), we see this as strong evidence for the claim that the </w:t>
      </w:r>
      <w:r>
        <w:rPr>
          <w:rFonts w:ascii="NimbusRomNo9L-Regu" w:hAnsi="NimbusRomNo9L-Regu" w:cs="NimbusRomNo9L-Regu"/>
          <w:i/>
          <w:color w:val="FF0000"/>
          <w:sz w:val="24"/>
          <w:szCs w:val="24"/>
        </w:rPr>
        <w:t xml:space="preserve">attraction effect is limited to </w:t>
      </w:r>
      <w:r w:rsidRPr="00922A20">
        <w:rPr>
          <w:rFonts w:ascii="NimbusRomNo9L-Regu" w:hAnsi="NimbusRomNo9L-Regu" w:cs="NimbusRomNo9L-Regu"/>
          <w:i/>
          <w:color w:val="FF0000"/>
          <w:sz w:val="24"/>
          <w:szCs w:val="24"/>
        </w:rPr>
        <w:t>choice tasks where options are represented with numerical attributes.</w:t>
      </w:r>
      <w:r w:rsidRPr="00922A20">
        <w:rPr>
          <w:rFonts w:ascii="NimbusRomNo9L-Regu" w:hAnsi="NimbusRomNo9L-Regu" w:cs="NimbusRomNo9L-Regu"/>
          <w:i/>
          <w:color w:val="FF0000"/>
        </w:rPr>
        <w:t>”</w:t>
      </w:r>
      <w:r w:rsidRPr="00922A20">
        <w:rPr>
          <w:b/>
          <w:i/>
          <w:color w:val="FF0000"/>
        </w:rPr>
        <w:t xml:space="preserve"> </w:t>
      </w:r>
      <w:r w:rsidR="001B5556" w:rsidRPr="00922A20">
        <w:rPr>
          <w:b/>
          <w:i/>
        </w:rPr>
        <w:br/>
      </w:r>
      <w:r w:rsidR="001B5556" w:rsidRPr="007B60EA">
        <w:rPr>
          <w:b/>
        </w:rPr>
        <w:br/>
      </w:r>
      <w:r w:rsidR="001B5556" w:rsidRPr="00922A20">
        <w:rPr>
          <w:rFonts w:ascii="Times New Roman" w:eastAsia="Times New Roman" w:hAnsi="Times New Roman" w:cs="Times New Roman"/>
          <w:b/>
          <w:sz w:val="24"/>
          <w:szCs w:val="24"/>
          <w:lang w:eastAsia="en-GB"/>
        </w:rP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922A20">
        <w:rPr>
          <w:rFonts w:ascii="Times New Roman" w:eastAsia="Times New Roman" w:hAnsi="Times New Roman" w:cs="Times New Roman"/>
          <w:b/>
          <w:sz w:val="24"/>
          <w:szCs w:val="24"/>
          <w:lang w:eastAsia="en-GB"/>
        </w:rPr>
        <w:t>dispreferred</w:t>
      </w:r>
      <w:proofErr w:type="spellEnd"/>
      <w:r w:rsidR="001B5556" w:rsidRPr="00922A20">
        <w:rPr>
          <w:rFonts w:ascii="Times New Roman" w:eastAsia="Times New Roman" w:hAnsi="Times New Roman" w:cs="Times New Roman"/>
          <w:b/>
          <w:sz w:val="24"/>
          <w:szCs w:val="24"/>
          <w:lang w:eastAsia="en-GB"/>
        </w:rPr>
        <w:t>.</w:t>
      </w:r>
    </w:p>
    <w:p w:rsidR="00D3250B" w:rsidRDefault="00235ED4" w:rsidP="005D3C97">
      <w:pPr>
        <w:pStyle w:val="NormlWeb"/>
        <w:rPr>
          <w:b/>
        </w:rPr>
      </w:pPr>
      <w:r w:rsidRPr="00235ED4">
        <w:rPr>
          <w:color w:val="FF0000"/>
        </w:rPr>
        <w:t xml:space="preserve">Thank you, we changed the sentence </w:t>
      </w:r>
      <w:proofErr w:type="spellStart"/>
      <w:r w:rsidRPr="00235ED4">
        <w:rPr>
          <w:color w:val="FF0000"/>
        </w:rPr>
        <w:t>to</w:t>
      </w:r>
      <w:proofErr w:type="gramStart"/>
      <w:r w:rsidRPr="00235ED4">
        <w:rPr>
          <w:color w:val="FF0000"/>
        </w:rPr>
        <w:t>:</w:t>
      </w:r>
      <w:r w:rsidRPr="00235ED4">
        <w:rPr>
          <w:i/>
          <w:color w:val="FF0000"/>
        </w:rPr>
        <w:t>“</w:t>
      </w:r>
      <w:proofErr w:type="gramEnd"/>
      <w:r w:rsidRPr="00235ED4">
        <w:rPr>
          <w:i/>
          <w:color w:val="FF0000"/>
        </w:rPr>
        <w:t>The</w:t>
      </w:r>
      <w:proofErr w:type="spellEnd"/>
      <w:r w:rsidRPr="00235ED4">
        <w:rPr>
          <w:i/>
          <w:color w:val="FF0000"/>
        </w:rPr>
        <w:t xml:space="preserve"> fact that participants only chose the lowest-rated option very rarely in the choice stage suggests that they reported their preferences truthfully in the rating stage.”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p>
    <w:p w:rsidR="008A1122" w:rsidRDefault="00D3250B" w:rsidP="005D3C97">
      <w:pPr>
        <w:pStyle w:val="NormlWeb"/>
        <w:rPr>
          <w:b/>
        </w:rPr>
      </w:pPr>
      <w:r w:rsidRPr="00D3250B">
        <w:rPr>
          <w:color w:val="FF0000"/>
        </w:rPr>
        <w:t>Thank you</w:t>
      </w:r>
      <w:r w:rsidR="008A1122">
        <w:rPr>
          <w:color w:val="FF0000"/>
        </w:rPr>
        <w:t>, we corrected this</w:t>
      </w:r>
      <w:r w:rsidRPr="00D3250B">
        <w:rPr>
          <w:color w:val="FF0000"/>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17) I recognize your geographical provenance, but I think most readers will prefer while to whilst. ; )</w:t>
      </w:r>
    </w:p>
    <w:p w:rsidR="00922A20" w:rsidRPr="00922A20" w:rsidRDefault="008A1122" w:rsidP="005D3C97">
      <w:pPr>
        <w:pStyle w:val="NormlWeb"/>
        <w:rPr>
          <w:color w:val="FF0000"/>
        </w:rPr>
      </w:pPr>
      <w:r>
        <w:rPr>
          <w:color w:val="FF0000"/>
        </w:rPr>
        <w:t>Thank you, we updated the manuscript.</w:t>
      </w:r>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w:t>
      </w:r>
      <w:r w:rsidR="001B5556" w:rsidRPr="007B60EA">
        <w:rPr>
          <w:b/>
        </w:rPr>
        <w:lastRenderedPageBreak/>
        <w:t xml:space="preserve">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w:t>
      </w:r>
      <w:r w:rsidR="009506A1">
        <w:rPr>
          <w:b/>
        </w:rPr>
        <w:t>vs. naturalistic stimuli).</w:t>
      </w:r>
    </w:p>
    <w:p w:rsidR="009506A1" w:rsidRDefault="009506A1" w:rsidP="005D3C97">
      <w:pPr>
        <w:pStyle w:val="NormlWeb"/>
        <w:rPr>
          <w:b/>
        </w:rPr>
      </w:pPr>
      <w:r>
        <w:rPr>
          <w:color w:val="FF0000"/>
        </w:rPr>
        <w:t>We agree with this, and changed the wording to make this distinction clear.</w:t>
      </w:r>
    </w:p>
    <w:p w:rsidR="00A46814" w:rsidRDefault="001B5556" w:rsidP="005D3C97">
      <w:pPr>
        <w:pStyle w:val="NormlWeb"/>
        <w:rPr>
          <w:b/>
        </w:rPr>
      </w:pPr>
      <w:r w:rsidRPr="007B60EA">
        <w:rPr>
          <w:b/>
        </w:rPr>
        <w:br/>
        <w:t>A few more remarks that might be helpful to the authors</w:t>
      </w:r>
      <w:proofErr w:type="gramStart"/>
      <w:r w:rsidRPr="007B60EA">
        <w:rPr>
          <w:b/>
        </w:rPr>
        <w:t>:</w:t>
      </w:r>
      <w:proofErr w:type="gramEnd"/>
      <w:r w:rsidRPr="007B60EA">
        <w:rPr>
          <w:b/>
        </w:rPr>
        <w:br/>
      </w:r>
      <w:r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Pr="007B60EA">
        <w:rPr>
          <w:b/>
        </w:rPr>
        <w:t>etc</w:t>
      </w:r>
      <w:proofErr w:type="spellEnd"/>
      <w:r w:rsidRPr="007B60EA">
        <w:rPr>
          <w:b/>
        </w:rPr>
        <w:t>). It is great that the authors took these properties into account but I do not think that this is the central take away from this paper.</w:t>
      </w:r>
    </w:p>
    <w:p w:rsidR="004F2C12" w:rsidRPr="005D3C97" w:rsidRDefault="005A616F" w:rsidP="005D3C97">
      <w:pPr>
        <w:pStyle w:val="NormlWeb"/>
        <w:rPr>
          <w:b/>
        </w:rPr>
      </w:pPr>
      <w:r>
        <w:rPr>
          <w:color w:val="FF0000"/>
        </w:rPr>
        <w:t xml:space="preserve">We agree that there are other reasons why the experimental design can lead to a null effect. However, we </w:t>
      </w:r>
      <w:bookmarkStart w:id="0" w:name="_GoBack"/>
      <w:bookmarkEnd w:id="0"/>
      <w:r w:rsidR="001B5556" w:rsidRPr="007B60EA">
        <w:rPr>
          <w:b/>
        </w:rPr>
        <w:br/>
      </w:r>
      <w:r w:rsidR="001B5556" w:rsidRPr="007B60EA">
        <w:rPr>
          <w:b/>
        </w:rPr>
        <w:br/>
        <w:t xml:space="preserve">2) The within-subjects design the authors employed together with the type of stimuli is, in my opinion, the important contribution of this </w:t>
      </w:r>
      <w:proofErr w:type="spellStart"/>
      <w:r w:rsidR="001B5556" w:rsidRPr="007B60EA">
        <w:rPr>
          <w:b/>
        </w:rPr>
        <w:t>paper.Previous</w:t>
      </w:r>
      <w:proofErr w:type="spellEnd"/>
      <w:r w:rsidR="001B5556" w:rsidRPr="007B60EA">
        <w:rPr>
          <w:b/>
        </w:rPr>
        <w:t xml:space="preserve"> replication failures in the literature have employed between-subjects designs, which are by definition less powerful (see also the work by Michael </w:t>
      </w:r>
      <w:proofErr w:type="spellStart"/>
      <w:r w:rsidR="001B5556" w:rsidRPr="007B60EA">
        <w:rPr>
          <w:b/>
        </w:rPr>
        <w:t>Regenweter</w:t>
      </w:r>
      <w:proofErr w:type="spellEnd"/>
      <w:r w:rsidR="001B5556" w:rsidRPr="007B60EA">
        <w:rPr>
          <w:b/>
        </w:rPr>
        <w:t xml:space="preserve"> and colleagues). This is also why I believe that the within-subjects experiments by </w:t>
      </w:r>
      <w:proofErr w:type="spellStart"/>
      <w:r w:rsidR="001B5556" w:rsidRPr="007B60EA">
        <w:rPr>
          <w:b/>
        </w:rPr>
        <w:t>Trueblood</w:t>
      </w:r>
      <w:proofErr w:type="spellEnd"/>
      <w:r w:rsidR="001B5556" w:rsidRPr="007B60EA">
        <w:rPr>
          <w:b/>
        </w:rPr>
        <w:t xml:space="preserve"> et al (using non-numerical stimuli) should weigh more heavily in any debate pertaining to the robustness of the attraction effect.</w:t>
      </w:r>
    </w:p>
    <w:sectPr w:rsidR="004F2C12" w:rsidRPr="005D3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07596D"/>
    <w:rsid w:val="001B5556"/>
    <w:rsid w:val="00226F4C"/>
    <w:rsid w:val="00235ED4"/>
    <w:rsid w:val="003038CD"/>
    <w:rsid w:val="003D6EE0"/>
    <w:rsid w:val="003F52B6"/>
    <w:rsid w:val="004D74DD"/>
    <w:rsid w:val="004F2C12"/>
    <w:rsid w:val="00500FA3"/>
    <w:rsid w:val="00526F06"/>
    <w:rsid w:val="00541029"/>
    <w:rsid w:val="0056030B"/>
    <w:rsid w:val="005A616F"/>
    <w:rsid w:val="005D3C97"/>
    <w:rsid w:val="006B03F8"/>
    <w:rsid w:val="006F61E2"/>
    <w:rsid w:val="00790665"/>
    <w:rsid w:val="007B60EA"/>
    <w:rsid w:val="007F6999"/>
    <w:rsid w:val="008827B2"/>
    <w:rsid w:val="008931FC"/>
    <w:rsid w:val="008A1122"/>
    <w:rsid w:val="008C1E6C"/>
    <w:rsid w:val="00922A20"/>
    <w:rsid w:val="009506A1"/>
    <w:rsid w:val="00A46814"/>
    <w:rsid w:val="00AC7A8E"/>
    <w:rsid w:val="00AD0003"/>
    <w:rsid w:val="00B56AB9"/>
    <w:rsid w:val="00C46E13"/>
    <w:rsid w:val="00CC57BC"/>
    <w:rsid w:val="00D3250B"/>
    <w:rsid w:val="00E017D5"/>
    <w:rsid w:val="00E91E98"/>
    <w:rsid w:val="00EB4862"/>
    <w:rsid w:val="00F041E1"/>
    <w:rsid w:val="00F1137D"/>
    <w:rsid w:val="00F1241F"/>
    <w:rsid w:val="00FA04B7"/>
    <w:rsid w:val="00FB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ditorialmanager.com/d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2188</TotalTime>
  <Pages>6</Pages>
  <Words>2007</Words>
  <Characters>11442</Characters>
  <Application>Microsoft Office Word</Application>
  <DocSecurity>0</DocSecurity>
  <Lines>95</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19</cp:revision>
  <dcterms:created xsi:type="dcterms:W3CDTF">2020-10-03T11:20:00Z</dcterms:created>
  <dcterms:modified xsi:type="dcterms:W3CDTF">2020-10-07T20:20:00Z</dcterms:modified>
</cp:coreProperties>
</file>