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A062" w14:textId="77777777" w:rsidR="009F7EBD" w:rsidRPr="00D04809" w:rsidRDefault="00D04809" w:rsidP="00D04809">
      <w:pPr>
        <w:spacing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D04809">
        <w:rPr>
          <w:rFonts w:asciiTheme="majorHAnsi" w:hAnsiTheme="majorHAnsi" w:cstheme="majorHAnsi"/>
          <w:b/>
          <w:sz w:val="20"/>
          <w:szCs w:val="20"/>
        </w:rPr>
        <w:t>ENTERPRISE SECURITY SPECIFICATION | REF: SEC-DB-SCHEMA-2026 | CONFIDENTIAL</w:t>
      </w:r>
    </w:p>
    <w:p w14:paraId="110095E3" w14:textId="77777777" w:rsidR="009F7EBD" w:rsidRPr="00D04809" w:rsidRDefault="00D04809" w:rsidP="00D04809">
      <w:pPr>
        <w:spacing w:after="40" w:line="360" w:lineRule="auto"/>
        <w:jc w:val="center"/>
        <w:rPr>
          <w:rFonts w:asciiTheme="majorHAnsi" w:hAnsiTheme="majorHAnsi" w:cstheme="majorHAnsi"/>
          <w:sz w:val="36"/>
          <w:szCs w:val="36"/>
        </w:rPr>
      </w:pPr>
      <w:r w:rsidRPr="00D04809">
        <w:rPr>
          <w:rFonts w:asciiTheme="majorHAnsi" w:hAnsiTheme="majorHAnsi" w:cstheme="majorHAnsi"/>
          <w:b/>
          <w:sz w:val="36"/>
          <w:szCs w:val="36"/>
        </w:rPr>
        <w:t>KAMUS DATA &amp; REFERENSI SKEMA DATABASE (19 TABEL)</w:t>
      </w:r>
    </w:p>
    <w:p w14:paraId="5E82E77A" w14:textId="77777777" w:rsidR="009F7EBD" w:rsidRPr="00D04809" w:rsidRDefault="00D04809" w:rsidP="00D04809">
      <w:pPr>
        <w:spacing w:after="24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D04809">
        <w:rPr>
          <w:rFonts w:asciiTheme="majorHAnsi" w:hAnsiTheme="majorHAnsi" w:cstheme="majorHAnsi"/>
          <w:i/>
          <w:sz w:val="20"/>
          <w:szCs w:val="20"/>
        </w:rPr>
        <w:t>Production-Grade PostgreSQL 14+ Relational Architecture &amp; Partitioning Specification</w:t>
      </w:r>
    </w:p>
    <w:p w14:paraId="46E60DE3" w14:textId="14B87515" w:rsidR="009F7EBD" w:rsidRPr="00D04809" w:rsidRDefault="00D04809" w:rsidP="00D04809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D04809">
        <w:rPr>
          <w:rFonts w:asciiTheme="majorHAnsi" w:hAnsiTheme="majorHAnsi" w:cstheme="majorHAnsi"/>
          <w:b/>
          <w:sz w:val="20"/>
          <w:szCs w:val="20"/>
        </w:rPr>
        <w:t>Ringkasan</w:t>
      </w:r>
      <w:proofErr w:type="spellEnd"/>
      <w:r w:rsidRPr="00D04809">
        <w:rPr>
          <w:rFonts w:asciiTheme="majorHAnsi" w:hAnsiTheme="majorHAnsi" w:cstheme="majorHAnsi"/>
          <w:b/>
          <w:sz w:val="20"/>
          <w:szCs w:val="20"/>
        </w:rPr>
        <w:t xml:space="preserve"> Desain Skema Database (7 Domain Modular)</w:t>
      </w:r>
    </w:p>
    <w:p w14:paraId="02AF87A6" w14:textId="77777777" w:rsidR="009F7EBD" w:rsidRPr="00D04809" w:rsidRDefault="00D04809" w:rsidP="00D04809">
      <w:pPr>
        <w:spacing w:line="36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D04809">
        <w:rPr>
          <w:rFonts w:asciiTheme="majorHAnsi" w:hAnsiTheme="majorHAnsi" w:cstheme="majorHAnsi"/>
          <w:sz w:val="20"/>
          <w:szCs w:val="20"/>
        </w:rPr>
        <w:t>Database wazuh_soc_db menggunakan 19 tabel master yang terbagi dalam 7 domain fungsional. Tabel telemetri utama (raw_events dan norma</w:t>
      </w:r>
      <w:r w:rsidRPr="00D04809">
        <w:rPr>
          <w:rFonts w:asciiTheme="majorHAnsi" w:hAnsiTheme="majorHAnsi" w:cstheme="majorHAnsi"/>
          <w:sz w:val="20"/>
          <w:szCs w:val="20"/>
        </w:rPr>
        <w:t>lized_events) menggunakan Declarative Range Partitioning bulanan untuk mempertahankan kecepatan query dan kemudahan rotasi data hukum.</w:t>
      </w:r>
    </w:p>
    <w:p w14:paraId="22F3980A" w14:textId="536EEAAC" w:rsidR="009F7EBD" w:rsidRPr="00D04809" w:rsidRDefault="00D04809" w:rsidP="00D04809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D04809">
        <w:rPr>
          <w:rFonts w:asciiTheme="majorHAnsi" w:hAnsiTheme="majorHAnsi" w:cstheme="majorHAnsi"/>
          <w:b/>
          <w:sz w:val="20"/>
          <w:szCs w:val="20"/>
        </w:rPr>
        <w:t>Inventaris</w:t>
      </w:r>
      <w:proofErr w:type="spellEnd"/>
      <w:r w:rsidRPr="00D04809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b/>
          <w:sz w:val="20"/>
          <w:szCs w:val="20"/>
        </w:rPr>
        <w:t>Lengkap</w:t>
      </w:r>
      <w:proofErr w:type="spellEnd"/>
      <w:r w:rsidRPr="00D04809">
        <w:rPr>
          <w:rFonts w:asciiTheme="majorHAnsi" w:hAnsiTheme="majorHAnsi" w:cstheme="majorHAnsi"/>
          <w:b/>
          <w:sz w:val="20"/>
          <w:szCs w:val="20"/>
        </w:rPr>
        <w:t xml:space="preserve"> 19 </w:t>
      </w:r>
      <w:proofErr w:type="spellStart"/>
      <w:r w:rsidRPr="00D04809">
        <w:rPr>
          <w:rFonts w:asciiTheme="majorHAnsi" w:hAnsiTheme="majorHAnsi" w:cstheme="majorHAnsi"/>
          <w:b/>
          <w:sz w:val="20"/>
          <w:szCs w:val="20"/>
        </w:rPr>
        <w:t>Tabel</w:t>
      </w:r>
      <w:proofErr w:type="spellEnd"/>
      <w:r w:rsidRPr="00D04809">
        <w:rPr>
          <w:rFonts w:asciiTheme="majorHAnsi" w:hAnsiTheme="majorHAnsi" w:cstheme="majorHAnsi"/>
          <w:b/>
          <w:sz w:val="20"/>
          <w:szCs w:val="20"/>
        </w:rPr>
        <w:t xml:space="preserve"> Master PostgreSQL</w:t>
      </w:r>
    </w:p>
    <w:tbl>
      <w:tblPr>
        <w:tblStyle w:val="TableGrid"/>
        <w:tblW w:w="4810" w:type="pct"/>
        <w:tblInd w:w="392" w:type="dxa"/>
        <w:tblLook w:val="04A0" w:firstRow="1" w:lastRow="0" w:firstColumn="1" w:lastColumn="0" w:noHBand="0" w:noVBand="1"/>
      </w:tblPr>
      <w:tblGrid>
        <w:gridCol w:w="547"/>
        <w:gridCol w:w="1193"/>
        <w:gridCol w:w="2878"/>
        <w:gridCol w:w="2488"/>
        <w:gridCol w:w="2799"/>
      </w:tblGrid>
      <w:tr w:rsidR="00D04809" w:rsidRPr="00D04809" w14:paraId="18BD224F" w14:textId="77777777" w:rsidTr="00D04809">
        <w:tc>
          <w:tcPr>
            <w:tcW w:w="276" w:type="pct"/>
            <w:shd w:val="clear" w:color="auto" w:fill="DBE5F1" w:themeFill="accent1" w:themeFillTint="33"/>
          </w:tcPr>
          <w:p w14:paraId="761C7BF7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b/>
                <w:sz w:val="20"/>
                <w:szCs w:val="20"/>
              </w:rPr>
              <w:t>No</w:t>
            </w:r>
          </w:p>
        </w:tc>
        <w:tc>
          <w:tcPr>
            <w:tcW w:w="602" w:type="pct"/>
            <w:shd w:val="clear" w:color="auto" w:fill="DBE5F1" w:themeFill="accent1" w:themeFillTint="33"/>
          </w:tcPr>
          <w:p w14:paraId="3DCCBCC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b/>
                <w:sz w:val="20"/>
                <w:szCs w:val="20"/>
              </w:rPr>
              <w:t>Skema Modul</w:t>
            </w:r>
          </w:p>
        </w:tc>
        <w:tc>
          <w:tcPr>
            <w:tcW w:w="1453" w:type="pct"/>
            <w:shd w:val="clear" w:color="auto" w:fill="DBE5F1" w:themeFill="accent1" w:themeFillTint="33"/>
          </w:tcPr>
          <w:p w14:paraId="7271DBB4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b/>
                <w:sz w:val="20"/>
                <w:szCs w:val="20"/>
              </w:rPr>
              <w:t>Nama Tabel Master</w:t>
            </w:r>
          </w:p>
        </w:tc>
        <w:tc>
          <w:tcPr>
            <w:tcW w:w="1256" w:type="pct"/>
            <w:shd w:val="clear" w:color="auto" w:fill="DBE5F1" w:themeFill="accent1" w:themeFillTint="33"/>
          </w:tcPr>
          <w:p w14:paraId="15066CF3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b/>
                <w:sz w:val="20"/>
                <w:szCs w:val="20"/>
              </w:rPr>
              <w:t>Tipe Tabel</w:t>
            </w:r>
          </w:p>
        </w:tc>
        <w:tc>
          <w:tcPr>
            <w:tcW w:w="1414" w:type="pct"/>
            <w:shd w:val="clear" w:color="auto" w:fill="DBE5F1" w:themeFill="accent1" w:themeFillTint="33"/>
          </w:tcPr>
          <w:p w14:paraId="328E50C3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b/>
                <w:sz w:val="20"/>
                <w:szCs w:val="20"/>
              </w:rPr>
              <w:t>Deskripsi Fungsional</w:t>
            </w:r>
          </w:p>
        </w:tc>
      </w:tr>
      <w:tr w:rsidR="00D04809" w:rsidRPr="00D04809" w14:paraId="07770A78" w14:textId="77777777" w:rsidTr="00D04809">
        <w:tc>
          <w:tcPr>
            <w:tcW w:w="276" w:type="pct"/>
          </w:tcPr>
          <w:p w14:paraId="2AD9DF8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02" w:type="pct"/>
          </w:tcPr>
          <w:p w14:paraId="03612C0B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tele</w:t>
            </w: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metry</w:t>
            </w:r>
          </w:p>
        </w:tc>
        <w:tc>
          <w:tcPr>
            <w:tcW w:w="1453" w:type="pct"/>
          </w:tcPr>
          <w:p w14:paraId="41E347FC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raw_events</w:t>
            </w:r>
          </w:p>
        </w:tc>
        <w:tc>
          <w:tcPr>
            <w:tcW w:w="1256" w:type="pct"/>
          </w:tcPr>
          <w:p w14:paraId="474D6BE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Partitioned Master (Timestamptz)</w:t>
            </w:r>
          </w:p>
        </w:tc>
        <w:tc>
          <w:tcPr>
            <w:tcW w:w="1414" w:type="pct"/>
          </w:tcPr>
          <w:p w14:paraId="0031899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Preservasi 100% data log mentah asli untuk bukti hukum forensik</w:t>
            </w:r>
          </w:p>
        </w:tc>
      </w:tr>
      <w:tr w:rsidR="00D04809" w:rsidRPr="00D04809" w14:paraId="036F9172" w14:textId="77777777" w:rsidTr="00D04809">
        <w:tc>
          <w:tcPr>
            <w:tcW w:w="276" w:type="pct"/>
          </w:tcPr>
          <w:p w14:paraId="7CD9571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02" w:type="pct"/>
          </w:tcPr>
          <w:p w14:paraId="38EDF53E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telemetry</w:t>
            </w:r>
          </w:p>
        </w:tc>
        <w:tc>
          <w:tcPr>
            <w:tcW w:w="1453" w:type="pct"/>
          </w:tcPr>
          <w:p w14:paraId="1BE6209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normalized_events</w:t>
            </w:r>
          </w:p>
        </w:tc>
        <w:tc>
          <w:tcPr>
            <w:tcW w:w="1256" w:type="pct"/>
          </w:tcPr>
          <w:p w14:paraId="667C3ABB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Partitioned Master (Processed_at)</w:t>
            </w:r>
          </w:p>
        </w:tc>
        <w:tc>
          <w:tcPr>
            <w:tcW w:w="1414" w:type="pct"/>
          </w:tcPr>
          <w:p w14:paraId="46E612E4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Event ternormalisasi skema CEM dengan tag taktik MITRE ATT&amp;CK</w:t>
            </w:r>
          </w:p>
        </w:tc>
      </w:tr>
      <w:tr w:rsidR="00D04809" w:rsidRPr="00D04809" w14:paraId="5279ACBC" w14:textId="77777777" w:rsidTr="00D04809">
        <w:tc>
          <w:tcPr>
            <w:tcW w:w="276" w:type="pct"/>
          </w:tcPr>
          <w:p w14:paraId="6A2B6301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02" w:type="pct"/>
          </w:tcPr>
          <w:p w14:paraId="1D821E1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enrichment</w:t>
            </w:r>
          </w:p>
        </w:tc>
        <w:tc>
          <w:tcPr>
            <w:tcW w:w="1453" w:type="pct"/>
          </w:tcPr>
          <w:p w14:paraId="23C9347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asset_inventory_context</w:t>
            </w:r>
          </w:p>
        </w:tc>
        <w:tc>
          <w:tcPr>
            <w:tcW w:w="1256" w:type="pct"/>
          </w:tcPr>
          <w:p w14:paraId="78EDB5F4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526A48DA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Katalog aset produksi, pemetaan IP, dan tier kekritisan (Crown Jewels)</w:t>
            </w:r>
          </w:p>
        </w:tc>
      </w:tr>
      <w:tr w:rsidR="00D04809" w:rsidRPr="00D04809" w14:paraId="3BA91D61" w14:textId="77777777" w:rsidTr="00D04809">
        <w:tc>
          <w:tcPr>
            <w:tcW w:w="276" w:type="pct"/>
          </w:tcPr>
          <w:p w14:paraId="20E48476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02" w:type="pct"/>
          </w:tcPr>
          <w:p w14:paraId="79BA666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enrichment</w:t>
            </w:r>
          </w:p>
        </w:tc>
        <w:tc>
          <w:tcPr>
            <w:tcW w:w="1453" w:type="pct"/>
          </w:tcPr>
          <w:p w14:paraId="7EF663F6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identity_context</w:t>
            </w:r>
          </w:p>
        </w:tc>
        <w:tc>
          <w:tcPr>
            <w:tcW w:w="1256" w:type="pct"/>
          </w:tcPr>
          <w:p w14:paraId="4D65D49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5698B6C9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Katalog akun pengguna, hak privilese, dan baseline risiko</w:t>
            </w:r>
          </w:p>
        </w:tc>
      </w:tr>
      <w:tr w:rsidR="00D04809" w:rsidRPr="00D04809" w14:paraId="6642512A" w14:textId="77777777" w:rsidTr="00D04809">
        <w:tc>
          <w:tcPr>
            <w:tcW w:w="276" w:type="pct"/>
          </w:tcPr>
          <w:p w14:paraId="61D8DC57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602" w:type="pct"/>
          </w:tcPr>
          <w:p w14:paraId="5789E81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enrichment</w:t>
            </w:r>
          </w:p>
        </w:tc>
        <w:tc>
          <w:tcPr>
            <w:tcW w:w="1453" w:type="pct"/>
          </w:tcPr>
          <w:p w14:paraId="6099CF89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threat_intelligence_iocs</w:t>
            </w:r>
          </w:p>
        </w:tc>
        <w:tc>
          <w:tcPr>
            <w:tcW w:w="1256" w:type="pct"/>
          </w:tcPr>
          <w:p w14:paraId="07BBAD6A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45F86B89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Database reputasi indikator ancaman (IP, Domain, Hash IoC)</w:t>
            </w:r>
          </w:p>
        </w:tc>
      </w:tr>
      <w:tr w:rsidR="00D04809" w:rsidRPr="00D04809" w14:paraId="0D066F0C" w14:textId="77777777" w:rsidTr="00D04809">
        <w:tc>
          <w:tcPr>
            <w:tcW w:w="276" w:type="pct"/>
          </w:tcPr>
          <w:p w14:paraId="1930B5C4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02" w:type="pct"/>
          </w:tcPr>
          <w:p w14:paraId="7CB9DD31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suppression</w:t>
            </w:r>
          </w:p>
        </w:tc>
        <w:tc>
          <w:tcPr>
            <w:tcW w:w="1453" w:type="pct"/>
          </w:tcPr>
          <w:p w14:paraId="01679B76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maintenance_windows</w:t>
            </w:r>
          </w:p>
        </w:tc>
        <w:tc>
          <w:tcPr>
            <w:tcW w:w="1256" w:type="pct"/>
          </w:tcPr>
          <w:p w14:paraId="7EC3BEAD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3676F79F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Jadwal pemeliharaan resmi S4 untuk pengurangan skor otomatis</w:t>
            </w:r>
          </w:p>
        </w:tc>
      </w:tr>
      <w:tr w:rsidR="00D04809" w:rsidRPr="00D04809" w14:paraId="0F6AEC92" w14:textId="77777777" w:rsidTr="00D04809">
        <w:tc>
          <w:tcPr>
            <w:tcW w:w="276" w:type="pct"/>
          </w:tcPr>
          <w:p w14:paraId="4ADEE27F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602" w:type="pct"/>
          </w:tcPr>
          <w:p w14:paraId="63A3F26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suppression</w:t>
            </w:r>
          </w:p>
        </w:tc>
        <w:tc>
          <w:tcPr>
            <w:tcW w:w="1453" w:type="pct"/>
          </w:tcPr>
          <w:p w14:paraId="2396880C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suppression_rules</w:t>
            </w:r>
          </w:p>
        </w:tc>
        <w:tc>
          <w:tcPr>
            <w:tcW w:w="1256" w:type="pct"/>
          </w:tcPr>
          <w:p w14:paraId="60EE042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 xml:space="preserve">Base Table </w:t>
            </w: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(Check SoD)</w:t>
            </w:r>
          </w:p>
        </w:tc>
        <w:tc>
          <w:tcPr>
            <w:tcW w:w="1414" w:type="pct"/>
          </w:tcPr>
          <w:p w14:paraId="26225D8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Tabel aturan supresi S1-S5 berbatas waktu dengan Separation of Duties</w:t>
            </w:r>
          </w:p>
        </w:tc>
      </w:tr>
      <w:tr w:rsidR="00D04809" w:rsidRPr="00D04809" w14:paraId="1BD77198" w14:textId="77777777" w:rsidTr="00D04809">
        <w:tc>
          <w:tcPr>
            <w:tcW w:w="276" w:type="pct"/>
          </w:tcPr>
          <w:p w14:paraId="14025F6E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602" w:type="pct"/>
          </w:tcPr>
          <w:p w14:paraId="3A13AFE4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suppression</w:t>
            </w:r>
          </w:p>
        </w:tc>
        <w:tc>
          <w:tcPr>
            <w:tcW w:w="1453" w:type="pct"/>
          </w:tcPr>
          <w:p w14:paraId="204F88C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suppression_audit_log</w:t>
            </w:r>
          </w:p>
        </w:tc>
        <w:tc>
          <w:tcPr>
            <w:tcW w:w="1256" w:type="pct"/>
          </w:tcPr>
          <w:p w14:paraId="263E468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3E2490E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Jejak audit modifikasi aturan supresi untuk kepatuhan GRC</w:t>
            </w:r>
          </w:p>
        </w:tc>
      </w:tr>
      <w:tr w:rsidR="00D04809" w:rsidRPr="00D04809" w14:paraId="0B52CC80" w14:textId="77777777" w:rsidTr="00D04809">
        <w:tc>
          <w:tcPr>
            <w:tcW w:w="276" w:type="pct"/>
          </w:tcPr>
          <w:p w14:paraId="332D83E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9</w:t>
            </w:r>
          </w:p>
        </w:tc>
        <w:tc>
          <w:tcPr>
            <w:tcW w:w="602" w:type="pct"/>
          </w:tcPr>
          <w:p w14:paraId="7428EFEE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suppression</w:t>
            </w:r>
          </w:p>
        </w:tc>
        <w:tc>
          <w:tcPr>
            <w:tcW w:w="1453" w:type="pct"/>
          </w:tcPr>
          <w:p w14:paraId="6189693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aggregated_alerts</w:t>
            </w:r>
          </w:p>
        </w:tc>
        <w:tc>
          <w:tcPr>
            <w:tcW w:w="1256" w:type="pct"/>
          </w:tcPr>
          <w:p w14:paraId="6F95F7E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67538CF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 xml:space="preserve">Objek </w:t>
            </w: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 xml:space="preserve">peringatan terkompresi hasil deduplikasi sliding </w:t>
            </w:r>
            <w:r w:rsidRPr="00D04809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window 15m</w:t>
            </w:r>
          </w:p>
        </w:tc>
      </w:tr>
      <w:tr w:rsidR="00D04809" w:rsidRPr="00D04809" w14:paraId="18A09AFB" w14:textId="77777777" w:rsidTr="00D04809">
        <w:tc>
          <w:tcPr>
            <w:tcW w:w="276" w:type="pct"/>
          </w:tcPr>
          <w:p w14:paraId="027C00E7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10</w:t>
            </w:r>
          </w:p>
        </w:tc>
        <w:tc>
          <w:tcPr>
            <w:tcW w:w="602" w:type="pct"/>
          </w:tcPr>
          <w:p w14:paraId="6A3B4C7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suppression</w:t>
            </w:r>
          </w:p>
        </w:tc>
        <w:tc>
          <w:tcPr>
            <w:tcW w:w="1453" w:type="pct"/>
          </w:tcPr>
          <w:p w14:paraId="7FF0A9E6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aggregate_evidence_mapping</w:t>
            </w:r>
          </w:p>
        </w:tc>
        <w:tc>
          <w:tcPr>
            <w:tcW w:w="1256" w:type="pct"/>
          </w:tcPr>
          <w:p w14:paraId="4EB2D06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 xml:space="preserve">Junction </w:t>
            </w:r>
            <w:proofErr w:type="gramStart"/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M:N</w:t>
            </w:r>
            <w:proofErr w:type="gramEnd"/>
            <w:r w:rsidRPr="00D04809">
              <w:rPr>
                <w:rFonts w:asciiTheme="majorHAnsi" w:hAnsiTheme="majorHAnsi" w:cstheme="majorHAnsi"/>
                <w:sz w:val="20"/>
                <w:szCs w:val="20"/>
              </w:rPr>
              <w:t xml:space="preserve"> Table</w:t>
            </w:r>
          </w:p>
        </w:tc>
        <w:tc>
          <w:tcPr>
            <w:tcW w:w="1414" w:type="pct"/>
          </w:tcPr>
          <w:p w14:paraId="3CF185A3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Tautan relasi objek agregasi ke setiap baris log mentah asli</w:t>
            </w:r>
          </w:p>
        </w:tc>
      </w:tr>
      <w:tr w:rsidR="00D04809" w:rsidRPr="00D04809" w14:paraId="767C87A2" w14:textId="77777777" w:rsidTr="00D04809">
        <w:tc>
          <w:tcPr>
            <w:tcW w:w="276" w:type="pct"/>
          </w:tcPr>
          <w:p w14:paraId="64663DB6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11</w:t>
            </w:r>
          </w:p>
        </w:tc>
        <w:tc>
          <w:tcPr>
            <w:tcW w:w="602" w:type="pct"/>
          </w:tcPr>
          <w:p w14:paraId="415A679A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correlation</w:t>
            </w:r>
          </w:p>
        </w:tc>
        <w:tc>
          <w:tcPr>
            <w:tcW w:w="1453" w:type="pct"/>
          </w:tcPr>
          <w:p w14:paraId="44455BC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correlation_rules</w:t>
            </w:r>
          </w:p>
        </w:tc>
        <w:tc>
          <w:tcPr>
            <w:tcW w:w="1256" w:type="pct"/>
          </w:tcPr>
          <w:p w14:paraId="33DEE38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08CB335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 xml:space="preserve">Definisi 5 skenario </w:t>
            </w: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rantai serangan multi-stage (Kill Chain)</w:t>
            </w:r>
          </w:p>
        </w:tc>
      </w:tr>
      <w:tr w:rsidR="00D04809" w:rsidRPr="00D04809" w14:paraId="7A0DD134" w14:textId="77777777" w:rsidTr="00D04809">
        <w:tc>
          <w:tcPr>
            <w:tcW w:w="276" w:type="pct"/>
          </w:tcPr>
          <w:p w14:paraId="226C508F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602" w:type="pct"/>
          </w:tcPr>
          <w:p w14:paraId="305B376C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correlation</w:t>
            </w:r>
          </w:p>
        </w:tc>
        <w:tc>
          <w:tcPr>
            <w:tcW w:w="1453" w:type="pct"/>
          </w:tcPr>
          <w:p w14:paraId="3669E9ED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correlated_incidents</w:t>
            </w:r>
          </w:p>
        </w:tc>
        <w:tc>
          <w:tcPr>
            <w:tcW w:w="1256" w:type="pct"/>
          </w:tcPr>
          <w:p w14:paraId="183FEBB6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67426AF3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Objek insiden gabungan yang berhasil direkonstruksi</w:t>
            </w:r>
          </w:p>
        </w:tc>
      </w:tr>
      <w:tr w:rsidR="00D04809" w:rsidRPr="00D04809" w14:paraId="448D40DE" w14:textId="77777777" w:rsidTr="00D04809">
        <w:tc>
          <w:tcPr>
            <w:tcW w:w="276" w:type="pct"/>
          </w:tcPr>
          <w:p w14:paraId="7F1FAB6D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  <w:tc>
          <w:tcPr>
            <w:tcW w:w="602" w:type="pct"/>
          </w:tcPr>
          <w:p w14:paraId="7D00786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correlation</w:t>
            </w:r>
          </w:p>
        </w:tc>
        <w:tc>
          <w:tcPr>
            <w:tcW w:w="1453" w:type="pct"/>
          </w:tcPr>
          <w:p w14:paraId="1617A804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incident_stages</w:t>
            </w:r>
          </w:p>
        </w:tc>
        <w:tc>
          <w:tcPr>
            <w:tcW w:w="1256" w:type="pct"/>
          </w:tcPr>
          <w:p w14:paraId="2495558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0FFEFF1A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Urutan kronologis tahapan serangan dalam insiden</w:t>
            </w:r>
          </w:p>
        </w:tc>
      </w:tr>
      <w:tr w:rsidR="00D04809" w:rsidRPr="00D04809" w14:paraId="0E8F7CB1" w14:textId="77777777" w:rsidTr="00D04809">
        <w:tc>
          <w:tcPr>
            <w:tcW w:w="276" w:type="pct"/>
          </w:tcPr>
          <w:p w14:paraId="79FE55DE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14</w:t>
            </w:r>
          </w:p>
        </w:tc>
        <w:tc>
          <w:tcPr>
            <w:tcW w:w="602" w:type="pct"/>
          </w:tcPr>
          <w:p w14:paraId="2D3121F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risk_engine</w:t>
            </w:r>
          </w:p>
        </w:tc>
        <w:tc>
          <w:tcPr>
            <w:tcW w:w="1453" w:type="pct"/>
          </w:tcPr>
          <w:p w14:paraId="50F074AB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risk_scoring_factors</w:t>
            </w:r>
          </w:p>
        </w:tc>
        <w:tc>
          <w:tcPr>
            <w:tcW w:w="1256" w:type="pct"/>
          </w:tcPr>
          <w:p w14:paraId="33B8949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4B296834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Rincian transparansi bobot skor faktor risiko per insiden</w:t>
            </w:r>
          </w:p>
        </w:tc>
      </w:tr>
      <w:tr w:rsidR="00D04809" w:rsidRPr="00D04809" w14:paraId="09977769" w14:textId="77777777" w:rsidTr="00D04809">
        <w:tc>
          <w:tcPr>
            <w:tcW w:w="276" w:type="pct"/>
          </w:tcPr>
          <w:p w14:paraId="31AF580F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15</w:t>
            </w:r>
          </w:p>
        </w:tc>
        <w:tc>
          <w:tcPr>
            <w:tcW w:w="602" w:type="pct"/>
          </w:tcPr>
          <w:p w14:paraId="2ED21569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risk_engine</w:t>
            </w:r>
          </w:p>
        </w:tc>
        <w:tc>
          <w:tcPr>
            <w:tcW w:w="1453" w:type="pct"/>
          </w:tcPr>
          <w:p w14:paraId="4C8C2E71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calculated_risk_scores</w:t>
            </w:r>
          </w:p>
        </w:tc>
        <w:tc>
          <w:tcPr>
            <w:tcW w:w="1256" w:type="pct"/>
          </w:tcPr>
          <w:p w14:paraId="38DE81F6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 (Check Invariant)</w:t>
            </w:r>
          </w:p>
        </w:tc>
        <w:tc>
          <w:tcPr>
            <w:tcW w:w="1414" w:type="pct"/>
          </w:tcPr>
          <w:p w14:paraId="4B2C9D3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Skor risiko total (0-100) dan prioritas operasional (P0-P4)</w:t>
            </w:r>
          </w:p>
        </w:tc>
      </w:tr>
      <w:tr w:rsidR="00D04809" w:rsidRPr="00D04809" w14:paraId="0D2DBF88" w14:textId="77777777" w:rsidTr="00D04809">
        <w:tc>
          <w:tcPr>
            <w:tcW w:w="276" w:type="pct"/>
          </w:tcPr>
          <w:p w14:paraId="12CCAE5F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602" w:type="pct"/>
          </w:tcPr>
          <w:p w14:paraId="514A20F7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soc_ops</w:t>
            </w:r>
          </w:p>
        </w:tc>
        <w:tc>
          <w:tcPr>
            <w:tcW w:w="1453" w:type="pct"/>
          </w:tcPr>
          <w:p w14:paraId="23DF954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soc_triage_queue</w:t>
            </w:r>
          </w:p>
        </w:tc>
        <w:tc>
          <w:tcPr>
            <w:tcW w:w="1256" w:type="pct"/>
          </w:tcPr>
          <w:p w14:paraId="536D72D8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28DBA3F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Antrean tiket triage aktif analis SOC dengan SLA deadline</w:t>
            </w:r>
          </w:p>
        </w:tc>
      </w:tr>
      <w:tr w:rsidR="00D04809" w:rsidRPr="00D04809" w14:paraId="2B2A2516" w14:textId="77777777" w:rsidTr="00D04809">
        <w:tc>
          <w:tcPr>
            <w:tcW w:w="276" w:type="pct"/>
          </w:tcPr>
          <w:p w14:paraId="2F19697F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17</w:t>
            </w:r>
          </w:p>
        </w:tc>
        <w:tc>
          <w:tcPr>
            <w:tcW w:w="602" w:type="pct"/>
          </w:tcPr>
          <w:p w14:paraId="7CF1039A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soc_ops</w:t>
            </w:r>
          </w:p>
        </w:tc>
        <w:tc>
          <w:tcPr>
            <w:tcW w:w="1453" w:type="pct"/>
          </w:tcPr>
          <w:p w14:paraId="45241C5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incident_investigation_notes</w:t>
            </w:r>
          </w:p>
        </w:tc>
        <w:tc>
          <w:tcPr>
            <w:tcW w:w="1256" w:type="pct"/>
          </w:tcPr>
          <w:p w14:paraId="155EFC29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77FC753A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Buku catatan investigasi kolaboratif analis SOC</w:t>
            </w:r>
          </w:p>
        </w:tc>
      </w:tr>
      <w:tr w:rsidR="00D04809" w:rsidRPr="00D04809" w14:paraId="2A9162B2" w14:textId="77777777" w:rsidTr="00D04809">
        <w:tc>
          <w:tcPr>
            <w:tcW w:w="276" w:type="pct"/>
          </w:tcPr>
          <w:p w14:paraId="0ADD8FF1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18</w:t>
            </w:r>
          </w:p>
        </w:tc>
        <w:tc>
          <w:tcPr>
            <w:tcW w:w="602" w:type="pct"/>
          </w:tcPr>
          <w:p w14:paraId="70E7C6F2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soc_ops</w:t>
            </w:r>
          </w:p>
        </w:tc>
        <w:tc>
          <w:tcPr>
            <w:tcW w:w="1453" w:type="pct"/>
          </w:tcPr>
          <w:p w14:paraId="06C82D2D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incident_response_actions</w:t>
            </w:r>
          </w:p>
        </w:tc>
        <w:tc>
          <w:tcPr>
            <w:tcW w:w="1256" w:type="pct"/>
          </w:tcPr>
          <w:p w14:paraId="4879C32E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02419F85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 xml:space="preserve">Log tindakan </w:t>
            </w: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mitigasi dan containment aktif (SOAR)</w:t>
            </w:r>
          </w:p>
        </w:tc>
      </w:tr>
      <w:tr w:rsidR="00D04809" w:rsidRPr="00D04809" w14:paraId="13FF207E" w14:textId="77777777" w:rsidTr="00D04809">
        <w:tc>
          <w:tcPr>
            <w:tcW w:w="276" w:type="pct"/>
          </w:tcPr>
          <w:p w14:paraId="2684150B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19</w:t>
            </w:r>
          </w:p>
        </w:tc>
        <w:tc>
          <w:tcPr>
            <w:tcW w:w="602" w:type="pct"/>
          </w:tcPr>
          <w:p w14:paraId="34281153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metrics</w:t>
            </w:r>
          </w:p>
        </w:tc>
        <w:tc>
          <w:tcPr>
            <w:tcW w:w="1453" w:type="pct"/>
          </w:tcPr>
          <w:p w14:paraId="002D7E3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operational_metrics_daily</w:t>
            </w:r>
          </w:p>
        </w:tc>
        <w:tc>
          <w:tcPr>
            <w:tcW w:w="1256" w:type="pct"/>
          </w:tcPr>
          <w:p w14:paraId="6C4EB387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Base Table</w:t>
            </w:r>
          </w:p>
        </w:tc>
        <w:tc>
          <w:tcPr>
            <w:tcW w:w="1414" w:type="pct"/>
          </w:tcPr>
          <w:p w14:paraId="224A35D0" w14:textId="77777777" w:rsidR="009F7EBD" w:rsidRPr="00D04809" w:rsidRDefault="00D04809" w:rsidP="00D04809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04809">
              <w:rPr>
                <w:rFonts w:asciiTheme="majorHAnsi" w:hAnsiTheme="majorHAnsi" w:cstheme="majorHAnsi"/>
                <w:sz w:val="20"/>
                <w:szCs w:val="20"/>
              </w:rPr>
              <w:t>Rekapitulasi harian kinerja pipeline dan rasio reduksi kebisingan</w:t>
            </w:r>
          </w:p>
        </w:tc>
      </w:tr>
    </w:tbl>
    <w:p w14:paraId="3D8E3087" w14:textId="5D4560F0" w:rsidR="009F7EBD" w:rsidRPr="00D04809" w:rsidRDefault="00D04809" w:rsidP="00D04809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D04809">
        <w:rPr>
          <w:rFonts w:asciiTheme="majorHAnsi" w:hAnsiTheme="majorHAnsi" w:cstheme="majorHAnsi"/>
          <w:b/>
          <w:sz w:val="20"/>
          <w:szCs w:val="20"/>
        </w:rPr>
        <w:t xml:space="preserve">Check Invariants &amp; </w:t>
      </w:r>
      <w:proofErr w:type="spellStart"/>
      <w:r w:rsidRPr="00D04809">
        <w:rPr>
          <w:rFonts w:asciiTheme="majorHAnsi" w:hAnsiTheme="majorHAnsi" w:cstheme="majorHAnsi"/>
          <w:b/>
          <w:sz w:val="20"/>
          <w:szCs w:val="20"/>
        </w:rPr>
        <w:t>Penegakan</w:t>
      </w:r>
      <w:proofErr w:type="spellEnd"/>
      <w:r w:rsidRPr="00D04809">
        <w:rPr>
          <w:rFonts w:asciiTheme="majorHAnsi" w:hAnsiTheme="majorHAnsi" w:cstheme="majorHAnsi"/>
          <w:b/>
          <w:sz w:val="20"/>
          <w:szCs w:val="20"/>
        </w:rPr>
        <w:t xml:space="preserve"> Integritas Matematis</w:t>
      </w:r>
    </w:p>
    <w:p w14:paraId="3D4D2A4E" w14:textId="77777777" w:rsidR="00D04809" w:rsidRDefault="00D04809" w:rsidP="00D04809">
      <w:pPr>
        <w:spacing w:after="80" w:line="360" w:lineRule="auto"/>
        <w:ind w:firstLine="36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D04809">
        <w:rPr>
          <w:rFonts w:asciiTheme="majorHAnsi" w:hAnsiTheme="majorHAnsi" w:cstheme="majorHAnsi"/>
          <w:b/>
          <w:sz w:val="20"/>
          <w:szCs w:val="20"/>
        </w:rPr>
        <w:t xml:space="preserve">[DATABASE INTEGRITY INVARIANTS] </w:t>
      </w:r>
    </w:p>
    <w:p w14:paraId="07B7DE3E" w14:textId="7AE28485" w:rsidR="00D04809" w:rsidRDefault="00D04809" w:rsidP="00D04809">
      <w:pPr>
        <w:pStyle w:val="ListParagraph"/>
        <w:numPr>
          <w:ilvl w:val="0"/>
          <w:numId w:val="11"/>
        </w:numPr>
        <w:spacing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chk_separation_of_duties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Tabel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suppression_rules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>):</w:t>
      </w:r>
      <w:r w:rsidRPr="00D04809">
        <w:rPr>
          <w:rFonts w:asciiTheme="majorHAnsi" w:hAnsiTheme="majorHAnsi" w:cstheme="majorHAnsi"/>
          <w:sz w:val="20"/>
          <w:szCs w:val="20"/>
        </w:rPr>
        <w:br/>
        <w:t xml:space="preserve">   CHECK (author &lt;&gt; approver) </w:t>
      </w:r>
      <w:proofErr w:type="spellStart"/>
      <w:r>
        <w:rPr>
          <w:rFonts w:asciiTheme="majorHAnsi" w:hAnsiTheme="majorHAnsi" w:cstheme="majorHAnsi"/>
          <w:sz w:val="20"/>
          <w:szCs w:val="20"/>
        </w:rPr>
        <w:t>untuk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Menjamin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pembuat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tidak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bisa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menyetujui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supresinya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sendir</w:t>
      </w:r>
      <w:r>
        <w:rPr>
          <w:rFonts w:asciiTheme="majorHAnsi" w:hAnsiTheme="majorHAnsi" w:cstheme="majorHAnsi"/>
          <w:sz w:val="20"/>
          <w:szCs w:val="20"/>
        </w:rPr>
        <w:t>i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14:paraId="37868914" w14:textId="5424B986" w:rsidR="009F7EBD" w:rsidRPr="00D04809" w:rsidRDefault="00D04809" w:rsidP="00D04809">
      <w:pPr>
        <w:pStyle w:val="ListParagraph"/>
        <w:numPr>
          <w:ilvl w:val="0"/>
          <w:numId w:val="11"/>
        </w:numPr>
        <w:spacing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chk_score_priority_alignment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(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Tabel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calculated_risk_scores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>):</w:t>
      </w:r>
      <w:r w:rsidRPr="00D04809">
        <w:rPr>
          <w:rFonts w:asciiTheme="majorHAnsi" w:hAnsiTheme="majorHAnsi" w:cstheme="majorHAnsi"/>
          <w:sz w:val="20"/>
          <w:szCs w:val="20"/>
        </w:rPr>
        <w:br/>
        <w:t xml:space="preserve">   CHECK ((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total_score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BETWEEN 81 AND 100 AND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soc_priority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= 'P0') OR</w:t>
      </w:r>
      <w:r w:rsidRPr="00D04809">
        <w:rPr>
          <w:rFonts w:asciiTheme="majorHAnsi" w:hAnsiTheme="majorHAnsi" w:cstheme="majorHAnsi"/>
          <w:sz w:val="20"/>
          <w:szCs w:val="20"/>
        </w:rPr>
        <w:br/>
        <w:t xml:space="preserve">       </w:t>
      </w:r>
      <w:proofErr w:type="gramStart"/>
      <w:r w:rsidRPr="00D04809">
        <w:rPr>
          <w:rFonts w:asciiTheme="majorHAnsi" w:hAnsiTheme="majorHAnsi" w:cstheme="majorHAnsi"/>
          <w:sz w:val="20"/>
          <w:szCs w:val="20"/>
        </w:rPr>
        <w:t xml:space="preserve">   (</w:t>
      </w:r>
      <w:proofErr w:type="spellStart"/>
      <w:proofErr w:type="gramEnd"/>
      <w:r w:rsidRPr="00D04809">
        <w:rPr>
          <w:rFonts w:asciiTheme="majorHAnsi" w:hAnsiTheme="majorHAnsi" w:cstheme="majorHAnsi"/>
          <w:sz w:val="20"/>
          <w:szCs w:val="20"/>
        </w:rPr>
        <w:t>total_score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BETWEEN 61 AND 80  AND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soc_priority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= 'P1') OR</w:t>
      </w:r>
      <w:r w:rsidRPr="00D04809">
        <w:rPr>
          <w:rFonts w:asciiTheme="majorHAnsi" w:hAnsiTheme="majorHAnsi" w:cstheme="majorHAnsi"/>
          <w:sz w:val="20"/>
          <w:szCs w:val="20"/>
        </w:rPr>
        <w:br/>
        <w:t xml:space="preserve">          (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total_score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BETWEEN 41 AND 60  AND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soc_priority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= 'P2') OR</w:t>
      </w:r>
      <w:r w:rsidRPr="00D04809">
        <w:rPr>
          <w:rFonts w:asciiTheme="majorHAnsi" w:hAnsiTheme="majorHAnsi" w:cstheme="majorHAnsi"/>
          <w:sz w:val="20"/>
          <w:szCs w:val="20"/>
        </w:rPr>
        <w:br/>
        <w:t xml:space="preserve">          (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total_score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BETWEEN 21 AND 40  AND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soc_priority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= 'P3') OR</w:t>
      </w:r>
      <w:r w:rsidRPr="00D04809">
        <w:rPr>
          <w:rFonts w:asciiTheme="majorHAnsi" w:hAnsiTheme="majorHAnsi" w:cstheme="majorHAnsi"/>
          <w:sz w:val="20"/>
          <w:szCs w:val="20"/>
        </w:rPr>
        <w:br/>
        <w:t xml:space="preserve">          (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total_score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BETWEEN 0  AND 20  AND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soc_priority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= 'P4'))</w:t>
      </w:r>
      <w:r w:rsidRPr="00D04809">
        <w:rPr>
          <w:rFonts w:asciiTheme="majorHAnsi" w:hAnsiTheme="majorHAnsi" w:cstheme="majorHAnsi"/>
          <w:sz w:val="20"/>
          <w:szCs w:val="20"/>
        </w:rPr>
        <w:br/>
        <w:t xml:space="preserve">   </w:t>
      </w:r>
      <w:proofErr w:type="spellStart"/>
      <w:r>
        <w:rPr>
          <w:rFonts w:asciiTheme="majorHAnsi" w:hAnsiTheme="majorHAnsi" w:cstheme="majorHAnsi"/>
          <w:sz w:val="20"/>
          <w:szCs w:val="20"/>
        </w:rPr>
        <w:t>untuk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Menjamin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tidak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ada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anomali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atau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manipulasi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prioritas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tiket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D04809">
        <w:rPr>
          <w:rFonts w:asciiTheme="majorHAnsi" w:hAnsiTheme="majorHAnsi" w:cstheme="majorHAnsi"/>
          <w:sz w:val="20"/>
          <w:szCs w:val="20"/>
        </w:rPr>
        <w:t>antrean</w:t>
      </w:r>
      <w:proofErr w:type="spellEnd"/>
      <w:r w:rsidRPr="00D04809">
        <w:rPr>
          <w:rFonts w:asciiTheme="majorHAnsi" w:hAnsiTheme="majorHAnsi" w:cstheme="majorHAnsi"/>
          <w:sz w:val="20"/>
          <w:szCs w:val="20"/>
        </w:rPr>
        <w:t xml:space="preserve"> SOC.</w:t>
      </w:r>
    </w:p>
    <w:sectPr w:rsidR="009F7EBD" w:rsidRPr="00D0480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00B06"/>
    <w:multiLevelType w:val="hybridMultilevel"/>
    <w:tmpl w:val="B644CB48"/>
    <w:lvl w:ilvl="0" w:tplc="CFFC95E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D81175"/>
    <w:multiLevelType w:val="hybridMultilevel"/>
    <w:tmpl w:val="E6A4D9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7EBD"/>
    <w:rsid w:val="00AA1D8D"/>
    <w:rsid w:val="00B47730"/>
    <w:rsid w:val="00CB0664"/>
    <w:rsid w:val="00D04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6AA04"/>
  <w14:defaultImageDpi w14:val="33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2026-08-31T04:10:00Z</dcterms:modified>
  <cp:category/>
</cp:coreProperties>
</file>