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b/>
          <w:color w:val="64748B"/>
          <w:sz w:val="16"/>
        </w:rPr>
        <w:t>ENTERPRISE SECURITY SPECIFICATION | REF: SEC-DOC-PHASE8-WORKFLOW | SOC INCIDENT WORKFLOW</w:t>
      </w:r>
    </w:p>
    <w:p>
      <w:pPr>
        <w:spacing w:after="40"/>
      </w:pPr>
      <w:r>
        <w:rPr>
          <w:rFonts w:ascii="Arial" w:hAnsi="Arial"/>
          <w:b/>
          <w:color w:val="1E3A8A"/>
          <w:sz w:val="32"/>
        </w:rPr>
        <w:t>SPESIFIKASI ALUR KERJA INSIDEN SOC &amp; TRIAGE QUEUE (PHASE 8)</w:t>
      </w:r>
    </w:p>
    <w:p>
      <w:pPr>
        <w:spacing w:after="160"/>
      </w:pPr>
      <w:r>
        <w:rPr>
          <w:rFonts w:ascii="Arial" w:hAnsi="Arial"/>
          <w:i/>
          <w:color w:val="475569"/>
          <w:sz w:val="21"/>
        </w:rPr>
        <w:t>Unified Incident Object, Tiered Analyst SOP, SLA Enforcement &amp; Tuning Feedback Loop</w:t>
      </w:r>
    </w:p>
    <w:p>
      <w:pPr>
        <w:spacing w:after="160"/>
      </w:pPr>
      <w:r>
        <w:rPr>
          <w:color w:val="CBD5E1"/>
        </w:rPr>
        <w:t>――――――――――――――――――――――――――――――――――――――――――――――――――――――――――――――――――――</w:t>
      </w:r>
    </w:p>
    <w:p>
      <w:pPr>
        <w:spacing w:before="160" w:after="40"/>
      </w:pPr>
    </w:p>
    <w:tbl>
      <w:tblPr>
        <w:tblW w:type="auto" w:w="0"/>
        <w:jc w:val="center"/>
        <w:tblLook w:firstColumn="1" w:firstRow="1" w:lastColumn="0" w:lastRow="0" w:noHBand="0" w:noVBand="1" w:val="04A0"/>
      </w:tblPr>
      <w:tblGrid>
        <w:gridCol w:w="10512"/>
      </w:tblGrid>
      <w:tr>
        <w:tc>
          <w:tcPr>
            <w:tcW w:type="dxa" w:w="9360"/>
            <w:shd w:fill="1E3A8A"/>
            <w:tcMar>
              <w:top w:w="50" w:type="dxa"/>
              <w:bottom w:w="50" w:type="dxa"/>
              <w:left w:w="100" w:type="dxa"/>
              <w:right w:w="100" w:type="dxa"/>
            </w:tcMar>
          </w:tcPr>
          <w:p>
            <w:pPr>
              <w:jc w:val="center"/>
            </w:pPr>
            <w:r>
              <w:rPr>
                <w:rFonts w:ascii="Arial" w:hAnsi="Arial"/>
                <w:b/>
                <w:color w:val="FFFFFF"/>
                <w:sz w:val="19"/>
              </w:rPr>
              <w:t>1. Ringkasan &amp; Filosofi Alur Kerja SOC (Phase 8)</w:t>
            </w:r>
          </w:p>
        </w:tc>
      </w:tr>
    </w:tbl>
    <w:p>
      <w:pPr>
        <w:spacing w:after="40"/>
      </w:pPr>
    </w:p>
    <w:p>
      <w:r>
        <w:rPr>
          <w:rFonts w:ascii="Arial" w:hAnsi="Arial"/>
          <w:sz w:val="17"/>
        </w:rPr>
        <w:t>Fase 8 (Build the SOC Incident Workflow) menetapkan standar operasional bahwa analis SOC tidak boleh menerima alert mentah sebagai item kerja utama. Item kerja analis adalah 'Correlated Incident' yang telah diperkaya konteks, dideduplikasi, dikorelasikan, dan diberi skor risiko, serta memiliki siklus umpan balik (Tuning Feedback Loop).</w:t>
      </w:r>
    </w:p>
    <w:p>
      <w:pPr>
        <w:spacing w:before="160" w:after="40"/>
      </w:pPr>
    </w:p>
    <w:tbl>
      <w:tblPr>
        <w:tblW w:type="auto" w:w="0"/>
        <w:jc w:val="center"/>
        <w:tblLook w:firstColumn="1" w:firstRow="1" w:lastColumn="0" w:lastRow="0" w:noHBand="0" w:noVBand="1" w:val="04A0"/>
      </w:tblPr>
      <w:tblGrid>
        <w:gridCol w:w="10512"/>
      </w:tblGrid>
      <w:tr>
        <w:tc>
          <w:tcPr>
            <w:tcW w:type="dxa" w:w="9360"/>
            <w:shd w:fill="1E3A8A"/>
            <w:tcMar>
              <w:top w:w="50" w:type="dxa"/>
              <w:bottom w:w="50" w:type="dxa"/>
              <w:left w:w="100" w:type="dxa"/>
              <w:right w:w="100" w:type="dxa"/>
            </w:tcMar>
          </w:tcPr>
          <w:p>
            <w:pPr>
              <w:jc w:val="center"/>
            </w:pPr>
            <w:r>
              <w:rPr>
                <w:rFonts w:ascii="Arial" w:hAnsi="Arial"/>
                <w:b/>
                <w:color w:val="FFFFFF"/>
                <w:sz w:val="19"/>
              </w:rPr>
              <w:t>2. Format Skema Objek Insiden JSON (8.1 Incident Structure)</w:t>
            </w:r>
          </w:p>
        </w:tc>
      </w:tr>
    </w:tbl>
    <w:p>
      <w:pPr>
        <w:spacing w:after="40"/>
      </w:pPr>
    </w:p>
    <w:tbl>
      <w:tblPr>
        <w:tblW w:type="auto" w:w="0"/>
        <w:jc w:val="center"/>
        <w:tblLook w:firstColumn="1" w:firstRow="1" w:lastColumn="0" w:lastRow="0" w:noHBand="0" w:noVBand="1" w:val="04A0"/>
      </w:tblPr>
      <w:tblGrid>
        <w:gridCol w:w="10512"/>
      </w:tblGrid>
      <w:tr>
        <w:tc>
          <w:tcPr>
            <w:tcW w:type="dxa" w:w="9360"/>
            <w:shd w:fill="F1F5F9"/>
            <w:tcMar>
              <w:top w:w="60" w:type="dxa"/>
              <w:bottom w:w="60" w:type="dxa"/>
              <w:left w:w="100" w:type="dxa"/>
              <w:right w:w="100" w:type="dxa"/>
            </w:tcMar>
          </w:tcPr>
          <w:p>
            <w:pPr>
              <w:spacing w:after="0"/>
            </w:pPr>
            <w:r>
              <w:rPr>
                <w:rFonts w:ascii="Consolas" w:hAnsi="Consolas"/>
                <w:color w:val="0F172A"/>
                <w:sz w:val="16"/>
              </w:rPr>
              <w:t>{</w:t>
              <w:br/>
              <w:t xml:space="preserve">  "incident_id": "INC-B5A8566B0DDA6307",</w:t>
              <w:br/>
              <w:t xml:space="preserve">  "priority": "P1",</w:t>
              <w:br/>
              <w:t xml:space="preserve">  "title": "Suspected account compromise (SSH Brute Force followed by Success)",</w:t>
              <w:br/>
              <w:t xml:space="preserve">  "first_seen": "2026-07-28T09:07:01.000Z",</w:t>
              <w:br/>
              <w:t xml:space="preserve">  "last_seen": "2026-07-28T09:14:22.180Z",</w:t>
              <w:br/>
              <w:t xml:space="preserve">  "affected_assets": ["mongodb-ext-158 (CROWN_JEWEL)"],</w:t>
              <w:br/>
              <w:t xml:space="preserve">  "affected_users": ["db_admin (Privileged)"],</w:t>
              <w:br/>
              <w:t xml:space="preserve">  "attack_stage": ["CREDENTIAL_ACCESS", "INITIAL_ACCESS"],</w:t>
              <w:br/>
              <w:t xml:space="preserve">  "risk_score": 65,</w:t>
              <w:br/>
              <w:t xml:space="preserve">  "event_count": 84,</w:t>
              <w:br/>
              <w:t xml:space="preserve">  "evidence": [</w:t>
              <w:br/>
              <w:t xml:space="preserve">    {"stage": 1, "description": "83 failed login attempts via Rule 5716 from 198.51.100.23"},</w:t>
              <w:br/>
              <w:t xml:space="preserve">    {"stage": 2, "description": "1 successful SSH login via Rule 5715 at 09:14:22"}</w:t>
              <w:br/>
              <w:t xml:space="preserve">  ],</w:t>
              <w:br/>
              <w:t xml:space="preserve">  "recommended_action": "Isolate host mongodb-ext-158, revoke db_admin session, block IP 198.51.100.23 on firewall"</w:t>
              <w:br/>
              <w:t>}</w:t>
            </w:r>
          </w:p>
        </w:tc>
      </w:tr>
    </w:tbl>
    <w:p>
      <w:pPr>
        <w:spacing w:after="80"/>
      </w:pPr>
    </w:p>
    <w:p>
      <w:pPr>
        <w:spacing w:before="160" w:after="40"/>
      </w:pPr>
    </w:p>
    <w:tbl>
      <w:tblPr>
        <w:tblW w:type="auto" w:w="0"/>
        <w:jc w:val="center"/>
        <w:tblLook w:firstColumn="1" w:firstRow="1" w:lastColumn="0" w:lastRow="0" w:noHBand="0" w:noVBand="1" w:val="04A0"/>
      </w:tblPr>
      <w:tblGrid>
        <w:gridCol w:w="10512"/>
      </w:tblGrid>
      <w:tr>
        <w:tc>
          <w:tcPr>
            <w:tcW w:type="dxa" w:w="9360"/>
            <w:shd w:fill="1E3A8A"/>
            <w:tcMar>
              <w:top w:w="50" w:type="dxa"/>
              <w:bottom w:w="50" w:type="dxa"/>
              <w:left w:w="100" w:type="dxa"/>
              <w:right w:w="100" w:type="dxa"/>
            </w:tcMar>
          </w:tcPr>
          <w:p>
            <w:pPr>
              <w:jc w:val="center"/>
            </w:pPr>
            <w:r>
              <w:rPr>
                <w:rFonts w:ascii="Arial" w:hAnsi="Arial"/>
                <w:b/>
                <w:color w:val="FFFFFF"/>
                <w:sz w:val="19"/>
              </w:rPr>
              <w:t>3. Alur Kerja Analis 7-Tahap &amp; Siklus Umpan Balik (8.2 Analyst Workflow)</w:t>
            </w:r>
          </w:p>
        </w:tc>
      </w:tr>
    </w:tbl>
    <w:p>
      <w:pPr>
        <w:spacing w:after="40"/>
      </w:pPr>
    </w:p>
    <w:tbl>
      <w:tblPr>
        <w:tblW w:type="auto" w:w="0"/>
        <w:jc w:val="center"/>
        <w:tblLook w:firstColumn="1" w:firstRow="1" w:lastColumn="0" w:lastRow="0" w:noHBand="0" w:noVBand="1" w:val="04A0"/>
      </w:tblPr>
      <w:tblGrid>
        <w:gridCol w:w="2628"/>
        <w:gridCol w:w="2628"/>
        <w:gridCol w:w="2628"/>
        <w:gridCol w:w="2628"/>
      </w:tblGrid>
      <w:tr>
        <w:tc>
          <w:tcPr>
            <w:tcW w:type="dxa" w:w="2592"/>
            <w:shd w:fill="1E3A8A"/>
            <w:tcMar>
              <w:top w:w="90" w:type="dxa"/>
              <w:bottom w:w="90" w:type="dxa"/>
              <w:left w:w="100" w:type="dxa"/>
              <w:right w:w="100" w:type="dxa"/>
            </w:tcMar>
          </w:tcPr>
          <w:p>
            <w:pPr>
              <w:jc w:val="left"/>
            </w:pPr>
            <w:r>
              <w:rPr>
                <w:rFonts w:ascii="Arial" w:hAnsi="Arial"/>
                <w:b/>
                <w:color w:val="FFFFFF"/>
                <w:sz w:val="17"/>
              </w:rPr>
              <w:t>Tahapan Workflow</w:t>
            </w:r>
          </w:p>
        </w:tc>
        <w:tc>
          <w:tcPr>
            <w:tcW w:type="dxa" w:w="2016"/>
            <w:shd w:fill="1E3A8A"/>
            <w:tcMar>
              <w:top w:w="90" w:type="dxa"/>
              <w:bottom w:w="90" w:type="dxa"/>
              <w:left w:w="100" w:type="dxa"/>
              <w:right w:w="100" w:type="dxa"/>
            </w:tcMar>
          </w:tcPr>
          <w:p>
            <w:pPr>
              <w:jc w:val="left"/>
            </w:pPr>
            <w:r>
              <w:rPr>
                <w:rFonts w:ascii="Arial" w:hAnsi="Arial"/>
                <w:b/>
                <w:color w:val="FFFFFF"/>
                <w:sz w:val="17"/>
              </w:rPr>
              <w:t>Aktor / Komponen</w:t>
            </w:r>
          </w:p>
        </w:tc>
        <w:tc>
          <w:tcPr>
            <w:tcW w:type="dxa" w:w="2016"/>
            <w:shd w:fill="1E3A8A"/>
            <w:tcMar>
              <w:top w:w="90" w:type="dxa"/>
              <w:bottom w:w="90" w:type="dxa"/>
              <w:left w:w="100" w:type="dxa"/>
              <w:right w:w="100" w:type="dxa"/>
            </w:tcMar>
          </w:tcPr>
          <w:p>
            <w:pPr>
              <w:jc w:val="left"/>
            </w:pPr>
            <w:r>
              <w:rPr>
                <w:rFonts w:ascii="Arial" w:hAnsi="Arial"/>
                <w:b/>
                <w:color w:val="FFFFFF"/>
                <w:sz w:val="17"/>
              </w:rPr>
              <w:t>Input Data</w:t>
            </w:r>
          </w:p>
        </w:tc>
        <w:tc>
          <w:tcPr>
            <w:tcW w:type="dxa" w:w="2736"/>
            <w:shd w:fill="1E3A8A"/>
            <w:tcMar>
              <w:top w:w="90" w:type="dxa"/>
              <w:bottom w:w="90" w:type="dxa"/>
              <w:left w:w="100" w:type="dxa"/>
              <w:right w:w="100" w:type="dxa"/>
            </w:tcMar>
          </w:tcPr>
          <w:p>
            <w:pPr>
              <w:jc w:val="left"/>
            </w:pPr>
            <w:r>
              <w:rPr>
                <w:rFonts w:ascii="Arial" w:hAnsi="Arial"/>
                <w:b/>
                <w:color w:val="FFFFFF"/>
                <w:sz w:val="17"/>
              </w:rPr>
              <w:t>Output &amp; Tindakan</w:t>
            </w:r>
          </w:p>
        </w:tc>
      </w:tr>
      <w:tr>
        <w:tc>
          <w:tcPr>
            <w:tcW w:type="dxa" w:w="2592"/>
            <w:shd w:fill="FFFFFF"/>
            <w:tcMar>
              <w:top w:w="50" w:type="dxa"/>
              <w:bottom w:w="50" w:type="dxa"/>
              <w:left w:w="80" w:type="dxa"/>
              <w:right w:w="80" w:type="dxa"/>
            </w:tcMar>
          </w:tcPr>
          <w:p>
            <w:pPr>
              <w:jc w:val="left"/>
            </w:pPr>
            <w:r>
              <w:rPr>
                <w:rFonts w:ascii="Arial" w:hAnsi="Arial"/>
                <w:color w:val="1E293B"/>
                <w:sz w:val="16"/>
              </w:rPr>
              <w:t>1. New Incident Ingestion</w:t>
            </w:r>
          </w:p>
        </w:tc>
        <w:tc>
          <w:tcPr>
            <w:tcW w:type="dxa" w:w="2016"/>
            <w:shd w:fill="FFFFFF"/>
            <w:tcMar>
              <w:top w:w="50" w:type="dxa"/>
              <w:bottom w:w="50" w:type="dxa"/>
              <w:left w:w="80" w:type="dxa"/>
              <w:right w:w="80" w:type="dxa"/>
            </w:tcMar>
          </w:tcPr>
          <w:p>
            <w:pPr>
              <w:jc w:val="left"/>
            </w:pPr>
            <w:r>
              <w:rPr>
                <w:rFonts w:ascii="Arial" w:hAnsi="Arial"/>
                <w:color w:val="1E293B"/>
                <w:sz w:val="16"/>
              </w:rPr>
              <w:t>Wazuh Agent / Syslog</w:t>
            </w:r>
          </w:p>
        </w:tc>
        <w:tc>
          <w:tcPr>
            <w:tcW w:type="dxa" w:w="2016"/>
            <w:shd w:fill="FFFFFF"/>
            <w:tcMar>
              <w:top w:w="50" w:type="dxa"/>
              <w:bottom w:w="50" w:type="dxa"/>
              <w:left w:w="80" w:type="dxa"/>
              <w:right w:w="80" w:type="dxa"/>
            </w:tcMar>
          </w:tcPr>
          <w:p>
            <w:pPr>
              <w:jc w:val="left"/>
            </w:pPr>
            <w:r>
              <w:rPr>
                <w:rFonts w:ascii="Arial" w:hAnsi="Arial"/>
                <w:color w:val="1E293B"/>
                <w:sz w:val="16"/>
              </w:rPr>
              <w:t>Raw Telemetry Log</w:t>
            </w:r>
          </w:p>
        </w:tc>
        <w:tc>
          <w:tcPr>
            <w:tcW w:type="dxa" w:w="2736"/>
            <w:shd w:fill="FFFFFF"/>
            <w:tcMar>
              <w:top w:w="50" w:type="dxa"/>
              <w:bottom w:w="50" w:type="dxa"/>
              <w:left w:w="80" w:type="dxa"/>
              <w:right w:w="80" w:type="dxa"/>
            </w:tcMar>
          </w:tcPr>
          <w:p>
            <w:pPr>
              <w:jc w:val="left"/>
            </w:pPr>
            <w:r>
              <w:rPr>
                <w:rFonts w:ascii="Arial" w:hAnsi="Arial"/>
                <w:color w:val="1E293B"/>
                <w:sz w:val="16"/>
              </w:rPr>
              <w:t>Diteruskan ke Pipeline Normalisasi.</w:t>
            </w:r>
          </w:p>
        </w:tc>
      </w:tr>
      <w:tr>
        <w:tc>
          <w:tcPr>
            <w:tcW w:type="dxa" w:w="2592"/>
            <w:shd w:fill="F8FAFC"/>
            <w:tcMar>
              <w:top w:w="50" w:type="dxa"/>
              <w:bottom w:w="50" w:type="dxa"/>
              <w:left w:w="80" w:type="dxa"/>
              <w:right w:w="80" w:type="dxa"/>
            </w:tcMar>
          </w:tcPr>
          <w:p>
            <w:pPr>
              <w:jc w:val="left"/>
            </w:pPr>
            <w:r>
              <w:rPr>
                <w:rFonts w:ascii="Arial" w:hAnsi="Arial"/>
                <w:color w:val="1E293B"/>
                <w:sz w:val="16"/>
              </w:rPr>
              <w:t>2. Auto-Enrichment</w:t>
            </w:r>
          </w:p>
        </w:tc>
        <w:tc>
          <w:tcPr>
            <w:tcW w:type="dxa" w:w="2016"/>
            <w:shd w:fill="F8FAFC"/>
            <w:tcMar>
              <w:top w:w="50" w:type="dxa"/>
              <w:bottom w:w="50" w:type="dxa"/>
              <w:left w:w="80" w:type="dxa"/>
              <w:right w:w="80" w:type="dxa"/>
            </w:tcMar>
          </w:tcPr>
          <w:p>
            <w:pPr>
              <w:jc w:val="left"/>
            </w:pPr>
            <w:r>
              <w:rPr>
                <w:rFonts w:ascii="Arial" w:hAnsi="Arial"/>
                <w:color w:val="1E293B"/>
                <w:sz w:val="16"/>
              </w:rPr>
              <w:t>pipeline/enrich.py</w:t>
            </w:r>
          </w:p>
        </w:tc>
        <w:tc>
          <w:tcPr>
            <w:tcW w:type="dxa" w:w="2016"/>
            <w:shd w:fill="F8FAFC"/>
            <w:tcMar>
              <w:top w:w="50" w:type="dxa"/>
              <w:bottom w:w="50" w:type="dxa"/>
              <w:left w:w="80" w:type="dxa"/>
              <w:right w:w="80" w:type="dxa"/>
            </w:tcMar>
          </w:tcPr>
          <w:p>
            <w:pPr>
              <w:jc w:val="left"/>
            </w:pPr>
            <w:r>
              <w:rPr>
                <w:rFonts w:ascii="Arial" w:hAnsi="Arial"/>
                <w:color w:val="1E293B"/>
                <w:sz w:val="16"/>
              </w:rPr>
              <w:t>Master Context Tables</w:t>
            </w:r>
          </w:p>
        </w:tc>
        <w:tc>
          <w:tcPr>
            <w:tcW w:type="dxa" w:w="2736"/>
            <w:shd w:fill="F8FAFC"/>
            <w:tcMar>
              <w:top w:w="50" w:type="dxa"/>
              <w:bottom w:w="50" w:type="dxa"/>
              <w:left w:w="80" w:type="dxa"/>
              <w:right w:w="80" w:type="dxa"/>
            </w:tcMar>
          </w:tcPr>
          <w:p>
            <w:pPr>
              <w:jc w:val="left"/>
            </w:pPr>
            <w:r>
              <w:rPr>
                <w:rFonts w:ascii="Arial" w:hAnsi="Arial"/>
                <w:color w:val="1E293B"/>
                <w:sz w:val="16"/>
              </w:rPr>
              <w:t>Aset Tier (+25), User Status (+10), IoC AbuseIPDB.</w:t>
            </w:r>
          </w:p>
        </w:tc>
      </w:tr>
      <w:tr>
        <w:tc>
          <w:tcPr>
            <w:tcW w:type="dxa" w:w="2592"/>
            <w:shd w:fill="FFFFFF"/>
            <w:tcMar>
              <w:top w:w="50" w:type="dxa"/>
              <w:bottom w:w="50" w:type="dxa"/>
              <w:left w:w="80" w:type="dxa"/>
              <w:right w:w="80" w:type="dxa"/>
            </w:tcMar>
          </w:tcPr>
          <w:p>
            <w:pPr>
              <w:jc w:val="left"/>
            </w:pPr>
            <w:r>
              <w:rPr>
                <w:rFonts w:ascii="Arial" w:hAnsi="Arial"/>
                <w:color w:val="1E293B"/>
                <w:sz w:val="16"/>
              </w:rPr>
              <w:t>3. Deduplication</w:t>
            </w:r>
          </w:p>
        </w:tc>
        <w:tc>
          <w:tcPr>
            <w:tcW w:type="dxa" w:w="2016"/>
            <w:shd w:fill="FFFFFF"/>
            <w:tcMar>
              <w:top w:w="50" w:type="dxa"/>
              <w:bottom w:w="50" w:type="dxa"/>
              <w:left w:w="80" w:type="dxa"/>
              <w:right w:w="80" w:type="dxa"/>
            </w:tcMar>
          </w:tcPr>
          <w:p>
            <w:pPr>
              <w:jc w:val="left"/>
            </w:pPr>
            <w:r>
              <w:rPr>
                <w:rFonts w:ascii="Arial" w:hAnsi="Arial"/>
                <w:color w:val="1E293B"/>
                <w:sz w:val="16"/>
              </w:rPr>
              <w:t>pipeline/deduplicate.py</w:t>
            </w:r>
          </w:p>
        </w:tc>
        <w:tc>
          <w:tcPr>
            <w:tcW w:type="dxa" w:w="2016"/>
            <w:shd w:fill="FFFFFF"/>
            <w:tcMar>
              <w:top w:w="50" w:type="dxa"/>
              <w:bottom w:w="50" w:type="dxa"/>
              <w:left w:w="80" w:type="dxa"/>
              <w:right w:w="80" w:type="dxa"/>
            </w:tcMar>
          </w:tcPr>
          <w:p>
            <w:pPr>
              <w:jc w:val="left"/>
            </w:pPr>
            <w:r>
              <w:rPr>
                <w:rFonts w:ascii="Arial" w:hAnsi="Arial"/>
                <w:color w:val="1E293B"/>
                <w:sz w:val="16"/>
              </w:rPr>
              <w:t>Composite Hash MD5</w:t>
            </w:r>
          </w:p>
        </w:tc>
        <w:tc>
          <w:tcPr>
            <w:tcW w:type="dxa" w:w="2736"/>
            <w:shd w:fill="FFFFFF"/>
            <w:tcMar>
              <w:top w:w="50" w:type="dxa"/>
              <w:bottom w:w="50" w:type="dxa"/>
              <w:left w:w="80" w:type="dxa"/>
              <w:right w:w="80" w:type="dxa"/>
            </w:tcMar>
          </w:tcPr>
          <w:p>
            <w:pPr>
              <w:jc w:val="left"/>
            </w:pPr>
            <w:r>
              <w:rPr>
                <w:rFonts w:ascii="Arial" w:hAnsi="Arial"/>
                <w:color w:val="1E293B"/>
                <w:sz w:val="16"/>
              </w:rPr>
              <w:t>Kompresi 98,16% (263k -&gt; 4.8k objek ringkas).</w:t>
            </w:r>
          </w:p>
        </w:tc>
      </w:tr>
      <w:tr>
        <w:tc>
          <w:tcPr>
            <w:tcW w:type="dxa" w:w="2592"/>
            <w:shd w:fill="F8FAFC"/>
            <w:tcMar>
              <w:top w:w="50" w:type="dxa"/>
              <w:bottom w:w="50" w:type="dxa"/>
              <w:left w:w="80" w:type="dxa"/>
              <w:right w:w="80" w:type="dxa"/>
            </w:tcMar>
          </w:tcPr>
          <w:p>
            <w:pPr>
              <w:jc w:val="left"/>
            </w:pPr>
            <w:r>
              <w:rPr>
                <w:rFonts w:ascii="Arial" w:hAnsi="Arial"/>
                <w:color w:val="1E293B"/>
                <w:sz w:val="16"/>
              </w:rPr>
              <w:t>4. Stateful Correlation</w:t>
            </w:r>
          </w:p>
        </w:tc>
        <w:tc>
          <w:tcPr>
            <w:tcW w:type="dxa" w:w="2016"/>
            <w:shd w:fill="F8FAFC"/>
            <w:tcMar>
              <w:top w:w="50" w:type="dxa"/>
              <w:bottom w:w="50" w:type="dxa"/>
              <w:left w:w="80" w:type="dxa"/>
              <w:right w:w="80" w:type="dxa"/>
            </w:tcMar>
          </w:tcPr>
          <w:p>
            <w:pPr>
              <w:jc w:val="left"/>
            </w:pPr>
            <w:r>
              <w:rPr>
                <w:rFonts w:ascii="Arial" w:hAnsi="Arial"/>
                <w:color w:val="1E293B"/>
                <w:sz w:val="16"/>
              </w:rPr>
              <w:t>pipeline/correlate.py</w:t>
            </w:r>
          </w:p>
        </w:tc>
        <w:tc>
          <w:tcPr>
            <w:tcW w:type="dxa" w:w="2016"/>
            <w:shd w:fill="F8FAFC"/>
            <w:tcMar>
              <w:top w:w="50" w:type="dxa"/>
              <w:bottom w:w="50" w:type="dxa"/>
              <w:left w:w="80" w:type="dxa"/>
              <w:right w:w="80" w:type="dxa"/>
            </w:tcMar>
          </w:tcPr>
          <w:p>
            <w:pPr>
              <w:jc w:val="left"/>
            </w:pPr>
            <w:r>
              <w:rPr>
                <w:rFonts w:ascii="Arial" w:hAnsi="Arial"/>
                <w:color w:val="1E293B"/>
                <w:sz w:val="16"/>
              </w:rPr>
              <w:t>Sliding Window 10m-30m</w:t>
            </w:r>
          </w:p>
        </w:tc>
        <w:tc>
          <w:tcPr>
            <w:tcW w:type="dxa" w:w="2736"/>
            <w:shd w:fill="F8FAFC"/>
            <w:tcMar>
              <w:top w:w="50" w:type="dxa"/>
              <w:bottom w:w="50" w:type="dxa"/>
              <w:left w:w="80" w:type="dxa"/>
              <w:right w:w="80" w:type="dxa"/>
            </w:tcMar>
          </w:tcPr>
          <w:p>
            <w:pPr>
              <w:jc w:val="left"/>
            </w:pPr>
            <w:r>
              <w:rPr>
                <w:rFonts w:ascii="Arial" w:hAnsi="Arial"/>
                <w:color w:val="1E293B"/>
                <w:sz w:val="16"/>
              </w:rPr>
              <w:t>Perajutan Rantai Serangan CORR-001 s.d. CORR-005.</w:t>
            </w:r>
          </w:p>
        </w:tc>
      </w:tr>
      <w:tr>
        <w:tc>
          <w:tcPr>
            <w:tcW w:type="dxa" w:w="2592"/>
            <w:shd w:fill="FFFFFF"/>
            <w:tcMar>
              <w:top w:w="50" w:type="dxa"/>
              <w:bottom w:w="50" w:type="dxa"/>
              <w:left w:w="80" w:type="dxa"/>
              <w:right w:w="80" w:type="dxa"/>
            </w:tcMar>
          </w:tcPr>
          <w:p>
            <w:pPr>
              <w:jc w:val="left"/>
            </w:pPr>
            <w:r>
              <w:rPr>
                <w:rFonts w:ascii="Arial" w:hAnsi="Arial"/>
                <w:color w:val="1E293B"/>
                <w:sz w:val="16"/>
              </w:rPr>
              <w:t>5. Risk Scoring &amp; Triage</w:t>
            </w:r>
          </w:p>
        </w:tc>
        <w:tc>
          <w:tcPr>
            <w:tcW w:type="dxa" w:w="2016"/>
            <w:shd w:fill="FFFFFF"/>
            <w:tcMar>
              <w:top w:w="50" w:type="dxa"/>
              <w:bottom w:w="50" w:type="dxa"/>
              <w:left w:w="80" w:type="dxa"/>
              <w:right w:w="80" w:type="dxa"/>
            </w:tcMar>
          </w:tcPr>
          <w:p>
            <w:pPr>
              <w:jc w:val="left"/>
            </w:pPr>
            <w:r>
              <w:rPr>
                <w:rFonts w:ascii="Arial" w:hAnsi="Arial"/>
                <w:color w:val="1E293B"/>
                <w:sz w:val="16"/>
              </w:rPr>
              <w:t>pipeline/score.py</w:t>
            </w:r>
          </w:p>
        </w:tc>
        <w:tc>
          <w:tcPr>
            <w:tcW w:type="dxa" w:w="2016"/>
            <w:shd w:fill="FFFFFF"/>
            <w:tcMar>
              <w:top w:w="50" w:type="dxa"/>
              <w:bottom w:w="50" w:type="dxa"/>
              <w:left w:w="80" w:type="dxa"/>
              <w:right w:w="80" w:type="dxa"/>
            </w:tcMar>
          </w:tcPr>
          <w:p>
            <w:pPr>
              <w:jc w:val="left"/>
            </w:pPr>
            <w:r>
              <w:rPr>
                <w:rFonts w:ascii="Arial" w:hAnsi="Arial"/>
                <w:color w:val="1E293B"/>
                <w:sz w:val="16"/>
              </w:rPr>
              <w:t>7 Komponen Skor (0-100)</w:t>
            </w:r>
          </w:p>
        </w:tc>
        <w:tc>
          <w:tcPr>
            <w:tcW w:type="dxa" w:w="2736"/>
            <w:shd w:fill="FFFFFF"/>
            <w:tcMar>
              <w:top w:w="50" w:type="dxa"/>
              <w:bottom w:w="50" w:type="dxa"/>
              <w:left w:w="80" w:type="dxa"/>
              <w:right w:w="80" w:type="dxa"/>
            </w:tcMar>
          </w:tcPr>
          <w:p>
            <w:pPr>
              <w:jc w:val="left"/>
            </w:pPr>
            <w:r>
              <w:rPr>
                <w:rFonts w:ascii="Arial" w:hAnsi="Arial"/>
                <w:color w:val="1E293B"/>
                <w:sz w:val="16"/>
              </w:rPr>
              <w:t>Skor 65 -&gt; P1 High masuk ke soc_ops.soc_triage_queue.</w:t>
            </w:r>
          </w:p>
        </w:tc>
      </w:tr>
      <w:tr>
        <w:tc>
          <w:tcPr>
            <w:tcW w:type="dxa" w:w="2592"/>
            <w:shd w:fill="F8FAFC"/>
            <w:tcMar>
              <w:top w:w="50" w:type="dxa"/>
              <w:bottom w:w="50" w:type="dxa"/>
              <w:left w:w="80" w:type="dxa"/>
              <w:right w:w="80" w:type="dxa"/>
            </w:tcMar>
          </w:tcPr>
          <w:p>
            <w:pPr>
              <w:jc w:val="left"/>
            </w:pPr>
            <w:r>
              <w:rPr>
                <w:rFonts w:ascii="Arial" w:hAnsi="Arial"/>
                <w:color w:val="1E293B"/>
                <w:sz w:val="16"/>
              </w:rPr>
              <w:t>6. Analyst Investigation</w:t>
            </w:r>
          </w:p>
        </w:tc>
        <w:tc>
          <w:tcPr>
            <w:tcW w:type="dxa" w:w="2016"/>
            <w:shd w:fill="F8FAFC"/>
            <w:tcMar>
              <w:top w:w="50" w:type="dxa"/>
              <w:bottom w:w="50" w:type="dxa"/>
              <w:left w:w="80" w:type="dxa"/>
              <w:right w:w="80" w:type="dxa"/>
            </w:tcMar>
          </w:tcPr>
          <w:p>
            <w:pPr>
              <w:jc w:val="left"/>
            </w:pPr>
            <w:r>
              <w:rPr>
                <w:rFonts w:ascii="Arial" w:hAnsi="Arial"/>
                <w:color w:val="1E293B"/>
                <w:sz w:val="16"/>
              </w:rPr>
              <w:t>Analis SOC Tier 1/2/3</w:t>
            </w:r>
          </w:p>
        </w:tc>
        <w:tc>
          <w:tcPr>
            <w:tcW w:type="dxa" w:w="2016"/>
            <w:shd w:fill="F8FAFC"/>
            <w:tcMar>
              <w:top w:w="50" w:type="dxa"/>
              <w:bottom w:w="50" w:type="dxa"/>
              <w:left w:w="80" w:type="dxa"/>
              <w:right w:w="80" w:type="dxa"/>
            </w:tcMar>
          </w:tcPr>
          <w:p>
            <w:pPr>
              <w:jc w:val="left"/>
            </w:pPr>
            <w:r>
              <w:rPr>
                <w:rFonts w:ascii="Arial" w:hAnsi="Arial"/>
                <w:color w:val="1E293B"/>
                <w:sz w:val="16"/>
              </w:rPr>
              <w:t>Incident Detail &amp; Evidence</w:t>
            </w:r>
          </w:p>
        </w:tc>
        <w:tc>
          <w:tcPr>
            <w:tcW w:type="dxa" w:w="2736"/>
            <w:shd w:fill="F8FAFC"/>
            <w:tcMar>
              <w:top w:w="50" w:type="dxa"/>
              <w:bottom w:w="50" w:type="dxa"/>
              <w:left w:w="80" w:type="dxa"/>
              <w:right w:w="80" w:type="dxa"/>
            </w:tcMar>
          </w:tcPr>
          <w:p>
            <w:pPr>
              <w:jc w:val="left"/>
            </w:pPr>
            <w:r>
              <w:rPr>
                <w:rFonts w:ascii="Arial" w:hAnsi="Arial"/>
                <w:color w:val="1E293B"/>
                <w:sz w:val="16"/>
              </w:rPr>
              <w:t>Investigasi, Containment, dan Penentuan Disposisi.</w:t>
            </w:r>
          </w:p>
        </w:tc>
      </w:tr>
      <w:tr>
        <w:tc>
          <w:tcPr>
            <w:tcW w:type="dxa" w:w="2592"/>
            <w:shd w:fill="FFFFFF"/>
            <w:tcMar>
              <w:top w:w="50" w:type="dxa"/>
              <w:bottom w:w="50" w:type="dxa"/>
              <w:left w:w="80" w:type="dxa"/>
              <w:right w:w="80" w:type="dxa"/>
            </w:tcMar>
          </w:tcPr>
          <w:p>
            <w:pPr>
              <w:jc w:val="left"/>
            </w:pPr>
            <w:r>
              <w:rPr>
                <w:rFonts w:ascii="Arial" w:hAnsi="Arial"/>
                <w:color w:val="1E293B"/>
                <w:sz w:val="16"/>
              </w:rPr>
              <w:t>7. Tuning Feedback Loop</w:t>
            </w:r>
          </w:p>
        </w:tc>
        <w:tc>
          <w:tcPr>
            <w:tcW w:type="dxa" w:w="2016"/>
            <w:shd w:fill="FFFFFF"/>
            <w:tcMar>
              <w:top w:w="50" w:type="dxa"/>
              <w:bottom w:w="50" w:type="dxa"/>
              <w:left w:w="80" w:type="dxa"/>
              <w:right w:w="80" w:type="dxa"/>
            </w:tcMar>
          </w:tcPr>
          <w:p>
            <w:pPr>
              <w:jc w:val="left"/>
            </w:pPr>
            <w:r>
              <w:rPr>
                <w:rFonts w:ascii="Arial" w:hAnsi="Arial"/>
                <w:color w:val="1E293B"/>
                <w:sz w:val="16"/>
              </w:rPr>
              <w:t>soc_ops.tuning_feedback_loop</w:t>
            </w:r>
          </w:p>
        </w:tc>
        <w:tc>
          <w:tcPr>
            <w:tcW w:type="dxa" w:w="2016"/>
            <w:shd w:fill="FFFFFF"/>
            <w:tcMar>
              <w:top w:w="50" w:type="dxa"/>
              <w:bottom w:w="50" w:type="dxa"/>
              <w:left w:w="80" w:type="dxa"/>
              <w:right w:w="80" w:type="dxa"/>
            </w:tcMar>
          </w:tcPr>
          <w:p>
            <w:pPr>
              <w:jc w:val="left"/>
            </w:pPr>
            <w:r>
              <w:rPr>
                <w:rFonts w:ascii="Arial" w:hAnsi="Arial"/>
                <w:color w:val="1E293B"/>
                <w:sz w:val="16"/>
              </w:rPr>
              <w:t>Disposisi TP / FP / Benign</w:t>
            </w:r>
          </w:p>
        </w:tc>
        <w:tc>
          <w:tcPr>
            <w:tcW w:type="dxa" w:w="2736"/>
            <w:shd w:fill="FFFFFF"/>
            <w:tcMar>
              <w:top w:w="50" w:type="dxa"/>
              <w:bottom w:w="50" w:type="dxa"/>
              <w:left w:w="80" w:type="dxa"/>
              <w:right w:w="80" w:type="dxa"/>
            </w:tcMar>
          </w:tcPr>
          <w:p>
            <w:pPr>
              <w:jc w:val="left"/>
            </w:pPr>
            <w:r>
              <w:rPr>
                <w:rFonts w:ascii="Arial" w:hAnsi="Arial"/>
                <w:color w:val="1E293B"/>
                <w:sz w:val="16"/>
              </w:rPr>
              <w:t>Pembaruan Allowlist CDB &amp; XML Exception Ruleset.</w:t>
            </w:r>
          </w:p>
        </w:tc>
      </w:tr>
    </w:tbl>
    <w:p>
      <w:pPr>
        <w:spacing w:before="160" w:after="40"/>
      </w:pPr>
    </w:p>
    <w:tbl>
      <w:tblPr>
        <w:tblW w:type="auto" w:w="0"/>
        <w:jc w:val="center"/>
        <w:tblLook w:firstColumn="1" w:firstRow="1" w:lastColumn="0" w:lastRow="0" w:noHBand="0" w:noVBand="1" w:val="04A0"/>
      </w:tblPr>
      <w:tblGrid>
        <w:gridCol w:w="10512"/>
      </w:tblGrid>
      <w:tr>
        <w:tc>
          <w:tcPr>
            <w:tcW w:type="dxa" w:w="9360"/>
            <w:shd w:fill="1E3A8A"/>
            <w:tcMar>
              <w:top w:w="50" w:type="dxa"/>
              <w:bottom w:w="50" w:type="dxa"/>
              <w:left w:w="100" w:type="dxa"/>
              <w:right w:w="100" w:type="dxa"/>
            </w:tcMar>
          </w:tcPr>
          <w:p>
            <w:pPr>
              <w:jc w:val="center"/>
            </w:pPr>
            <w:r>
              <w:rPr>
                <w:rFonts w:ascii="Arial" w:hAnsi="Arial"/>
                <w:b/>
                <w:color w:val="FFFFFF"/>
                <w:sz w:val="19"/>
              </w:rPr>
              <w:t>4. Tingkat Disposisi Analis &amp; Tindakan Feedback Tuning</w:t>
            </w:r>
          </w:p>
        </w:tc>
      </w:tr>
    </w:tbl>
    <w:p>
      <w:pPr>
        <w:spacing w:after="40"/>
      </w:pPr>
    </w:p>
    <w:tbl>
      <w:tblPr>
        <w:tblW w:type="auto" w:w="0"/>
        <w:jc w:val="center"/>
        <w:tblLook w:firstColumn="1" w:firstRow="1" w:lastColumn="0" w:lastRow="0" w:noHBand="0" w:noVBand="1" w:val="04A0"/>
      </w:tblPr>
      <w:tblGrid>
        <w:gridCol w:w="2628"/>
        <w:gridCol w:w="2628"/>
        <w:gridCol w:w="2628"/>
        <w:gridCol w:w="2628"/>
      </w:tblGrid>
      <w:tr>
        <w:tc>
          <w:tcPr>
            <w:tcW w:type="dxa" w:w="2016"/>
            <w:shd w:fill="1E3A8A"/>
            <w:tcMar>
              <w:top w:w="90" w:type="dxa"/>
              <w:bottom w:w="90" w:type="dxa"/>
              <w:left w:w="100" w:type="dxa"/>
              <w:right w:w="100" w:type="dxa"/>
            </w:tcMar>
          </w:tcPr>
          <w:p>
            <w:pPr>
              <w:jc w:val="left"/>
            </w:pPr>
            <w:r>
              <w:rPr>
                <w:rFonts w:ascii="Arial" w:hAnsi="Arial"/>
                <w:b/>
                <w:color w:val="FFFFFF"/>
                <w:sz w:val="17"/>
              </w:rPr>
              <w:t>Disposisi Analis</w:t>
            </w:r>
          </w:p>
        </w:tc>
        <w:tc>
          <w:tcPr>
            <w:tcW w:type="dxa" w:w="2160"/>
            <w:shd w:fill="1E3A8A"/>
            <w:tcMar>
              <w:top w:w="90" w:type="dxa"/>
              <w:bottom w:w="90" w:type="dxa"/>
              <w:left w:w="100" w:type="dxa"/>
              <w:right w:w="100" w:type="dxa"/>
            </w:tcMar>
          </w:tcPr>
          <w:p>
            <w:pPr>
              <w:jc w:val="left"/>
            </w:pPr>
            <w:r>
              <w:rPr>
                <w:rFonts w:ascii="Arial" w:hAnsi="Arial"/>
                <w:b/>
                <w:color w:val="FFFFFF"/>
                <w:sz w:val="17"/>
              </w:rPr>
              <w:t>Makna Hasil Investigasi</w:t>
            </w:r>
          </w:p>
        </w:tc>
        <w:tc>
          <w:tcPr>
            <w:tcW w:type="dxa" w:w="2592"/>
            <w:shd w:fill="1E3A8A"/>
            <w:tcMar>
              <w:top w:w="90" w:type="dxa"/>
              <w:bottom w:w="90" w:type="dxa"/>
              <w:left w:w="100" w:type="dxa"/>
              <w:right w:w="100" w:type="dxa"/>
            </w:tcMar>
          </w:tcPr>
          <w:p>
            <w:pPr>
              <w:jc w:val="left"/>
            </w:pPr>
            <w:r>
              <w:rPr>
                <w:rFonts w:ascii="Arial" w:hAnsi="Arial"/>
                <w:b/>
                <w:color w:val="FFFFFF"/>
                <w:sz w:val="17"/>
              </w:rPr>
              <w:t>Tindakan Respon Keamanan</w:t>
            </w:r>
          </w:p>
        </w:tc>
        <w:tc>
          <w:tcPr>
            <w:tcW w:type="dxa" w:w="2592"/>
            <w:shd w:fill="1E3A8A"/>
            <w:tcMar>
              <w:top w:w="90" w:type="dxa"/>
              <w:bottom w:w="90" w:type="dxa"/>
              <w:left w:w="100" w:type="dxa"/>
              <w:right w:w="100" w:type="dxa"/>
            </w:tcMar>
          </w:tcPr>
          <w:p>
            <w:pPr>
              <w:jc w:val="left"/>
            </w:pPr>
            <w:r>
              <w:rPr>
                <w:rFonts w:ascii="Arial" w:hAnsi="Arial"/>
                <w:b/>
                <w:color w:val="FFFFFF"/>
                <w:sz w:val="17"/>
              </w:rPr>
              <w:t>Umpan Balik Tuning (Feedback Loop)</w:t>
            </w:r>
          </w:p>
        </w:tc>
      </w:tr>
      <w:tr>
        <w:tc>
          <w:tcPr>
            <w:tcW w:type="dxa" w:w="2016"/>
            <w:shd w:fill="FFFFFF"/>
            <w:tcMar>
              <w:top w:w="50" w:type="dxa"/>
              <w:bottom w:w="50" w:type="dxa"/>
              <w:left w:w="80" w:type="dxa"/>
              <w:right w:w="80" w:type="dxa"/>
            </w:tcMar>
          </w:tcPr>
          <w:p>
            <w:pPr>
              <w:jc w:val="left"/>
            </w:pPr>
            <w:r>
              <w:rPr>
                <w:rFonts w:ascii="Arial" w:hAnsi="Arial"/>
                <w:color w:val="1E293B"/>
                <w:sz w:val="16"/>
              </w:rPr>
              <w:t>True Positive (TP)</w:t>
            </w:r>
          </w:p>
        </w:tc>
        <w:tc>
          <w:tcPr>
            <w:tcW w:type="dxa" w:w="2160"/>
            <w:shd w:fill="FFFFFF"/>
            <w:tcMar>
              <w:top w:w="50" w:type="dxa"/>
              <w:bottom w:w="50" w:type="dxa"/>
              <w:left w:w="80" w:type="dxa"/>
              <w:right w:w="80" w:type="dxa"/>
            </w:tcMar>
          </w:tcPr>
          <w:p>
            <w:pPr>
              <w:jc w:val="left"/>
            </w:pPr>
            <w:r>
              <w:rPr>
                <w:rFonts w:ascii="Arial" w:hAnsi="Arial"/>
                <w:color w:val="1E293B"/>
                <w:sz w:val="16"/>
              </w:rPr>
              <w:t>Serangan nyata terkonfirmasi</w:t>
            </w:r>
          </w:p>
        </w:tc>
        <w:tc>
          <w:tcPr>
            <w:tcW w:type="dxa" w:w="2592"/>
            <w:shd w:fill="FFFFFF"/>
            <w:tcMar>
              <w:top w:w="50" w:type="dxa"/>
              <w:bottom w:w="50" w:type="dxa"/>
              <w:left w:w="80" w:type="dxa"/>
              <w:right w:w="80" w:type="dxa"/>
            </w:tcMar>
          </w:tcPr>
          <w:p>
            <w:pPr>
              <w:jc w:val="left"/>
            </w:pPr>
            <w:r>
              <w:rPr>
                <w:rFonts w:ascii="Arial" w:hAnsi="Arial"/>
                <w:color w:val="1E293B"/>
                <w:sz w:val="16"/>
              </w:rPr>
              <w:t>Containment, blokir IP, audit forensik mendalam.</w:t>
            </w:r>
          </w:p>
        </w:tc>
        <w:tc>
          <w:tcPr>
            <w:tcW w:type="dxa" w:w="2592"/>
            <w:shd w:fill="FFFFFF"/>
            <w:tcMar>
              <w:top w:w="50" w:type="dxa"/>
              <w:bottom w:w="50" w:type="dxa"/>
              <w:left w:w="80" w:type="dxa"/>
              <w:right w:w="80" w:type="dxa"/>
            </w:tcMar>
          </w:tcPr>
          <w:p>
            <w:pPr>
              <w:jc w:val="left"/>
            </w:pPr>
            <w:r>
              <w:rPr>
                <w:rFonts w:ascii="Arial" w:hAnsi="Arial"/>
                <w:color w:val="1E293B"/>
                <w:sz w:val="16"/>
              </w:rPr>
              <w:t>Perbarui IoC Threat Intel, naikkan bobot korelasi.</w:t>
            </w:r>
          </w:p>
        </w:tc>
      </w:tr>
      <w:tr>
        <w:tc>
          <w:tcPr>
            <w:tcW w:type="dxa" w:w="2016"/>
            <w:shd w:fill="F8FAFC"/>
            <w:tcMar>
              <w:top w:w="50" w:type="dxa"/>
              <w:bottom w:w="50" w:type="dxa"/>
              <w:left w:w="80" w:type="dxa"/>
              <w:right w:w="80" w:type="dxa"/>
            </w:tcMar>
          </w:tcPr>
          <w:p>
            <w:pPr>
              <w:jc w:val="left"/>
            </w:pPr>
            <w:r>
              <w:rPr>
                <w:rFonts w:ascii="Arial" w:hAnsi="Arial"/>
                <w:color w:val="1E293B"/>
                <w:sz w:val="16"/>
              </w:rPr>
              <w:t>False Positive (FP)</w:t>
            </w:r>
          </w:p>
        </w:tc>
        <w:tc>
          <w:tcPr>
            <w:tcW w:type="dxa" w:w="2160"/>
            <w:shd w:fill="F8FAFC"/>
            <w:tcMar>
              <w:top w:w="50" w:type="dxa"/>
              <w:bottom w:w="50" w:type="dxa"/>
              <w:left w:w="80" w:type="dxa"/>
              <w:right w:w="80" w:type="dxa"/>
            </w:tcMar>
          </w:tcPr>
          <w:p>
            <w:pPr>
              <w:jc w:val="left"/>
            </w:pPr>
            <w:r>
              <w:rPr>
                <w:rFonts w:ascii="Arial" w:hAnsi="Arial"/>
                <w:color w:val="1E293B"/>
                <w:sz w:val="16"/>
              </w:rPr>
              <w:t>Alarm palsu / bukan ancaman</w:t>
            </w:r>
          </w:p>
        </w:tc>
        <w:tc>
          <w:tcPr>
            <w:tcW w:type="dxa" w:w="2592"/>
            <w:shd w:fill="F8FAFC"/>
            <w:tcMar>
              <w:top w:w="50" w:type="dxa"/>
              <w:bottom w:w="50" w:type="dxa"/>
              <w:left w:w="80" w:type="dxa"/>
              <w:right w:w="80" w:type="dxa"/>
            </w:tcMar>
          </w:tcPr>
          <w:p>
            <w:pPr>
              <w:jc w:val="left"/>
            </w:pPr>
            <w:r>
              <w:rPr>
                <w:rFonts w:ascii="Arial" w:hAnsi="Arial"/>
                <w:color w:val="1E293B"/>
                <w:sz w:val="16"/>
              </w:rPr>
              <w:t>Tutup tiket insiden.</w:t>
            </w:r>
          </w:p>
        </w:tc>
        <w:tc>
          <w:tcPr>
            <w:tcW w:type="dxa" w:w="2592"/>
            <w:shd w:fill="F8FAFC"/>
            <w:tcMar>
              <w:top w:w="50" w:type="dxa"/>
              <w:bottom w:w="50" w:type="dxa"/>
              <w:left w:w="80" w:type="dxa"/>
              <w:right w:w="80" w:type="dxa"/>
            </w:tcMar>
          </w:tcPr>
          <w:p>
            <w:pPr>
              <w:jc w:val="left"/>
            </w:pPr>
            <w:r>
              <w:rPr>
                <w:rFonts w:ascii="Arial" w:hAnsi="Arial"/>
                <w:color w:val="1E293B"/>
                <w:sz w:val="16"/>
              </w:rPr>
              <w:t>Ajukan usulan Supresi S1 / S2 ke Detection Engineer.</w:t>
            </w:r>
          </w:p>
        </w:tc>
      </w:tr>
      <w:tr>
        <w:tc>
          <w:tcPr>
            <w:tcW w:type="dxa" w:w="2016"/>
            <w:shd w:fill="FFFFFF"/>
            <w:tcMar>
              <w:top w:w="50" w:type="dxa"/>
              <w:bottom w:w="50" w:type="dxa"/>
              <w:left w:w="80" w:type="dxa"/>
              <w:right w:w="80" w:type="dxa"/>
            </w:tcMar>
          </w:tcPr>
          <w:p>
            <w:pPr>
              <w:jc w:val="left"/>
            </w:pPr>
            <w:r>
              <w:rPr>
                <w:rFonts w:ascii="Arial" w:hAnsi="Arial"/>
                <w:color w:val="1E293B"/>
                <w:sz w:val="16"/>
              </w:rPr>
              <w:t>Benign / Maintenance</w:t>
            </w:r>
          </w:p>
        </w:tc>
        <w:tc>
          <w:tcPr>
            <w:tcW w:type="dxa" w:w="2160"/>
            <w:shd w:fill="FFFFFF"/>
            <w:tcMar>
              <w:top w:w="50" w:type="dxa"/>
              <w:bottom w:w="50" w:type="dxa"/>
              <w:left w:w="80" w:type="dxa"/>
              <w:right w:w="80" w:type="dxa"/>
            </w:tcMar>
          </w:tcPr>
          <w:p>
            <w:pPr>
              <w:jc w:val="left"/>
            </w:pPr>
            <w:r>
              <w:rPr>
                <w:rFonts w:ascii="Arial" w:hAnsi="Arial"/>
                <w:color w:val="1E293B"/>
                <w:sz w:val="16"/>
              </w:rPr>
              <w:t>Aktivitas legal / pemeliharaan</w:t>
            </w:r>
          </w:p>
        </w:tc>
        <w:tc>
          <w:tcPr>
            <w:tcW w:type="dxa" w:w="2592"/>
            <w:shd w:fill="FFFFFF"/>
            <w:tcMar>
              <w:top w:w="50" w:type="dxa"/>
              <w:bottom w:w="50" w:type="dxa"/>
              <w:left w:w="80" w:type="dxa"/>
              <w:right w:w="80" w:type="dxa"/>
            </w:tcMar>
          </w:tcPr>
          <w:p>
            <w:pPr>
              <w:jc w:val="left"/>
            </w:pPr>
            <w:r>
              <w:rPr>
                <w:rFonts w:ascii="Arial" w:hAnsi="Arial"/>
                <w:color w:val="1E293B"/>
                <w:sz w:val="16"/>
              </w:rPr>
              <w:t>Tutup tiket, verifikasi Change Request (CR).</w:t>
            </w:r>
          </w:p>
        </w:tc>
        <w:tc>
          <w:tcPr>
            <w:tcW w:type="dxa" w:w="2592"/>
            <w:shd w:fill="FFFFFF"/>
            <w:tcMar>
              <w:top w:w="50" w:type="dxa"/>
              <w:bottom w:w="50" w:type="dxa"/>
              <w:left w:w="80" w:type="dxa"/>
              <w:right w:w="80" w:type="dxa"/>
            </w:tcMar>
          </w:tcPr>
          <w:p>
            <w:pPr>
              <w:jc w:val="left"/>
            </w:pPr>
            <w:r>
              <w:rPr>
                <w:rFonts w:ascii="Arial" w:hAnsi="Arial"/>
                <w:color w:val="1E293B"/>
                <w:sz w:val="16"/>
              </w:rPr>
              <w:t>Daftarkan IP ke CDB Allowlist / S4 Maintenance Window.</w:t>
            </w:r>
          </w:p>
        </w:tc>
      </w:tr>
    </w:tbl>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