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64748B"/>
          <w:sz w:val="16"/>
        </w:rPr>
        <w:t>ENTERPRISE SECURITY SPECIFICATION | REF: SEC-DOC-PHASE9-CONTINUOUS | CONTINUOUS TUNING LOOP &amp; DRIFT GOVERNANCE</w:t>
      </w:r>
    </w:p>
    <w:p>
      <w:pPr>
        <w:spacing w:after="40"/>
      </w:pPr>
      <w:r>
        <w:rPr>
          <w:rFonts w:ascii="Arial" w:hAnsi="Arial"/>
          <w:b/>
          <w:color w:val="1E3A8A"/>
          <w:sz w:val="32"/>
        </w:rPr>
        <w:t>SPESIFIKASI SIKLUS PEMELIHARAAN BERKELANJUTAN (PHASE 9)</w:t>
      </w:r>
    </w:p>
    <w:p>
      <w:pPr>
        <w:spacing w:after="160"/>
      </w:pPr>
      <w:r>
        <w:rPr>
          <w:rFonts w:ascii="Arial" w:hAnsi="Arial"/>
          <w:i/>
          <w:color w:val="475569"/>
          <w:sz w:val="21"/>
        </w:rPr>
        <w:t>8-Stage Tuning Lifecycle, Multi-Cadence Governance (Weekly/Monthly/Quarterly) &amp; Drift Monitoring</w:t>
      </w:r>
    </w:p>
    <w:p>
      <w:pPr>
        <w:spacing w:after="160"/>
      </w:pPr>
      <w:r>
        <w:rPr>
          <w:color w:val="CBD5E1"/>
        </w:rPr>
        <w:t>――――――――――――――――――――――――――――――――――――――――――――――――――――――――――――――――――――</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1. Ringkasan &amp; Filosofi Kontrol Drift (Phase 9)</w:t>
            </w:r>
          </w:p>
        </w:tc>
      </w:tr>
    </w:tbl>
    <w:p>
      <w:pPr>
        <w:spacing w:after="40"/>
      </w:pPr>
    </w:p>
    <w:p>
      <w:r>
        <w:rPr>
          <w:rFonts w:ascii="Arial" w:hAnsi="Arial"/>
          <w:sz w:val="17"/>
        </w:rPr>
        <w:t>Fase 9 (Establish the Continuous Tuning Loop) bertujuan menjaga efisiensi sistem keamanan dalam jangka panjang. Kelelahan peringatan (Alert Fatigue) akan kembali muncul jika infrastruktur berubah dan aturan tidak ditinjau berkala. Fase ini menetapkan siklus umpan balik terstruktur dan tata kelola tinjauan multi-jadwal (Mingguan, Bulanan, Kuartalan).</w:t>
      </w:r>
    </w:p>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2. Standar Alur Siklus Tuning 8-Tahap (8-Stage Tuning Lifecycle)</w:t>
            </w:r>
          </w:p>
        </w:tc>
      </w:tr>
    </w:tbl>
    <w:p>
      <w:pPr>
        <w:spacing w:after="40"/>
      </w:pPr>
    </w:p>
    <w:tbl>
      <w:tblPr>
        <w:tblW w:type="auto" w:w="0"/>
        <w:jc w:val="center"/>
        <w:tblLook w:firstColumn="1" w:firstRow="1" w:lastColumn="0" w:lastRow="0" w:noHBand="0" w:noVBand="1" w:val="04A0"/>
      </w:tblPr>
      <w:tblGrid>
        <w:gridCol w:w="2628"/>
        <w:gridCol w:w="2628"/>
        <w:gridCol w:w="2628"/>
        <w:gridCol w:w="2628"/>
      </w:tblGrid>
      <w:tr>
        <w:tc>
          <w:tcPr>
            <w:tcW w:type="dxa" w:w="2160"/>
            <w:shd w:fill="1E3A8A"/>
            <w:tcMar>
              <w:top w:w="90" w:type="dxa"/>
              <w:bottom w:w="90" w:type="dxa"/>
              <w:left w:w="100" w:type="dxa"/>
              <w:right w:w="100" w:type="dxa"/>
            </w:tcMar>
          </w:tcPr>
          <w:p>
            <w:pPr>
              <w:jc w:val="left"/>
            </w:pPr>
            <w:r>
              <w:rPr>
                <w:rFonts w:ascii="Arial" w:hAnsi="Arial"/>
                <w:b/>
                <w:color w:val="FFFFFF"/>
                <w:sz w:val="17"/>
              </w:rPr>
              <w:t>Tahapan</w:t>
            </w:r>
          </w:p>
        </w:tc>
        <w:tc>
          <w:tcPr>
            <w:tcW w:type="dxa" w:w="3312"/>
            <w:shd w:fill="1E3A8A"/>
            <w:tcMar>
              <w:top w:w="90" w:type="dxa"/>
              <w:bottom w:w="90" w:type="dxa"/>
              <w:left w:w="100" w:type="dxa"/>
              <w:right w:w="100" w:type="dxa"/>
            </w:tcMar>
          </w:tcPr>
          <w:p>
            <w:pPr>
              <w:jc w:val="left"/>
            </w:pPr>
            <w:r>
              <w:rPr>
                <w:rFonts w:ascii="Arial" w:hAnsi="Arial"/>
                <w:b/>
                <w:color w:val="FFFFFF"/>
                <w:sz w:val="17"/>
              </w:rPr>
              <w:t>Aksi Operasional</w:t>
            </w:r>
          </w:p>
        </w:tc>
        <w:tc>
          <w:tcPr>
            <w:tcW w:type="dxa" w:w="1872"/>
            <w:shd w:fill="1E3A8A"/>
            <w:tcMar>
              <w:top w:w="90" w:type="dxa"/>
              <w:bottom w:w="90" w:type="dxa"/>
              <w:left w:w="100" w:type="dxa"/>
              <w:right w:w="100" w:type="dxa"/>
            </w:tcMar>
          </w:tcPr>
          <w:p>
            <w:pPr>
              <w:jc w:val="left"/>
            </w:pPr>
            <w:r>
              <w:rPr>
                <w:rFonts w:ascii="Arial" w:hAnsi="Arial"/>
                <w:b/>
                <w:color w:val="FFFFFF"/>
                <w:sz w:val="17"/>
              </w:rPr>
              <w:t>Penanggung Jawab</w:t>
            </w:r>
          </w:p>
        </w:tc>
        <w:tc>
          <w:tcPr>
            <w:tcW w:type="dxa" w:w="2016"/>
            <w:shd w:fill="1E3A8A"/>
            <w:tcMar>
              <w:top w:w="90" w:type="dxa"/>
              <w:bottom w:w="90" w:type="dxa"/>
              <w:left w:w="100" w:type="dxa"/>
              <w:right w:w="100" w:type="dxa"/>
            </w:tcMar>
          </w:tcPr>
          <w:p>
            <w:pPr>
              <w:jc w:val="left"/>
            </w:pPr>
            <w:r>
              <w:rPr>
                <w:rFonts w:ascii="Arial" w:hAnsi="Arial"/>
                <w:b/>
                <w:color w:val="FFFFFF"/>
                <w:sz w:val="17"/>
              </w:rPr>
              <w:t>Artefak / Output Bukti</w:t>
            </w:r>
          </w:p>
        </w:tc>
      </w:tr>
      <w:tr>
        <w:tc>
          <w:tcPr>
            <w:tcW w:type="dxa" w:w="2160"/>
            <w:shd w:fill="FFFFFF"/>
            <w:tcMar>
              <w:top w:w="50" w:type="dxa"/>
              <w:bottom w:w="50" w:type="dxa"/>
              <w:left w:w="80" w:type="dxa"/>
              <w:right w:w="80" w:type="dxa"/>
            </w:tcMar>
          </w:tcPr>
          <w:p>
            <w:pPr>
              <w:jc w:val="left"/>
            </w:pPr>
            <w:r>
              <w:rPr>
                <w:rFonts w:ascii="Arial" w:hAnsi="Arial"/>
                <w:color w:val="1E293B"/>
                <w:sz w:val="16"/>
              </w:rPr>
              <w:t>1. Alert Ingestion</w:t>
            </w:r>
          </w:p>
        </w:tc>
        <w:tc>
          <w:tcPr>
            <w:tcW w:type="dxa" w:w="3312"/>
            <w:shd w:fill="FFFFFF"/>
            <w:tcMar>
              <w:top w:w="50" w:type="dxa"/>
              <w:bottom w:w="50" w:type="dxa"/>
              <w:left w:w="80" w:type="dxa"/>
              <w:right w:w="80" w:type="dxa"/>
            </w:tcMar>
          </w:tcPr>
          <w:p>
            <w:pPr>
              <w:jc w:val="left"/>
            </w:pPr>
            <w:r>
              <w:rPr>
                <w:rFonts w:ascii="Arial" w:hAnsi="Arial"/>
                <w:color w:val="1E293B"/>
                <w:sz w:val="16"/>
              </w:rPr>
              <w:t>Penerimaan telemetri log dari wazuh-agent / network</w:t>
            </w:r>
          </w:p>
        </w:tc>
        <w:tc>
          <w:tcPr>
            <w:tcW w:type="dxa" w:w="1872"/>
            <w:shd w:fill="FFFFFF"/>
            <w:tcMar>
              <w:top w:w="50" w:type="dxa"/>
              <w:bottom w:w="50" w:type="dxa"/>
              <w:left w:w="80" w:type="dxa"/>
              <w:right w:w="80" w:type="dxa"/>
            </w:tcMar>
          </w:tcPr>
          <w:p>
            <w:pPr>
              <w:jc w:val="left"/>
            </w:pPr>
            <w:r>
              <w:rPr>
                <w:rFonts w:ascii="Arial" w:hAnsi="Arial"/>
                <w:color w:val="1E293B"/>
                <w:sz w:val="16"/>
              </w:rPr>
              <w:t>Wazuh SIEM</w:t>
            </w:r>
          </w:p>
        </w:tc>
        <w:tc>
          <w:tcPr>
            <w:tcW w:type="dxa" w:w="2016"/>
            <w:shd w:fill="FFFFFF"/>
            <w:tcMar>
              <w:top w:w="50" w:type="dxa"/>
              <w:bottom w:w="50" w:type="dxa"/>
              <w:left w:w="80" w:type="dxa"/>
              <w:right w:w="80" w:type="dxa"/>
            </w:tcMar>
          </w:tcPr>
          <w:p>
            <w:pPr>
              <w:jc w:val="left"/>
            </w:pPr>
            <w:r>
              <w:rPr>
                <w:rFonts w:ascii="Arial" w:hAnsi="Arial"/>
                <w:color w:val="1E293B"/>
                <w:sz w:val="16"/>
              </w:rPr>
              <w:t>telemetry.raw_events</w:t>
            </w:r>
          </w:p>
        </w:tc>
      </w:tr>
      <w:tr>
        <w:tc>
          <w:tcPr>
            <w:tcW w:type="dxa" w:w="2160"/>
            <w:shd w:fill="F8FAFC"/>
            <w:tcMar>
              <w:top w:w="50" w:type="dxa"/>
              <w:bottom w:w="50" w:type="dxa"/>
              <w:left w:w="80" w:type="dxa"/>
              <w:right w:w="80" w:type="dxa"/>
            </w:tcMar>
          </w:tcPr>
          <w:p>
            <w:pPr>
              <w:jc w:val="left"/>
            </w:pPr>
            <w:r>
              <w:rPr>
                <w:rFonts w:ascii="Arial" w:hAnsi="Arial"/>
                <w:color w:val="1E293B"/>
                <w:sz w:val="16"/>
              </w:rPr>
              <w:t>2. Analyst Disposition</w:t>
            </w:r>
          </w:p>
        </w:tc>
        <w:tc>
          <w:tcPr>
            <w:tcW w:type="dxa" w:w="3312"/>
            <w:shd w:fill="F8FAFC"/>
            <w:tcMar>
              <w:top w:w="50" w:type="dxa"/>
              <w:bottom w:w="50" w:type="dxa"/>
              <w:left w:w="80" w:type="dxa"/>
              <w:right w:w="80" w:type="dxa"/>
            </w:tcMar>
          </w:tcPr>
          <w:p>
            <w:pPr>
              <w:jc w:val="left"/>
            </w:pPr>
            <w:r>
              <w:rPr>
                <w:rFonts w:ascii="Arial" w:hAnsi="Arial"/>
                <w:color w:val="1E293B"/>
                <w:sz w:val="16"/>
              </w:rPr>
              <w:t>Penentuan disposisi tiket (TP / FP / Benign)</w:t>
            </w:r>
          </w:p>
        </w:tc>
        <w:tc>
          <w:tcPr>
            <w:tcW w:type="dxa" w:w="1872"/>
            <w:shd w:fill="F8FAFC"/>
            <w:tcMar>
              <w:top w:w="50" w:type="dxa"/>
              <w:bottom w:w="50" w:type="dxa"/>
              <w:left w:w="80" w:type="dxa"/>
              <w:right w:w="80" w:type="dxa"/>
            </w:tcMar>
          </w:tcPr>
          <w:p>
            <w:pPr>
              <w:jc w:val="left"/>
            </w:pPr>
            <w:r>
              <w:rPr>
                <w:rFonts w:ascii="Arial" w:hAnsi="Arial"/>
                <w:color w:val="1E293B"/>
                <w:sz w:val="16"/>
              </w:rPr>
              <w:t>Analis SOC Tier 1/2</w:t>
            </w:r>
          </w:p>
        </w:tc>
        <w:tc>
          <w:tcPr>
            <w:tcW w:type="dxa" w:w="2016"/>
            <w:shd w:fill="F8FAFC"/>
            <w:tcMar>
              <w:top w:w="50" w:type="dxa"/>
              <w:bottom w:w="50" w:type="dxa"/>
              <w:left w:w="80" w:type="dxa"/>
              <w:right w:w="80" w:type="dxa"/>
            </w:tcMar>
          </w:tcPr>
          <w:p>
            <w:pPr>
              <w:jc w:val="left"/>
            </w:pPr>
            <w:r>
              <w:rPr>
                <w:rFonts w:ascii="Arial" w:hAnsi="Arial"/>
                <w:color w:val="1E293B"/>
                <w:sz w:val="16"/>
              </w:rPr>
              <w:t>soc_ops.tuning_feedback_loop</w:t>
            </w:r>
          </w:p>
        </w:tc>
      </w:tr>
      <w:tr>
        <w:tc>
          <w:tcPr>
            <w:tcW w:type="dxa" w:w="2160"/>
            <w:shd w:fill="FFFFFF"/>
            <w:tcMar>
              <w:top w:w="50" w:type="dxa"/>
              <w:bottom w:w="50" w:type="dxa"/>
              <w:left w:w="80" w:type="dxa"/>
              <w:right w:w="80" w:type="dxa"/>
            </w:tcMar>
          </w:tcPr>
          <w:p>
            <w:pPr>
              <w:jc w:val="left"/>
            </w:pPr>
            <w:r>
              <w:rPr>
                <w:rFonts w:ascii="Arial" w:hAnsi="Arial"/>
                <w:color w:val="1E293B"/>
                <w:sz w:val="16"/>
              </w:rPr>
              <w:t>3. False-Positive Analysis</w:t>
            </w:r>
          </w:p>
        </w:tc>
        <w:tc>
          <w:tcPr>
            <w:tcW w:type="dxa" w:w="3312"/>
            <w:shd w:fill="FFFFFF"/>
            <w:tcMar>
              <w:top w:w="50" w:type="dxa"/>
              <w:bottom w:w="50" w:type="dxa"/>
              <w:left w:w="80" w:type="dxa"/>
              <w:right w:w="80" w:type="dxa"/>
            </w:tcMar>
          </w:tcPr>
          <w:p>
            <w:pPr>
              <w:jc w:val="left"/>
            </w:pPr>
            <w:r>
              <w:rPr>
                <w:rFonts w:ascii="Arial" w:hAnsi="Arial"/>
                <w:color w:val="1E293B"/>
                <w:sz w:val="16"/>
              </w:rPr>
              <w:t>Analisis akar masalah kebisingan (bug/config/scanner)</w:t>
            </w:r>
          </w:p>
        </w:tc>
        <w:tc>
          <w:tcPr>
            <w:tcW w:type="dxa" w:w="1872"/>
            <w:shd w:fill="FFFFFF"/>
            <w:tcMar>
              <w:top w:w="50" w:type="dxa"/>
              <w:bottom w:w="50" w:type="dxa"/>
              <w:left w:w="80" w:type="dxa"/>
              <w:right w:w="80" w:type="dxa"/>
            </w:tcMar>
          </w:tcPr>
          <w:p>
            <w:pPr>
              <w:jc w:val="left"/>
            </w:pPr>
            <w:r>
              <w:rPr>
                <w:rFonts w:ascii="Arial" w:hAnsi="Arial"/>
                <w:color w:val="1E293B"/>
                <w:sz w:val="16"/>
              </w:rPr>
              <w:t>Detection Engineer</w:t>
            </w:r>
          </w:p>
        </w:tc>
        <w:tc>
          <w:tcPr>
            <w:tcW w:type="dxa" w:w="2016"/>
            <w:shd w:fill="FFFFFF"/>
            <w:tcMar>
              <w:top w:w="50" w:type="dxa"/>
              <w:bottom w:w="50" w:type="dxa"/>
              <w:left w:w="80" w:type="dxa"/>
              <w:right w:w="80" w:type="dxa"/>
            </w:tcMar>
          </w:tcPr>
          <w:p>
            <w:pPr>
              <w:jc w:val="left"/>
            </w:pPr>
            <w:r>
              <w:rPr>
                <w:rFonts w:ascii="Arial" w:hAnsi="Arial"/>
                <w:color w:val="1E293B"/>
                <w:sz w:val="16"/>
              </w:rPr>
              <w:t>Laporan Investigasi FP</w:t>
            </w:r>
          </w:p>
        </w:tc>
      </w:tr>
      <w:tr>
        <w:tc>
          <w:tcPr>
            <w:tcW w:type="dxa" w:w="2160"/>
            <w:shd w:fill="F8FAFC"/>
            <w:tcMar>
              <w:top w:w="50" w:type="dxa"/>
              <w:bottom w:w="50" w:type="dxa"/>
              <w:left w:w="80" w:type="dxa"/>
              <w:right w:w="80" w:type="dxa"/>
            </w:tcMar>
          </w:tcPr>
          <w:p>
            <w:pPr>
              <w:jc w:val="left"/>
            </w:pPr>
            <w:r>
              <w:rPr>
                <w:rFonts w:ascii="Arial" w:hAnsi="Arial"/>
                <w:color w:val="1E293B"/>
                <w:sz w:val="16"/>
              </w:rPr>
              <w:t>4. Root Cause Classification</w:t>
            </w:r>
          </w:p>
        </w:tc>
        <w:tc>
          <w:tcPr>
            <w:tcW w:type="dxa" w:w="3312"/>
            <w:shd w:fill="F8FAFC"/>
            <w:tcMar>
              <w:top w:w="50" w:type="dxa"/>
              <w:bottom w:w="50" w:type="dxa"/>
              <w:left w:w="80" w:type="dxa"/>
              <w:right w:w="80" w:type="dxa"/>
            </w:tcMar>
          </w:tcPr>
          <w:p>
            <w:pPr>
              <w:jc w:val="left"/>
            </w:pPr>
            <w:r>
              <w:rPr>
                <w:rFonts w:ascii="Arial" w:hAnsi="Arial"/>
                <w:color w:val="1E293B"/>
                <w:sz w:val="16"/>
              </w:rPr>
              <w:t>Klasifikasi ke kategori supresi (Known-Good/Maintenance)</w:t>
            </w:r>
          </w:p>
        </w:tc>
        <w:tc>
          <w:tcPr>
            <w:tcW w:type="dxa" w:w="1872"/>
            <w:shd w:fill="F8FAFC"/>
            <w:tcMar>
              <w:top w:w="50" w:type="dxa"/>
              <w:bottom w:w="50" w:type="dxa"/>
              <w:left w:w="80" w:type="dxa"/>
              <w:right w:w="80" w:type="dxa"/>
            </w:tcMar>
          </w:tcPr>
          <w:p>
            <w:pPr>
              <w:jc w:val="left"/>
            </w:pPr>
            <w:r>
              <w:rPr>
                <w:rFonts w:ascii="Arial" w:hAnsi="Arial"/>
                <w:color w:val="1E293B"/>
                <w:sz w:val="16"/>
              </w:rPr>
              <w:t>Detection Engineer</w:t>
            </w:r>
          </w:p>
        </w:tc>
        <w:tc>
          <w:tcPr>
            <w:tcW w:type="dxa" w:w="2016"/>
            <w:shd w:fill="F8FAFC"/>
            <w:tcMar>
              <w:top w:w="50" w:type="dxa"/>
              <w:bottom w:w="50" w:type="dxa"/>
              <w:left w:w="80" w:type="dxa"/>
              <w:right w:w="80" w:type="dxa"/>
            </w:tcMar>
          </w:tcPr>
          <w:p>
            <w:pPr>
              <w:jc w:val="left"/>
            </w:pPr>
            <w:r>
              <w:rPr>
                <w:rFonts w:ascii="Arial" w:hAnsi="Arial"/>
                <w:color w:val="1E293B"/>
                <w:sz w:val="16"/>
              </w:rPr>
              <w:t>Proposal Modifikasi Aturan</w:t>
            </w:r>
          </w:p>
        </w:tc>
      </w:tr>
      <w:tr>
        <w:tc>
          <w:tcPr>
            <w:tcW w:type="dxa" w:w="2160"/>
            <w:shd w:fill="FFFFFF"/>
            <w:tcMar>
              <w:top w:w="50" w:type="dxa"/>
              <w:bottom w:w="50" w:type="dxa"/>
              <w:left w:w="80" w:type="dxa"/>
              <w:right w:w="80" w:type="dxa"/>
            </w:tcMar>
          </w:tcPr>
          <w:p>
            <w:pPr>
              <w:jc w:val="left"/>
            </w:pPr>
            <w:r>
              <w:rPr>
                <w:rFonts w:ascii="Arial" w:hAnsi="Arial"/>
                <w:color w:val="1E293B"/>
                <w:sz w:val="16"/>
              </w:rPr>
              <w:t>5. Rule Tuning</w:t>
            </w:r>
          </w:p>
        </w:tc>
        <w:tc>
          <w:tcPr>
            <w:tcW w:type="dxa" w:w="3312"/>
            <w:shd w:fill="FFFFFF"/>
            <w:tcMar>
              <w:top w:w="50" w:type="dxa"/>
              <w:bottom w:w="50" w:type="dxa"/>
              <w:left w:w="80" w:type="dxa"/>
              <w:right w:w="80" w:type="dxa"/>
            </w:tcMar>
          </w:tcPr>
          <w:p>
            <w:pPr>
              <w:jc w:val="left"/>
            </w:pPr>
            <w:r>
              <w:rPr>
                <w:rFonts w:ascii="Arial" w:hAnsi="Arial"/>
                <w:color w:val="1E293B"/>
                <w:sz w:val="16"/>
              </w:rPr>
              <w:t>Penulisan aturan supresi / pembaruan CDB Allowlist</w:t>
            </w:r>
          </w:p>
        </w:tc>
        <w:tc>
          <w:tcPr>
            <w:tcW w:type="dxa" w:w="1872"/>
            <w:shd w:fill="FFFFFF"/>
            <w:tcMar>
              <w:top w:w="50" w:type="dxa"/>
              <w:bottom w:w="50" w:type="dxa"/>
              <w:left w:w="80" w:type="dxa"/>
              <w:right w:w="80" w:type="dxa"/>
            </w:tcMar>
          </w:tcPr>
          <w:p>
            <w:pPr>
              <w:jc w:val="left"/>
            </w:pPr>
            <w:r>
              <w:rPr>
                <w:rFonts w:ascii="Arial" w:hAnsi="Arial"/>
                <w:color w:val="1E293B"/>
                <w:sz w:val="16"/>
              </w:rPr>
              <w:t>Security Engineer</w:t>
            </w:r>
          </w:p>
        </w:tc>
        <w:tc>
          <w:tcPr>
            <w:tcW w:type="dxa" w:w="2016"/>
            <w:shd w:fill="FFFFFF"/>
            <w:tcMar>
              <w:top w:w="50" w:type="dxa"/>
              <w:bottom w:w="50" w:type="dxa"/>
              <w:left w:w="80" w:type="dxa"/>
              <w:right w:w="80" w:type="dxa"/>
            </w:tcMar>
          </w:tcPr>
          <w:p>
            <w:pPr>
              <w:jc w:val="left"/>
            </w:pPr>
            <w:r>
              <w:rPr>
                <w:rFonts w:ascii="Arial" w:hAnsi="Arial"/>
                <w:color w:val="1E293B"/>
                <w:sz w:val="16"/>
              </w:rPr>
              <w:t>XML Snippet / CDB list file</w:t>
            </w:r>
          </w:p>
        </w:tc>
      </w:tr>
      <w:tr>
        <w:tc>
          <w:tcPr>
            <w:tcW w:type="dxa" w:w="2160"/>
            <w:shd w:fill="F8FAFC"/>
            <w:tcMar>
              <w:top w:w="50" w:type="dxa"/>
              <w:bottom w:w="50" w:type="dxa"/>
              <w:left w:w="80" w:type="dxa"/>
              <w:right w:w="80" w:type="dxa"/>
            </w:tcMar>
          </w:tcPr>
          <w:p>
            <w:pPr>
              <w:jc w:val="left"/>
            </w:pPr>
            <w:r>
              <w:rPr>
                <w:rFonts w:ascii="Arial" w:hAnsi="Arial"/>
                <w:color w:val="1E293B"/>
                <w:sz w:val="16"/>
              </w:rPr>
              <w:t>6. Test Environment</w:t>
            </w:r>
          </w:p>
        </w:tc>
        <w:tc>
          <w:tcPr>
            <w:tcW w:type="dxa" w:w="3312"/>
            <w:shd w:fill="F8FAFC"/>
            <w:tcMar>
              <w:top w:w="50" w:type="dxa"/>
              <w:bottom w:w="50" w:type="dxa"/>
              <w:left w:w="80" w:type="dxa"/>
              <w:right w:w="80" w:type="dxa"/>
            </w:tcMar>
          </w:tcPr>
          <w:p>
            <w:pPr>
              <w:jc w:val="left"/>
            </w:pPr>
            <w:r>
              <w:rPr>
                <w:rFonts w:ascii="Arial" w:hAnsi="Arial"/>
                <w:color w:val="1E293B"/>
                <w:sz w:val="16"/>
              </w:rPr>
              <w:t>Uji sintaks &amp; regresi (wazuh-logtest &amp; pytest suite)</w:t>
            </w:r>
          </w:p>
        </w:tc>
        <w:tc>
          <w:tcPr>
            <w:tcW w:type="dxa" w:w="1872"/>
            <w:shd w:fill="F8FAFC"/>
            <w:tcMar>
              <w:top w:w="50" w:type="dxa"/>
              <w:bottom w:w="50" w:type="dxa"/>
              <w:left w:w="80" w:type="dxa"/>
              <w:right w:w="80" w:type="dxa"/>
            </w:tcMar>
          </w:tcPr>
          <w:p>
            <w:pPr>
              <w:jc w:val="left"/>
            </w:pPr>
            <w:r>
              <w:rPr>
                <w:rFonts w:ascii="Arial" w:hAnsi="Arial"/>
                <w:color w:val="1E293B"/>
                <w:sz w:val="16"/>
              </w:rPr>
              <w:t>QA / SecOps</w:t>
            </w:r>
          </w:p>
        </w:tc>
        <w:tc>
          <w:tcPr>
            <w:tcW w:type="dxa" w:w="2016"/>
            <w:shd w:fill="F8FAFC"/>
            <w:tcMar>
              <w:top w:w="50" w:type="dxa"/>
              <w:bottom w:w="50" w:type="dxa"/>
              <w:left w:w="80" w:type="dxa"/>
              <w:right w:w="80" w:type="dxa"/>
            </w:tcMar>
          </w:tcPr>
          <w:p>
            <w:pPr>
              <w:jc w:val="left"/>
            </w:pPr>
            <w:r>
              <w:rPr>
                <w:rFonts w:ascii="Arial" w:hAnsi="Arial"/>
                <w:color w:val="1E293B"/>
                <w:sz w:val="16"/>
              </w:rPr>
              <w:t>27 Unit Tests PASS</w:t>
            </w:r>
          </w:p>
        </w:tc>
      </w:tr>
      <w:tr>
        <w:tc>
          <w:tcPr>
            <w:tcW w:type="dxa" w:w="2160"/>
            <w:shd w:fill="FFFFFF"/>
            <w:tcMar>
              <w:top w:w="50" w:type="dxa"/>
              <w:bottom w:w="50" w:type="dxa"/>
              <w:left w:w="80" w:type="dxa"/>
              <w:right w:w="80" w:type="dxa"/>
            </w:tcMar>
          </w:tcPr>
          <w:p>
            <w:pPr>
              <w:jc w:val="left"/>
            </w:pPr>
            <w:r>
              <w:rPr>
                <w:rFonts w:ascii="Arial" w:hAnsi="Arial"/>
                <w:color w:val="1E293B"/>
                <w:sz w:val="16"/>
              </w:rPr>
              <w:t>7. Production Deployment</w:t>
            </w:r>
          </w:p>
        </w:tc>
        <w:tc>
          <w:tcPr>
            <w:tcW w:type="dxa" w:w="3312"/>
            <w:shd w:fill="FFFFFF"/>
            <w:tcMar>
              <w:top w:w="50" w:type="dxa"/>
              <w:bottom w:w="50" w:type="dxa"/>
              <w:left w:w="80" w:type="dxa"/>
              <w:right w:w="80" w:type="dxa"/>
            </w:tcMar>
          </w:tcPr>
          <w:p>
            <w:pPr>
              <w:jc w:val="left"/>
            </w:pPr>
            <w:r>
              <w:rPr>
                <w:rFonts w:ascii="Arial" w:hAnsi="Arial"/>
                <w:color w:val="1E293B"/>
                <w:sz w:val="16"/>
              </w:rPr>
              <w:t>Deploy ruleset ke wazuh-manager / restart cluster</w:t>
            </w:r>
          </w:p>
        </w:tc>
        <w:tc>
          <w:tcPr>
            <w:tcW w:type="dxa" w:w="1872"/>
            <w:shd w:fill="FFFFFF"/>
            <w:tcMar>
              <w:top w:w="50" w:type="dxa"/>
              <w:bottom w:w="50" w:type="dxa"/>
              <w:left w:w="80" w:type="dxa"/>
              <w:right w:w="80" w:type="dxa"/>
            </w:tcMar>
          </w:tcPr>
          <w:p>
            <w:pPr>
              <w:jc w:val="left"/>
            </w:pPr>
            <w:r>
              <w:rPr>
                <w:rFonts w:ascii="Arial" w:hAnsi="Arial"/>
                <w:color w:val="1E293B"/>
                <w:sz w:val="16"/>
              </w:rPr>
              <w:t>SecOps Lead</w:t>
            </w:r>
          </w:p>
        </w:tc>
        <w:tc>
          <w:tcPr>
            <w:tcW w:type="dxa" w:w="2016"/>
            <w:shd w:fill="FFFFFF"/>
            <w:tcMar>
              <w:top w:w="50" w:type="dxa"/>
              <w:bottom w:w="50" w:type="dxa"/>
              <w:left w:w="80" w:type="dxa"/>
              <w:right w:w="80" w:type="dxa"/>
            </w:tcMar>
          </w:tcPr>
          <w:p>
            <w:pPr>
              <w:jc w:val="left"/>
            </w:pPr>
            <w:r>
              <w:rPr>
                <w:rFonts w:ascii="Arial" w:hAnsi="Arial"/>
                <w:color w:val="1E293B"/>
                <w:sz w:val="16"/>
              </w:rPr>
              <w:t>Wazuh Ruleset v2.0</w:t>
            </w:r>
          </w:p>
        </w:tc>
      </w:tr>
      <w:tr>
        <w:tc>
          <w:tcPr>
            <w:tcW w:type="dxa" w:w="2160"/>
            <w:shd w:fill="F8FAFC"/>
            <w:tcMar>
              <w:top w:w="50" w:type="dxa"/>
              <w:bottom w:w="50" w:type="dxa"/>
              <w:left w:w="80" w:type="dxa"/>
              <w:right w:w="80" w:type="dxa"/>
            </w:tcMar>
          </w:tcPr>
          <w:p>
            <w:pPr>
              <w:jc w:val="left"/>
            </w:pPr>
            <w:r>
              <w:rPr>
                <w:rFonts w:ascii="Arial" w:hAnsi="Arial"/>
                <w:color w:val="1E293B"/>
                <w:sz w:val="16"/>
              </w:rPr>
              <w:t>8. Measure Result</w:t>
            </w:r>
          </w:p>
        </w:tc>
        <w:tc>
          <w:tcPr>
            <w:tcW w:type="dxa" w:w="3312"/>
            <w:shd w:fill="F8FAFC"/>
            <w:tcMar>
              <w:top w:w="50" w:type="dxa"/>
              <w:bottom w:w="50" w:type="dxa"/>
              <w:left w:w="80" w:type="dxa"/>
              <w:right w:w="80" w:type="dxa"/>
            </w:tcMar>
          </w:tcPr>
          <w:p>
            <w:pPr>
              <w:jc w:val="left"/>
            </w:pPr>
            <w:r>
              <w:rPr>
                <w:rFonts w:ascii="Arial" w:hAnsi="Arial"/>
                <w:color w:val="1E293B"/>
                <w:sz w:val="16"/>
              </w:rPr>
              <w:t>Pengukuran efisiensi reduksi terhadap baseline</w:t>
            </w:r>
          </w:p>
        </w:tc>
        <w:tc>
          <w:tcPr>
            <w:tcW w:type="dxa" w:w="1872"/>
            <w:shd w:fill="F8FAFC"/>
            <w:tcMar>
              <w:top w:w="50" w:type="dxa"/>
              <w:bottom w:w="50" w:type="dxa"/>
              <w:left w:w="80" w:type="dxa"/>
              <w:right w:w="80" w:type="dxa"/>
            </w:tcMar>
          </w:tcPr>
          <w:p>
            <w:pPr>
              <w:jc w:val="left"/>
            </w:pPr>
            <w:r>
              <w:rPr>
                <w:rFonts w:ascii="Arial" w:hAnsi="Arial"/>
                <w:color w:val="1E293B"/>
                <w:sz w:val="16"/>
              </w:rPr>
              <w:t>SOC Manager</w:t>
            </w:r>
          </w:p>
        </w:tc>
        <w:tc>
          <w:tcPr>
            <w:tcW w:type="dxa" w:w="2016"/>
            <w:shd w:fill="F8FAFC"/>
            <w:tcMar>
              <w:top w:w="50" w:type="dxa"/>
              <w:bottom w:w="50" w:type="dxa"/>
              <w:left w:w="80" w:type="dxa"/>
              <w:right w:w="80" w:type="dxa"/>
            </w:tcMar>
          </w:tcPr>
          <w:p>
            <w:pPr>
              <w:jc w:val="left"/>
            </w:pPr>
            <w:r>
              <w:rPr>
                <w:rFonts w:ascii="Arial" w:hAnsi="Arial"/>
                <w:color w:val="1E293B"/>
                <w:sz w:val="16"/>
              </w:rPr>
              <w:t>metrics.operational_metrics_daily</w:t>
            </w:r>
          </w:p>
        </w:tc>
      </w:tr>
    </w:tbl>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3. Jadwal Tata Kelola Multi-Cadence Review (Weekly, Monthly, Quarterly)</w:t>
            </w:r>
          </w:p>
        </w:tc>
      </w:tr>
    </w:tbl>
    <w:p>
      <w:pPr>
        <w:spacing w:after="40"/>
      </w:pPr>
    </w:p>
    <w:tbl>
      <w:tblPr>
        <w:tblW w:type="auto" w:w="0"/>
        <w:jc w:val="center"/>
        <w:tblLook w:firstColumn="1" w:firstRow="1" w:lastColumn="0" w:lastRow="0" w:noHBand="0" w:noVBand="1" w:val="04A0"/>
      </w:tblPr>
      <w:tblGrid>
        <w:gridCol w:w="2628"/>
        <w:gridCol w:w="2628"/>
        <w:gridCol w:w="2628"/>
        <w:gridCol w:w="2628"/>
      </w:tblGrid>
      <w:tr>
        <w:tc>
          <w:tcPr>
            <w:tcW w:type="dxa" w:w="2160"/>
            <w:shd w:fill="1E3A8A"/>
            <w:tcMar>
              <w:top w:w="90" w:type="dxa"/>
              <w:bottom w:w="90" w:type="dxa"/>
              <w:left w:w="100" w:type="dxa"/>
              <w:right w:w="100" w:type="dxa"/>
            </w:tcMar>
          </w:tcPr>
          <w:p>
            <w:pPr>
              <w:jc w:val="left"/>
            </w:pPr>
            <w:r>
              <w:rPr>
                <w:rFonts w:ascii="Arial" w:hAnsi="Arial"/>
                <w:b/>
                <w:color w:val="FFFFFF"/>
                <w:sz w:val="17"/>
              </w:rPr>
              <w:t>Frekuensi Review</w:t>
            </w:r>
          </w:p>
        </w:tc>
        <w:tc>
          <w:tcPr>
            <w:tcW w:type="dxa" w:w="3312"/>
            <w:shd w:fill="1E3A8A"/>
            <w:tcMar>
              <w:top w:w="90" w:type="dxa"/>
              <w:bottom w:w="90" w:type="dxa"/>
              <w:left w:w="100" w:type="dxa"/>
              <w:right w:w="100" w:type="dxa"/>
            </w:tcMar>
          </w:tcPr>
          <w:p>
            <w:pPr>
              <w:jc w:val="left"/>
            </w:pPr>
            <w:r>
              <w:rPr>
                <w:rFonts w:ascii="Arial" w:hAnsi="Arial"/>
                <w:b/>
                <w:color w:val="FFFFFF"/>
                <w:sz w:val="17"/>
              </w:rPr>
              <w:t>Fokus Item yang Ditinjau</w:t>
            </w:r>
          </w:p>
        </w:tc>
        <w:tc>
          <w:tcPr>
            <w:tcW w:type="dxa" w:w="1872"/>
            <w:shd w:fill="1E3A8A"/>
            <w:tcMar>
              <w:top w:w="90" w:type="dxa"/>
              <w:bottom w:w="90" w:type="dxa"/>
              <w:left w:w="100" w:type="dxa"/>
              <w:right w:w="100" w:type="dxa"/>
            </w:tcMar>
          </w:tcPr>
          <w:p>
            <w:pPr>
              <w:jc w:val="left"/>
            </w:pPr>
            <w:r>
              <w:rPr>
                <w:rFonts w:ascii="Arial" w:hAnsi="Arial"/>
                <w:b/>
                <w:color w:val="FFFFFF"/>
                <w:sz w:val="17"/>
              </w:rPr>
              <w:t>Toleransi &amp; Ambang Batas</w:t>
            </w:r>
          </w:p>
        </w:tc>
        <w:tc>
          <w:tcPr>
            <w:tcW w:type="dxa" w:w="2016"/>
            <w:shd w:fill="1E3A8A"/>
            <w:tcMar>
              <w:top w:w="90" w:type="dxa"/>
              <w:bottom w:w="90" w:type="dxa"/>
              <w:left w:w="100" w:type="dxa"/>
              <w:right w:w="100" w:type="dxa"/>
            </w:tcMar>
          </w:tcPr>
          <w:p>
            <w:pPr>
              <w:jc w:val="left"/>
            </w:pPr>
            <w:r>
              <w:rPr>
                <w:rFonts w:ascii="Arial" w:hAnsi="Arial"/>
                <w:b/>
                <w:color w:val="FFFFFF"/>
                <w:sz w:val="17"/>
              </w:rPr>
              <w:t>Tindakan Korektif</w:t>
            </w:r>
          </w:p>
        </w:tc>
      </w:tr>
      <w:tr>
        <w:tc>
          <w:tcPr>
            <w:tcW w:type="dxa" w:w="2160"/>
            <w:shd w:fill="FFFFFF"/>
            <w:tcMar>
              <w:top w:w="50" w:type="dxa"/>
              <w:bottom w:w="50" w:type="dxa"/>
              <w:left w:w="80" w:type="dxa"/>
              <w:right w:w="80" w:type="dxa"/>
            </w:tcMar>
          </w:tcPr>
          <w:p>
            <w:pPr>
              <w:jc w:val="left"/>
            </w:pPr>
            <w:r>
              <w:rPr>
                <w:rFonts w:ascii="Arial" w:hAnsi="Arial"/>
                <w:color w:val="1E293B"/>
                <w:sz w:val="16"/>
              </w:rPr>
              <w:t>Weekly Review (Mingguan)</w:t>
            </w:r>
          </w:p>
        </w:tc>
        <w:tc>
          <w:tcPr>
            <w:tcW w:type="dxa" w:w="3312"/>
            <w:shd w:fill="FFFFFF"/>
            <w:tcMar>
              <w:top w:w="50" w:type="dxa"/>
              <w:bottom w:w="50" w:type="dxa"/>
              <w:left w:w="80" w:type="dxa"/>
              <w:right w:w="80" w:type="dxa"/>
            </w:tcMar>
          </w:tcPr>
          <w:p>
            <w:pPr>
              <w:jc w:val="left"/>
            </w:pPr>
            <w:r>
              <w:rPr>
                <w:rFonts w:ascii="Arial" w:hAnsi="Arial"/>
                <w:color w:val="1E293B"/>
                <w:sz w:val="16"/>
              </w:rPr>
              <w:t>• Top noisy rules harian</w:t>
              <w:br/>
              <w:t>• Sumber alert baru (new srcip)</w:t>
              <w:br/>
              <w:t>• Volume event tertekan (suppressed)</w:t>
              <w:br/>
              <w:t>• Rasio kompresi agregasi</w:t>
              <w:br/>
              <w:t>• Pengecualian baru kadaluarsa</w:t>
            </w:r>
          </w:p>
        </w:tc>
        <w:tc>
          <w:tcPr>
            <w:tcW w:type="dxa" w:w="1872"/>
            <w:shd w:fill="FFFFFF"/>
            <w:tcMar>
              <w:top w:w="50" w:type="dxa"/>
              <w:bottom w:w="50" w:type="dxa"/>
              <w:left w:w="80" w:type="dxa"/>
              <w:right w:w="80" w:type="dxa"/>
            </w:tcMar>
          </w:tcPr>
          <w:p>
            <w:pPr>
              <w:jc w:val="left"/>
            </w:pPr>
            <w:r>
              <w:rPr>
                <w:rFonts w:ascii="Arial" w:hAnsi="Arial"/>
                <w:color w:val="1E293B"/>
                <w:sz w:val="16"/>
              </w:rPr>
              <w:t>Rasio kompresi &gt;= 95%</w:t>
              <w:br/>
              <w:t>Suppression Escape &lt;= 0,00%</w:t>
            </w:r>
          </w:p>
        </w:tc>
        <w:tc>
          <w:tcPr>
            <w:tcW w:type="dxa" w:w="2016"/>
            <w:shd w:fill="FFFFFF"/>
            <w:tcMar>
              <w:top w:w="50" w:type="dxa"/>
              <w:bottom w:w="50" w:type="dxa"/>
              <w:left w:w="80" w:type="dxa"/>
              <w:right w:w="80" w:type="dxa"/>
            </w:tcMar>
          </w:tcPr>
          <w:p>
            <w:pPr>
              <w:jc w:val="left"/>
            </w:pPr>
            <w:r>
              <w:rPr>
                <w:rFonts w:ascii="Arial" w:hAnsi="Arial"/>
                <w:color w:val="1E293B"/>
                <w:sz w:val="16"/>
              </w:rPr>
              <w:t>Tuning ulang rule dengan Noise Score melonjak; perpanjang/hapus tiket supresi kadaluarsa.</w:t>
            </w:r>
          </w:p>
        </w:tc>
      </w:tr>
      <w:tr>
        <w:tc>
          <w:tcPr>
            <w:tcW w:type="dxa" w:w="2160"/>
            <w:shd w:fill="F8FAFC"/>
            <w:tcMar>
              <w:top w:w="50" w:type="dxa"/>
              <w:bottom w:w="50" w:type="dxa"/>
              <w:left w:w="80" w:type="dxa"/>
              <w:right w:w="80" w:type="dxa"/>
            </w:tcMar>
          </w:tcPr>
          <w:p>
            <w:pPr>
              <w:jc w:val="left"/>
            </w:pPr>
            <w:r>
              <w:rPr>
                <w:rFonts w:ascii="Arial" w:hAnsi="Arial"/>
                <w:color w:val="1E293B"/>
                <w:sz w:val="16"/>
              </w:rPr>
              <w:t>Monthly Review (Bulanan)</w:t>
            </w:r>
          </w:p>
        </w:tc>
        <w:tc>
          <w:tcPr>
            <w:tcW w:type="dxa" w:w="3312"/>
            <w:shd w:fill="F8FAFC"/>
            <w:tcMar>
              <w:top w:w="50" w:type="dxa"/>
              <w:bottom w:w="50" w:type="dxa"/>
              <w:left w:w="80" w:type="dxa"/>
              <w:right w:w="80" w:type="dxa"/>
            </w:tcMar>
          </w:tcPr>
          <w:p>
            <w:pPr>
              <w:jc w:val="left"/>
            </w:pPr>
            <w:r>
              <w:rPr>
                <w:rFonts w:ascii="Arial" w:hAnsi="Arial"/>
                <w:color w:val="1E293B"/>
                <w:sz w:val="16"/>
              </w:rPr>
              <w:t>• Efektivitas korelasi rantai serangan</w:t>
              <w:br/>
              <w:t>• TPR insiden P0/P1 High</w:t>
              <w:br/>
              <w:t>• Review kekritisan aset (Asset Tier)</w:t>
              <w:br/>
              <w:t>• Audit CDB Allowlist &amp; Supresi</w:t>
              <w:br/>
              <w:t>• Beban kerja analis (Alerts/analyst)</w:t>
            </w:r>
          </w:p>
        </w:tc>
        <w:tc>
          <w:tcPr>
            <w:tcW w:type="dxa" w:w="1872"/>
            <w:shd w:fill="F8FAFC"/>
            <w:tcMar>
              <w:top w:w="50" w:type="dxa"/>
              <w:bottom w:w="50" w:type="dxa"/>
              <w:left w:w="80" w:type="dxa"/>
              <w:right w:w="80" w:type="dxa"/>
            </w:tcMar>
          </w:tcPr>
          <w:p>
            <w:pPr>
              <w:jc w:val="left"/>
            </w:pPr>
            <w:r>
              <w:rPr>
                <w:rFonts w:ascii="Arial" w:hAnsi="Arial"/>
                <w:color w:val="1E293B"/>
                <w:sz w:val="16"/>
              </w:rPr>
              <w:t>P0/P1 TPR &gt;= 90%</w:t>
              <w:br/>
              <w:t>Beban analis &lt; 5 tiket/hari</w:t>
            </w:r>
          </w:p>
        </w:tc>
        <w:tc>
          <w:tcPr>
            <w:tcW w:type="dxa" w:w="2016"/>
            <w:shd w:fill="F8FAFC"/>
            <w:tcMar>
              <w:top w:w="50" w:type="dxa"/>
              <w:bottom w:w="50" w:type="dxa"/>
              <w:left w:w="80" w:type="dxa"/>
              <w:right w:w="80" w:type="dxa"/>
            </w:tcMar>
          </w:tcPr>
          <w:p>
            <w:pPr>
              <w:jc w:val="left"/>
            </w:pPr>
            <w:r>
              <w:rPr>
                <w:rFonts w:ascii="Arial" w:hAnsi="Arial"/>
                <w:color w:val="1E293B"/>
                <w:sz w:val="16"/>
              </w:rPr>
              <w:t>Perbarui CDB list scanner/admin; sesuaikan tier aset jika ada migrasi server produksi.</w:t>
            </w:r>
          </w:p>
        </w:tc>
      </w:tr>
      <w:tr>
        <w:tc>
          <w:tcPr>
            <w:tcW w:type="dxa" w:w="2160"/>
            <w:shd w:fill="FFFFFF"/>
            <w:tcMar>
              <w:top w:w="50" w:type="dxa"/>
              <w:bottom w:w="50" w:type="dxa"/>
              <w:left w:w="80" w:type="dxa"/>
              <w:right w:w="80" w:type="dxa"/>
            </w:tcMar>
          </w:tcPr>
          <w:p>
            <w:pPr>
              <w:jc w:val="left"/>
            </w:pPr>
            <w:r>
              <w:rPr>
                <w:rFonts w:ascii="Arial" w:hAnsi="Arial"/>
                <w:color w:val="1E293B"/>
                <w:sz w:val="16"/>
              </w:rPr>
              <w:t>Quarterly Review (Kuartalan)</w:t>
            </w:r>
          </w:p>
        </w:tc>
        <w:tc>
          <w:tcPr>
            <w:tcW w:type="dxa" w:w="3312"/>
            <w:shd w:fill="FFFFFF"/>
            <w:tcMar>
              <w:top w:w="50" w:type="dxa"/>
              <w:bottom w:w="50" w:type="dxa"/>
              <w:left w:w="80" w:type="dxa"/>
              <w:right w:w="80" w:type="dxa"/>
            </w:tcMar>
          </w:tcPr>
          <w:p>
            <w:pPr>
              <w:jc w:val="left"/>
            </w:pPr>
            <w:r>
              <w:rPr>
                <w:rFonts w:ascii="Arial" w:hAnsi="Arial"/>
                <w:color w:val="1E293B"/>
                <w:sz w:val="16"/>
              </w:rPr>
              <w:t>• Bobot formula risk-scoring dinamis</w:t>
              <w:br/>
              <w:t>• Cakupan deteksi MITRE ATT&amp;CK</w:t>
              <w:br/>
              <w:t>• Aturan usang (Obsolete Rules)</w:t>
              <w:br/>
              <w:t>• Pengecualian supresi tak terpakai</w:t>
            </w:r>
          </w:p>
        </w:tc>
        <w:tc>
          <w:tcPr>
            <w:tcW w:type="dxa" w:w="1872"/>
            <w:shd w:fill="FFFFFF"/>
            <w:tcMar>
              <w:top w:w="50" w:type="dxa"/>
              <w:bottom w:w="50" w:type="dxa"/>
              <w:left w:w="80" w:type="dxa"/>
              <w:right w:w="80" w:type="dxa"/>
            </w:tcMar>
          </w:tcPr>
          <w:p>
            <w:pPr>
              <w:jc w:val="left"/>
            </w:pPr>
            <w:r>
              <w:rPr>
                <w:rFonts w:ascii="Arial" w:hAnsi="Arial"/>
                <w:color w:val="1E293B"/>
                <w:sz w:val="16"/>
              </w:rPr>
              <w:t>MITRE Coverage &gt;= 75%</w:t>
              <w:br/>
              <w:t>Zero Obsolete Rules</w:t>
            </w:r>
          </w:p>
        </w:tc>
        <w:tc>
          <w:tcPr>
            <w:tcW w:type="dxa" w:w="2016"/>
            <w:shd w:fill="FFFFFF"/>
            <w:tcMar>
              <w:top w:w="50" w:type="dxa"/>
              <w:bottom w:w="50" w:type="dxa"/>
              <w:left w:w="80" w:type="dxa"/>
              <w:right w:w="80" w:type="dxa"/>
            </w:tcMar>
          </w:tcPr>
          <w:p>
            <w:pPr>
              <w:jc w:val="left"/>
            </w:pPr>
            <w:r>
              <w:rPr>
                <w:rFonts w:ascii="Arial" w:hAnsi="Arial"/>
                <w:color w:val="1E293B"/>
                <w:sz w:val="16"/>
              </w:rPr>
              <w:t>Hapus XML rule yang tidak pernah terpicu &gt;90 hari; kalibrasi ulang skor risiko bersama CISO.</w:t>
            </w:r>
          </w:p>
        </w:tc>
      </w:tr>
    </w:tbl>
    <w:p>
      <w:pPr>
        <w:spacing w:before="160" w:after="40"/>
      </w:pPr>
    </w:p>
    <w:tbl>
      <w:tblPr>
        <w:tblW w:type="auto" w:w="0"/>
        <w:jc w:val="center"/>
        <w:tblLook w:firstColumn="1" w:firstRow="1" w:lastColumn="0" w:lastRow="0" w:noHBand="0" w:noVBand="1" w:val="04A0"/>
      </w:tblPr>
      <w:tblGrid>
        <w:gridCol w:w="10512"/>
      </w:tblGrid>
      <w:tr>
        <w:tc>
          <w:tcPr>
            <w:tcW w:type="dxa" w:w="9360"/>
            <w:shd w:fill="1E3A8A"/>
            <w:tcMar>
              <w:top w:w="50" w:type="dxa"/>
              <w:bottom w:w="50" w:type="dxa"/>
              <w:left w:w="100" w:type="dxa"/>
              <w:right w:w="100" w:type="dxa"/>
            </w:tcMar>
          </w:tcPr>
          <w:p>
            <w:pPr>
              <w:jc w:val="center"/>
            </w:pPr>
            <w:r>
              <w:rPr>
                <w:rFonts w:ascii="Arial" w:hAnsi="Arial"/>
                <w:b/>
                <w:color w:val="FFFFFF"/>
                <w:sz w:val="19"/>
              </w:rPr>
              <w:t>4. Metrik Operasional Harian Terkunci (Dataset Real Juli 2026)</w:t>
            </w:r>
          </w:p>
        </w:tc>
      </w:tr>
    </w:tbl>
    <w:p>
      <w:pPr>
        <w:spacing w:after="40"/>
      </w:pPr>
    </w:p>
    <w:tbl>
      <w:tblPr>
        <w:tblW w:type="auto" w:w="0"/>
        <w:jc w:val="center"/>
        <w:tblLook w:firstColumn="1" w:firstRow="1" w:lastColumn="0" w:lastRow="0" w:noHBand="0" w:noVBand="1" w:val="04A0"/>
      </w:tblPr>
      <w:tblGrid>
        <w:gridCol w:w="2628"/>
        <w:gridCol w:w="2628"/>
        <w:gridCol w:w="2628"/>
        <w:gridCol w:w="2628"/>
      </w:tblGrid>
      <w:tr>
        <w:tc>
          <w:tcPr>
            <w:tcW w:type="dxa" w:w="2880"/>
            <w:shd w:fill="1E3A8A"/>
            <w:tcMar>
              <w:top w:w="90" w:type="dxa"/>
              <w:bottom w:w="90" w:type="dxa"/>
              <w:left w:w="100" w:type="dxa"/>
              <w:right w:w="100" w:type="dxa"/>
            </w:tcMar>
          </w:tcPr>
          <w:p>
            <w:pPr>
              <w:jc w:val="left"/>
            </w:pPr>
            <w:r>
              <w:rPr>
                <w:rFonts w:ascii="Arial" w:hAnsi="Arial"/>
                <w:b/>
                <w:color w:val="FFFFFF"/>
                <w:sz w:val="17"/>
              </w:rPr>
              <w:t>Parameter Metrik Operasional</w:t>
            </w:r>
          </w:p>
        </w:tc>
        <w:tc>
          <w:tcPr>
            <w:tcW w:type="dxa" w:w="2160"/>
            <w:shd w:fill="1E3A8A"/>
            <w:tcMar>
              <w:top w:w="90" w:type="dxa"/>
              <w:bottom w:w="90" w:type="dxa"/>
              <w:left w:w="100" w:type="dxa"/>
              <w:right w:w="100" w:type="dxa"/>
            </w:tcMar>
          </w:tcPr>
          <w:p>
            <w:pPr>
              <w:jc w:val="left"/>
            </w:pPr>
            <w:r>
              <w:rPr>
                <w:rFonts w:ascii="Arial" w:hAnsi="Arial"/>
                <w:b/>
                <w:color w:val="FFFFFF"/>
                <w:sz w:val="17"/>
              </w:rPr>
              <w:t>Nilai Baseline Awal (Phase 1)</w:t>
            </w:r>
          </w:p>
        </w:tc>
        <w:tc>
          <w:tcPr>
            <w:tcW w:type="dxa" w:w="2160"/>
            <w:shd w:fill="1E3A8A"/>
            <w:tcMar>
              <w:top w:w="90" w:type="dxa"/>
              <w:bottom w:w="90" w:type="dxa"/>
              <w:left w:w="100" w:type="dxa"/>
              <w:right w:w="100" w:type="dxa"/>
            </w:tcMar>
          </w:tcPr>
          <w:p>
            <w:pPr>
              <w:jc w:val="left"/>
            </w:pPr>
            <w:r>
              <w:rPr>
                <w:rFonts w:ascii="Arial" w:hAnsi="Arial"/>
                <w:b/>
                <w:color w:val="FFFFFF"/>
                <w:sz w:val="17"/>
              </w:rPr>
              <w:t>Nilai Pasca-Tuning (Phase 9)</w:t>
            </w:r>
          </w:p>
        </w:tc>
        <w:tc>
          <w:tcPr>
            <w:tcW w:type="dxa" w:w="2160"/>
            <w:shd w:fill="1E3A8A"/>
            <w:tcMar>
              <w:top w:w="90" w:type="dxa"/>
              <w:bottom w:w="90" w:type="dxa"/>
              <w:left w:w="100" w:type="dxa"/>
              <w:right w:w="100" w:type="dxa"/>
            </w:tcMar>
          </w:tcPr>
          <w:p>
            <w:pPr>
              <w:jc w:val="left"/>
            </w:pPr>
            <w:r>
              <w:rPr>
                <w:rFonts w:ascii="Arial" w:hAnsi="Arial"/>
                <w:b/>
                <w:color w:val="FFFFFF"/>
                <w:sz w:val="17"/>
              </w:rPr>
              <w:t>Efisiensi Peningkatan</w:t>
            </w:r>
          </w:p>
        </w:tc>
      </w:tr>
      <w:tr>
        <w:tc>
          <w:tcPr>
            <w:tcW w:type="dxa" w:w="2880"/>
            <w:shd w:fill="FFFFFF"/>
            <w:tcMar>
              <w:top w:w="50" w:type="dxa"/>
              <w:bottom w:w="50" w:type="dxa"/>
              <w:left w:w="80" w:type="dxa"/>
              <w:right w:w="80" w:type="dxa"/>
            </w:tcMar>
          </w:tcPr>
          <w:p>
            <w:pPr>
              <w:jc w:val="left"/>
            </w:pPr>
            <w:r>
              <w:rPr>
                <w:rFonts w:ascii="Arial" w:hAnsi="Arial"/>
                <w:color w:val="1E293B"/>
                <w:sz w:val="16"/>
              </w:rPr>
              <w:t>Total Volume Log per Bulan</w:t>
            </w:r>
          </w:p>
        </w:tc>
        <w:tc>
          <w:tcPr>
            <w:tcW w:type="dxa" w:w="2160"/>
            <w:shd w:fill="FFFFFF"/>
            <w:tcMar>
              <w:top w:w="50" w:type="dxa"/>
              <w:bottom w:w="50" w:type="dxa"/>
              <w:left w:w="80" w:type="dxa"/>
              <w:right w:w="80" w:type="dxa"/>
            </w:tcMar>
          </w:tcPr>
          <w:p>
            <w:pPr>
              <w:jc w:val="left"/>
            </w:pPr>
            <w:r>
              <w:rPr>
                <w:rFonts w:ascii="Arial" w:hAnsi="Arial"/>
                <w:color w:val="1E293B"/>
                <w:sz w:val="16"/>
              </w:rPr>
              <w:t>840.402 Alert Mentah</w:t>
            </w:r>
          </w:p>
        </w:tc>
        <w:tc>
          <w:tcPr>
            <w:tcW w:type="dxa" w:w="2160"/>
            <w:shd w:fill="FFFFFF"/>
            <w:tcMar>
              <w:top w:w="50" w:type="dxa"/>
              <w:bottom w:w="50" w:type="dxa"/>
              <w:left w:w="80" w:type="dxa"/>
              <w:right w:w="80" w:type="dxa"/>
            </w:tcMar>
          </w:tcPr>
          <w:p>
            <w:pPr>
              <w:jc w:val="left"/>
            </w:pPr>
            <w:r>
              <w:rPr>
                <w:rFonts w:ascii="Arial" w:hAnsi="Arial"/>
                <w:color w:val="1E293B"/>
                <w:sz w:val="16"/>
              </w:rPr>
              <w:t>840.402 Alert (Tersimpan 100%)</w:t>
            </w:r>
          </w:p>
        </w:tc>
        <w:tc>
          <w:tcPr>
            <w:tcW w:type="dxa" w:w="2160"/>
            <w:shd w:fill="FFFFFF"/>
            <w:tcMar>
              <w:top w:w="50" w:type="dxa"/>
              <w:bottom w:w="50" w:type="dxa"/>
              <w:left w:w="80" w:type="dxa"/>
              <w:right w:w="80" w:type="dxa"/>
            </w:tcMar>
          </w:tcPr>
          <w:p>
            <w:pPr>
              <w:jc w:val="left"/>
            </w:pPr>
            <w:r>
              <w:rPr>
                <w:rFonts w:ascii="Arial" w:hAnsi="Arial"/>
                <w:color w:val="1E293B"/>
                <w:sz w:val="16"/>
              </w:rPr>
              <w:t>Integritas Forensik 100%</w:t>
            </w:r>
          </w:p>
        </w:tc>
      </w:tr>
      <w:tr>
        <w:tc>
          <w:tcPr>
            <w:tcW w:type="dxa" w:w="2880"/>
            <w:shd w:fill="F8FAFC"/>
            <w:tcMar>
              <w:top w:w="50" w:type="dxa"/>
              <w:bottom w:w="50" w:type="dxa"/>
              <w:left w:w="80" w:type="dxa"/>
              <w:right w:w="80" w:type="dxa"/>
            </w:tcMar>
          </w:tcPr>
          <w:p>
            <w:pPr>
              <w:jc w:val="left"/>
            </w:pPr>
            <w:r>
              <w:rPr>
                <w:rFonts w:ascii="Arial" w:hAnsi="Arial"/>
                <w:color w:val="1E293B"/>
                <w:sz w:val="16"/>
              </w:rPr>
              <w:t>Volume Alert Harian (Alerts/Day)</w:t>
            </w:r>
          </w:p>
        </w:tc>
        <w:tc>
          <w:tcPr>
            <w:tcW w:type="dxa" w:w="2160"/>
            <w:shd w:fill="F8FAFC"/>
            <w:tcMar>
              <w:top w:w="50" w:type="dxa"/>
              <w:bottom w:w="50" w:type="dxa"/>
              <w:left w:w="80" w:type="dxa"/>
              <w:right w:w="80" w:type="dxa"/>
            </w:tcMar>
          </w:tcPr>
          <w:p>
            <w:pPr>
              <w:jc w:val="left"/>
            </w:pPr>
            <w:r>
              <w:rPr>
                <w:rFonts w:ascii="Arial" w:hAnsi="Arial"/>
                <w:color w:val="1E293B"/>
                <w:sz w:val="16"/>
              </w:rPr>
              <w:t>27.109,7 Alert / Hari</w:t>
            </w:r>
          </w:p>
        </w:tc>
        <w:tc>
          <w:tcPr>
            <w:tcW w:type="dxa" w:w="2160"/>
            <w:shd w:fill="F8FAFC"/>
            <w:tcMar>
              <w:top w:w="50" w:type="dxa"/>
              <w:bottom w:w="50" w:type="dxa"/>
              <w:left w:w="80" w:type="dxa"/>
              <w:right w:w="80" w:type="dxa"/>
            </w:tcMar>
          </w:tcPr>
          <w:p>
            <w:pPr>
              <w:jc w:val="left"/>
            </w:pPr>
            <w:r>
              <w:rPr>
                <w:rFonts w:ascii="Arial" w:hAnsi="Arial"/>
                <w:color w:val="1E293B"/>
                <w:sz w:val="16"/>
              </w:rPr>
              <w:t>610,9 Objek Ringkas / Hari</w:t>
            </w:r>
          </w:p>
        </w:tc>
        <w:tc>
          <w:tcPr>
            <w:tcW w:type="dxa" w:w="2160"/>
            <w:shd w:fill="F8FAFC"/>
            <w:tcMar>
              <w:top w:w="50" w:type="dxa"/>
              <w:bottom w:w="50" w:type="dxa"/>
              <w:left w:w="80" w:type="dxa"/>
              <w:right w:w="80" w:type="dxa"/>
            </w:tcMar>
          </w:tcPr>
          <w:p>
            <w:pPr>
              <w:jc w:val="left"/>
            </w:pPr>
            <w:r>
              <w:rPr>
                <w:rFonts w:ascii="Arial" w:hAnsi="Arial"/>
                <w:color w:val="1E293B"/>
                <w:sz w:val="16"/>
              </w:rPr>
              <w:t>Penurunan Beban 97,75%</w:t>
            </w:r>
          </w:p>
        </w:tc>
      </w:tr>
      <w:tr>
        <w:tc>
          <w:tcPr>
            <w:tcW w:type="dxa" w:w="2880"/>
            <w:shd w:fill="FFFFFF"/>
            <w:tcMar>
              <w:top w:w="50" w:type="dxa"/>
              <w:bottom w:w="50" w:type="dxa"/>
              <w:left w:w="80" w:type="dxa"/>
              <w:right w:w="80" w:type="dxa"/>
            </w:tcMar>
          </w:tcPr>
          <w:p>
            <w:pPr>
              <w:jc w:val="left"/>
            </w:pPr>
            <w:r>
              <w:rPr>
                <w:rFonts w:ascii="Arial" w:hAnsi="Arial"/>
                <w:color w:val="1E293B"/>
                <w:sz w:val="16"/>
              </w:rPr>
              <w:t>Beban Kerja Analis (Alerts/Analyst/Hour)</w:t>
            </w:r>
          </w:p>
        </w:tc>
        <w:tc>
          <w:tcPr>
            <w:tcW w:type="dxa" w:w="2160"/>
            <w:shd w:fill="FFFFFF"/>
            <w:tcMar>
              <w:top w:w="50" w:type="dxa"/>
              <w:bottom w:w="50" w:type="dxa"/>
              <w:left w:w="80" w:type="dxa"/>
              <w:right w:w="80" w:type="dxa"/>
            </w:tcMar>
          </w:tcPr>
          <w:p>
            <w:pPr>
              <w:jc w:val="left"/>
            </w:pPr>
            <w:r>
              <w:rPr>
                <w:rFonts w:ascii="Arial" w:hAnsi="Arial"/>
                <w:color w:val="1E293B"/>
                <w:sz w:val="16"/>
              </w:rPr>
              <w:t>1.129,5 Alert / Analis / Jam</w:t>
            </w:r>
          </w:p>
        </w:tc>
        <w:tc>
          <w:tcPr>
            <w:tcW w:type="dxa" w:w="2160"/>
            <w:shd w:fill="FFFFFF"/>
            <w:tcMar>
              <w:top w:w="50" w:type="dxa"/>
              <w:bottom w:w="50" w:type="dxa"/>
              <w:left w:w="80" w:type="dxa"/>
              <w:right w:w="80" w:type="dxa"/>
            </w:tcMar>
          </w:tcPr>
          <w:p>
            <w:pPr>
              <w:jc w:val="left"/>
            </w:pPr>
            <w:r>
              <w:rPr>
                <w:rFonts w:ascii="Arial" w:hAnsi="Arial"/>
                <w:color w:val="1E293B"/>
                <w:sz w:val="16"/>
              </w:rPr>
              <w:t>0,08 Tiket / Analis / Jam</w:t>
            </w:r>
          </w:p>
        </w:tc>
        <w:tc>
          <w:tcPr>
            <w:tcW w:type="dxa" w:w="2160"/>
            <w:shd w:fill="FFFFFF"/>
            <w:tcMar>
              <w:top w:w="50" w:type="dxa"/>
              <w:bottom w:w="50" w:type="dxa"/>
              <w:left w:w="80" w:type="dxa"/>
              <w:right w:w="80" w:type="dxa"/>
            </w:tcMar>
          </w:tcPr>
          <w:p>
            <w:pPr>
              <w:jc w:val="left"/>
            </w:pPr>
            <w:r>
              <w:rPr>
                <w:rFonts w:ascii="Arial" w:hAnsi="Arial"/>
                <w:color w:val="1E293B"/>
                <w:sz w:val="16"/>
              </w:rPr>
              <w:t>Pemberantasan Alert Fatigue</w:t>
            </w:r>
          </w:p>
        </w:tc>
      </w:tr>
      <w:tr>
        <w:tc>
          <w:tcPr>
            <w:tcW w:type="dxa" w:w="2880"/>
            <w:shd w:fill="F8FAFC"/>
            <w:tcMar>
              <w:top w:w="50" w:type="dxa"/>
              <w:bottom w:w="50" w:type="dxa"/>
              <w:left w:w="80" w:type="dxa"/>
              <w:right w:w="80" w:type="dxa"/>
            </w:tcMar>
          </w:tcPr>
          <w:p>
            <w:pPr>
              <w:jc w:val="left"/>
            </w:pPr>
            <w:r>
              <w:rPr>
                <w:rFonts w:ascii="Arial" w:hAnsi="Arial"/>
                <w:color w:val="1E293B"/>
                <w:sz w:val="16"/>
              </w:rPr>
              <w:t>Tingkat Tangkapan Serangan (TPR)</w:t>
            </w:r>
          </w:p>
        </w:tc>
        <w:tc>
          <w:tcPr>
            <w:tcW w:type="dxa" w:w="2160"/>
            <w:shd w:fill="F8FAFC"/>
            <w:tcMar>
              <w:top w:w="50" w:type="dxa"/>
              <w:bottom w:w="50" w:type="dxa"/>
              <w:left w:w="80" w:type="dxa"/>
              <w:right w:w="80" w:type="dxa"/>
            </w:tcMar>
          </w:tcPr>
          <w:p>
            <w:pPr>
              <w:jc w:val="left"/>
            </w:pPr>
            <w:r>
              <w:rPr>
                <w:rFonts w:ascii="Arial" w:hAnsi="Arial"/>
                <w:color w:val="1E293B"/>
                <w:sz w:val="16"/>
              </w:rPr>
              <w:t>0,00024% (Tenggelam di noise)</w:t>
            </w:r>
          </w:p>
        </w:tc>
        <w:tc>
          <w:tcPr>
            <w:tcW w:type="dxa" w:w="2160"/>
            <w:shd w:fill="F8FAFC"/>
            <w:tcMar>
              <w:top w:w="50" w:type="dxa"/>
              <w:bottom w:w="50" w:type="dxa"/>
              <w:left w:w="80" w:type="dxa"/>
              <w:right w:w="80" w:type="dxa"/>
            </w:tcMar>
          </w:tcPr>
          <w:p>
            <w:pPr>
              <w:jc w:val="left"/>
            </w:pPr>
            <w:r>
              <w:rPr>
                <w:rFonts w:ascii="Arial" w:hAnsi="Arial"/>
                <w:color w:val="1E293B"/>
                <w:sz w:val="16"/>
              </w:rPr>
              <w:t>100,00% (2 Insiden P1 Terdeteksi)</w:t>
            </w:r>
          </w:p>
        </w:tc>
        <w:tc>
          <w:tcPr>
            <w:tcW w:type="dxa" w:w="2160"/>
            <w:shd w:fill="F8FAFC"/>
            <w:tcMar>
              <w:top w:w="50" w:type="dxa"/>
              <w:bottom w:w="50" w:type="dxa"/>
              <w:left w:w="80" w:type="dxa"/>
              <w:right w:w="80" w:type="dxa"/>
            </w:tcMar>
          </w:tcPr>
          <w:p>
            <w:pPr>
              <w:jc w:val="left"/>
            </w:pPr>
            <w:r>
              <w:rPr>
                <w:rFonts w:ascii="Arial" w:hAnsi="Arial"/>
                <w:color w:val="1E293B"/>
                <w:sz w:val="16"/>
              </w:rPr>
              <w:t>Zero False Negatives</w:t>
            </w:r>
          </w:p>
        </w:tc>
      </w:tr>
      <w:tr>
        <w:tc>
          <w:tcPr>
            <w:tcW w:type="dxa" w:w="2880"/>
            <w:shd w:fill="FFFFFF"/>
            <w:tcMar>
              <w:top w:w="50" w:type="dxa"/>
              <w:bottom w:w="50" w:type="dxa"/>
              <w:left w:w="80" w:type="dxa"/>
              <w:right w:w="80" w:type="dxa"/>
            </w:tcMar>
          </w:tcPr>
          <w:p>
            <w:pPr>
              <w:jc w:val="left"/>
            </w:pPr>
            <w:r>
              <w:rPr>
                <w:rFonts w:ascii="Arial" w:hAnsi="Arial"/>
                <w:color w:val="1E293B"/>
                <w:sz w:val="16"/>
              </w:rPr>
              <w:t>Suppression Escape Rate</w:t>
            </w:r>
          </w:p>
        </w:tc>
        <w:tc>
          <w:tcPr>
            <w:tcW w:type="dxa" w:w="2160"/>
            <w:shd w:fill="FFFFFF"/>
            <w:tcMar>
              <w:top w:w="50" w:type="dxa"/>
              <w:bottom w:w="50" w:type="dxa"/>
              <w:left w:w="80" w:type="dxa"/>
              <w:right w:w="80" w:type="dxa"/>
            </w:tcMar>
          </w:tcPr>
          <w:p>
            <w:pPr>
              <w:jc w:val="left"/>
            </w:pPr>
            <w:r>
              <w:rPr>
                <w:rFonts w:ascii="Arial" w:hAnsi="Arial"/>
                <w:color w:val="1E293B"/>
                <w:sz w:val="16"/>
              </w:rPr>
              <w:t>N/A</w:t>
            </w:r>
          </w:p>
        </w:tc>
        <w:tc>
          <w:tcPr>
            <w:tcW w:type="dxa" w:w="2160"/>
            <w:shd w:fill="FFFFFF"/>
            <w:tcMar>
              <w:top w:w="50" w:type="dxa"/>
              <w:bottom w:w="50" w:type="dxa"/>
              <w:left w:w="80" w:type="dxa"/>
              <w:right w:w="80" w:type="dxa"/>
            </w:tcMar>
          </w:tcPr>
          <w:p>
            <w:pPr>
              <w:jc w:val="left"/>
            </w:pPr>
            <w:r>
              <w:rPr>
                <w:rFonts w:ascii="Arial" w:hAnsi="Arial"/>
                <w:color w:val="1E293B"/>
                <w:sz w:val="16"/>
              </w:rPr>
              <w:t>0,00% (Tidak ada blindspot)</w:t>
            </w:r>
          </w:p>
        </w:tc>
        <w:tc>
          <w:tcPr>
            <w:tcW w:type="dxa" w:w="2160"/>
            <w:shd w:fill="FFFFFF"/>
            <w:tcMar>
              <w:top w:w="50" w:type="dxa"/>
              <w:bottom w:w="50" w:type="dxa"/>
              <w:left w:w="80" w:type="dxa"/>
              <w:right w:w="80" w:type="dxa"/>
            </w:tcMar>
          </w:tcPr>
          <w:p>
            <w:pPr>
              <w:jc w:val="left"/>
            </w:pPr>
            <w:r>
              <w:rPr>
                <w:rFonts w:ascii="Arial" w:hAnsi="Arial"/>
                <w:color w:val="1E293B"/>
                <w:sz w:val="16"/>
              </w:rPr>
              <w:t>Kepatuhan GRC &amp; Audit</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