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宋体"/>
          <w:b/>
          <w:sz w:val="32"/>
        </w:rPr>
        <w:t>收入循环智能审计助手 — 开发者评审要点清单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文档用途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发给开发团队，作为《收入循环智能审计助手_PRD》的配套评审材料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版本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日期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评审目标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确认技术可行性、输出技术方案、估算工作量与成本</w:t>
            </w:r>
          </w:p>
        </w:tc>
      </w:tr>
    </w:tbl>
    <w:p/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0. 评审议程建议（30分钟）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时长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议程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主导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5分钟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项目背景与业务目标回顾（审计场景特殊性）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产品方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10分钟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技术决策点逐项确认（第1节）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开发方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10分钟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功能可行性逐项过（第2节）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双方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5分钟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工作量/成本/里程碑确认（第3节）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开发方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评审产出</w:t>
      </w:r>
      <w:r>
        <w:rPr>
          <w:rFonts w:ascii="Calibri" w:hAnsi="Calibri" w:eastAsia="宋体"/>
          <w:b w:val="0"/>
          <w:sz w:val="21"/>
        </w:rPr>
        <w:t>：开发方需带回《技术方案书》要点 + 工作量估算 + 成本预算（模板见第4节）。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1. 关键技术决策点（需要开发方明确表态）</w:t>
      </w:r>
    </w:p>
    <w:p>
      <w:pPr>
        <w:ind w:left="340"/>
      </w:pPr>
      <w:r>
        <w:rPr>
          <w:rFonts w:ascii="Calibri" w:hAnsi="Calibri" w:eastAsia="宋体"/>
          <w:b w:val="0"/>
          <w:i/>
          <w:color w:val="555555"/>
          <w:sz w:val="19"/>
        </w:rPr>
        <w:t>每项均为</w:t>
      </w:r>
      <w:r>
        <w:rPr>
          <w:rFonts w:ascii="Calibri" w:hAnsi="Calibri" w:eastAsia="宋体"/>
          <w:b/>
          <w:i/>
          <w:color w:val="555555"/>
          <w:sz w:val="19"/>
        </w:rPr>
        <w:t>必须决策</w:t>
      </w:r>
      <w:r>
        <w:rPr>
          <w:rFonts w:ascii="Calibri" w:hAnsi="Calibri" w:eastAsia="宋体"/>
          <w:b w:val="0"/>
          <w:i/>
          <w:color w:val="555555"/>
          <w:sz w:val="19"/>
        </w:rPr>
        <w:t>事项，请开发方给出：推荐方案 / 备选方案 / 风险提示。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D1. 大语言模型选型与部署方式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选项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适用性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A. 本地私有化部署开源模型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数据不出内网，安全等级最高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⭐ 审计场景推荐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B. 云API（商用大模型）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效果最好，但客户财务数据出内网有合规风险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需评估脱敏方案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C. 混合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敏感数据本地、非敏感走云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折中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必须确认的问题：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推荐哪条路线？理由？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本地部署需要什么硬件配置（GPU型号/显存/内存）？采购成本？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若走云API：如何满足《数据与安全需求》第5章的保密要求？是否有脱敏方案？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合同理解、长文档（50页+合同）是否在模型上下文能力范围内？超长怎么办（分块/摘要）？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D2. 文档解析与OCR方案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需求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技术选项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需确认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PDF文本型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直接提取（pypdf/PDFMiner等）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复杂排版（页眉页脚/表格）的还原质量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PDF扫描件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OCR引擎（PaddleOCR/百度OCR/腾讯OCR等）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中文识别准确率；手写体识别能力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Excel数据表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表格解析库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合并单元格/多sheet处理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图片（含印章/签字）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OCR + 版面分析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印章遮挡区域的容错策略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必须确认的问题：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中文扫描件OCR准确率能达到什么水平？（验收要求≥95%）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合同中的表格（价格表、付款计划）能否结构化还原？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印章/签字区域是否会干扰文本识别？如何容错？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D3. 知识库RAG架构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必须确认的问题：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知识库向量化方案（Embedding模型选型、向量数据库选型）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混合检索（关键词+向量）是否必要？（准则条款号检索需要精确匹配）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知识库版本管理如何实现？（准则更新、案例新增后如何同步）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引用溯源如何保证？（输出必须带准则条款号/案例编号/文档路径）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内部培训视频转文字：用ASR（语音识别）方案？转写准确率目标？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D4. 结构化输出（JSON Schema）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必须确认的问题：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是否支持约束LLM输出为规定JSON结构？（Function Calling / 结构化输出技术）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要素缺失时的行为：是输出null还是强制猜测？（验收要求：不猜测，列缺失清单）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输出字段的校验与纠错机制？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D5. 部署环境与安全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决策项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选项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需确认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部署位置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本地服务器 / 私有云 / 混合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事务所IT环境现状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访问方式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Web端 / 桌面端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审计师日常使用习惯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权限体系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角色权限（审计经理/项目组成员）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与事务所现有系统是否对接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审计留痕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操作日志、输入输出记录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存储周期、存储位置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必须确认的问题：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事务所IT环境能否支持模型部署？（算力/网络/安全策略）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是否需要与现有审计软件/底稿系统对接？接口方案？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2. 功能可行性逐项确认（对照PRD第3章）</w:t>
      </w:r>
    </w:p>
    <w:p>
      <w:pPr>
        <w:ind w:left="340"/>
      </w:pPr>
      <w:r>
        <w:rPr>
          <w:rFonts w:ascii="Calibri" w:hAnsi="Calibri" w:eastAsia="宋体"/>
          <w:b w:val="0"/>
          <w:i/>
          <w:color w:val="555555"/>
          <w:sz w:val="19"/>
        </w:rPr>
        <w:t>请开发方对每个P0功能给出：✅可行 / ⚠️有条件可行（注明条件）/ ❌不可行（注明替代方案）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功能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核心难点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开发方结论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F1 多格式文档解析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OCR准确率、表格还原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□可行 □有条件 □不可行</w:t>
            </w:r>
          </w:p>
        </w:tc>
        <w:tc>
          <w:tcPr>
            <w:tcW w:type="dxa" w:w="2353"/>
          </w:tcPr>
          <w:p>
            <w:r/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F2 合同要素提取（14项）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长文本理解、条款变体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□可行 □有条件 □不可行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建议先做5-10份样张验证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F3 收入确认合规判断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五步法判断准确率、准则引用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□可行 □有条件 □不可行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需业务方提供测试用例集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F4 舞弊风险信号识别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信号规则库构建、评级逻辑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□可行 □有条件 □不可行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规则引擎+LLM混合？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F5 处罚案例匹配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案例库整理、相似度检索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□可行 □有条件 □不可行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案例数据由业务方提供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F6 底稿生成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严格遵循内部模板格式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□可行 □有条件 □不可行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依赖模板文件（业务方提供）</w:t>
            </w:r>
          </w:p>
        </w:tc>
      </w:tr>
      <w:tr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F7 风险报告生成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报告结构、导出格式</w:t>
            </w:r>
          </w:p>
        </w:tc>
        <w:tc>
          <w:tcPr>
            <w:tcW w:type="dxa" w:w="2353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□可行 □有条件 □不可行</w:t>
            </w:r>
          </w:p>
        </w:tc>
        <w:tc>
          <w:tcPr>
            <w:tcW w:type="dxa" w:w="2353"/>
          </w:tcPr>
          <w:p>
            <w:r/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额外请开发方评估：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F2-F3合流的端到端处理（上传合同→输出底稿）能否在3分钟内完成？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批量处理（F8，50份合同）的耗时预期？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系统响应延迟是否可接受（单次问答交互）？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3. 工作量与成本估算（请开发方填写）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估算值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总体工期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___ 人天 / ___ 周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从确认方案到M5试点上线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分阶段工时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M1: ___ M2: ___ M3: ___ M4: ___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各里程碑人天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硬件/算力成本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___ 元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服务器/GPU采购或云资源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软件许可成本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___ 元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OCR/LLM/向量库等授权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数据准备成本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___ 元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知识库整理、案例库结构化</w:t>
            </w:r>
          </w:p>
        </w:tc>
      </w:tr>
      <w:tr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持续运维成本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___ 元/月</w:t>
            </w:r>
          </w:p>
        </w:tc>
        <w:tc>
          <w:tcPr>
            <w:tcW w:type="dxa" w:w="3137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模型更新、知识库维护</w:t>
            </w:r>
          </w:p>
        </w:tc>
      </w:tr>
    </w:tbl>
    <w:p/>
    <w:p>
      <w:pPr>
        <w:spacing w:after="80"/>
      </w:pPr>
      <w:r>
        <w:rPr>
          <w:rFonts w:ascii="Calibri" w:hAnsi="Calibri" w:eastAsia="宋体"/>
          <w:b/>
          <w:sz w:val="21"/>
        </w:rPr>
        <w:t>里程碑承诺：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M1（F1-F2 文档解析+要素提取）预计交付日期：____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M3（F4-F5 舞弊风险+案例匹配）预计交付日期：____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M5（试点上线）预计交付日期：____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4. 开发方反馈模板（评审会后3个工作日内返回）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4.1 技术方案书要点</w:t>
      </w:r>
    </w:p>
    <w:p>
      <w:pPr>
        <w:ind w:left="283"/>
      </w:pPr>
      <w:r>
        <w:rPr>
          <w:rFonts w:ascii="Calibri" w:hAnsi="Calibri" w:eastAsia="Consolas"/>
          <w:b w:val="0"/>
          <w:sz w:val="17"/>
        </w:rPr>
        <w:t>1. 技术架构总览（图示）</w:t>
        <w:br/>
        <w:t>2. LLM选型结论及理由（D1）</w:t>
        <w:br/>
        <w:t>3. OCR方案选型及预期准确率（D2）</w:t>
        <w:br/>
        <w:t>4. 知识库方案（Embedding/向量库/版本管理）（D3）</w:t>
        <w:br/>
        <w:t>5. 结构化输出实现方式（D4）</w:t>
        <w:br/>
        <w:t>6. 部署方案与安全设计（D5）</w:t>
        <w:br/>
        <w:t>7. 分阶段开发计划（对应M1-M6）</w:t>
        <w:br/>
        <w:t>8. 风险清单（技术风险+应对）</w:t>
      </w:r>
    </w:p>
    <w:p>
      <w:pPr>
        <w:spacing w:before="160" w:after="80"/>
      </w:pPr>
      <w:r>
        <w:rPr>
          <w:rFonts w:ascii="Calibri" w:hAnsi="Calibri" w:eastAsia="宋体"/>
          <w:b/>
          <w:sz w:val="25"/>
        </w:rPr>
        <w:t>4.2 需要业务方补充的清单（开发方提出）</w:t>
      </w:r>
    </w:p>
    <w:p>
      <w:pPr>
        <w:ind w:left="340"/>
      </w:pPr>
      <w:r>
        <w:rPr>
          <w:rFonts w:ascii="Calibri" w:hAnsi="Calibri" w:eastAsia="宋体"/>
          <w:b w:val="0"/>
          <w:i/>
          <w:color w:val="555555"/>
          <w:sz w:val="19"/>
        </w:rPr>
        <w:t>开发方在评审中发现的、PRD未覆盖或需要补充信息的点，列在这里。</w:t>
      </w:r>
    </w:p>
    <w:p>
      <w:pPr>
        <w:ind w:left="283"/>
      </w:pPr>
      <w:r>
        <w:rPr>
          <w:rFonts w:ascii="Calibri" w:hAnsi="Calibri" w:eastAsia="Consolas"/>
          <w:b w:val="0"/>
          <w:sz w:val="17"/>
        </w:rPr>
        <w:t>1. _________________________________</w:t>
        <w:br/>
        <w:t>2. _________________________________</w:t>
        <w:br/>
        <w:t>3. _________________________________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5. 业务方已确认的边界（评审时同步给开发方，避免需求蔓延）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边界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AI不做最终结论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所有输出为辅助建议，审计师复核确认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不接入实时外部数据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除非后续单独立项（如行业景气度API）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不做法律意见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超出审计判断范围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知识库来源限定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仅使用业务方提供的准则/案例/模板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验收以测试用例为准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eastAsia="宋体"/>
                <w:b w:val="0"/>
                <w:sz w:val="18"/>
              </w:rPr>
              <w:t>PRD第7章TC-01~TC-07为最低验收门槛</w:t>
            </w:r>
          </w:p>
        </w:tc>
      </w:tr>
    </w:tbl>
    <w:p/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before="280" w:after="120"/>
      </w:pPr>
      <w:r>
        <w:rPr>
          <w:rFonts w:ascii="Calibri" w:hAnsi="Calibri" w:eastAsia="宋体"/>
          <w:b/>
          <w:sz w:val="28"/>
        </w:rPr>
        <w:t>6. 评审会待办清单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会前（业务方）：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发送PRD + 本清单给开发团队（至少提前2天）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准备3-5份真实合同样张（脱敏）供F2验证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准备金亚科技特征描述（供TC-04回测参考）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会前（开发方）：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通读PRD，标记不可行/有疑问条目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准备OCR、LLM方案初步选型意见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估算工作量初稿</w:t>
      </w:r>
    </w:p>
    <w:p>
      <w:pPr>
        <w:spacing w:after="80"/>
      </w:pPr>
      <w:r>
        <w:rPr>
          <w:rFonts w:ascii="Calibri" w:hAnsi="Calibri" w:eastAsia="宋体"/>
          <w:b/>
          <w:sz w:val="21"/>
        </w:rPr>
        <w:t>会后：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开发方3个工作日内返回《技术方案书》+ 反馈模板（第4节）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业务方确认方案，双方签署开发计划</w:t>
      </w:r>
    </w:p>
    <w:p>
      <w:pPr>
        <w:spacing w:after="40"/>
        <w:ind w:left="397"/>
      </w:pPr>
      <w:r>
        <w:rPr>
          <w:rFonts w:ascii="Calibri" w:hAnsi="Calibri" w:eastAsia="宋体"/>
          <w:b w:val="0"/>
          <w:sz w:val="21"/>
        </w:rPr>
        <w:t>• [ ] 进入M1开发</w:t>
      </w:r>
    </w:p>
    <w:p>
      <w:pPr>
        <w:spacing w:before="120" w:after="120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*本清单与《收入循环智能审计助手_PRD》配套使用。评审结论请汇总到第4节反馈模板。*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