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宋体"/>
          <w:b/>
          <w:sz w:val="32"/>
        </w:rPr>
        <w:t>收入循环智能审计助手（Revenue Cycle Audit Copilot）需求文档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项目名称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收入循环智能审计助手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V1.0（初稿）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编写人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审计经理 / AI产品经理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编写日期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2026-08-27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文档状态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待评审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开发对象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AI智能体（大语言模型应用）</w:t>
            </w:r>
          </w:p>
        </w:tc>
      </w:tr>
    </w:tbl>
    <w:p/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宋体"/>
          <w:b/>
          <w:sz w:val="28"/>
        </w:rPr>
        <w:t>1. 项目概述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1.1 项目背景</w:t>
      </w:r>
    </w:p>
    <w:p>
      <w:pPr>
        <w:spacing w:after="80"/>
      </w:pPr>
      <w:r>
        <w:rPr>
          <w:rFonts w:ascii="Calibri" w:hAnsi="Calibri" w:eastAsia="宋体"/>
          <w:b w:val="0"/>
          <w:sz w:val="21"/>
        </w:rPr>
        <w:t>财务报表审计中，</w:t>
      </w:r>
      <w:r>
        <w:rPr>
          <w:rFonts w:ascii="Calibri" w:hAnsi="Calibri" w:eastAsia="宋体"/>
          <w:b/>
          <w:sz w:val="21"/>
        </w:rPr>
        <w:t>收入确认是公认的重大错报风险高发领域</w:t>
      </w:r>
      <w:r>
        <w:rPr>
          <w:rFonts w:ascii="Calibri" w:hAnsi="Calibri" w:eastAsia="宋体"/>
          <w:b w:val="0"/>
          <w:sz w:val="21"/>
        </w:rPr>
        <w:t>，也是财务舞弊的重灾区。监管处罚案例显示，收入确认环节的审计失败占据处罚案例的最大比重（金亚科技、康得新、獐子岛、科迪乳业等均涉及收入造假）。</w:t>
      </w:r>
    </w:p>
    <w:p>
      <w:pPr>
        <w:spacing w:after="80"/>
      </w:pPr>
      <w:r>
        <w:rPr>
          <w:rFonts w:ascii="Calibri" w:hAnsi="Calibri" w:eastAsia="宋体"/>
          <w:b w:val="0"/>
          <w:sz w:val="21"/>
        </w:rPr>
        <w:t>当前审计实务的痛点：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痛点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现状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后果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抽样覆盖率低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人工抽查合同，样本有限（通常10-30份）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漏检风险高，舞弊合同可能恰好未被抽中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依赖个人经验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收入确认判断质量取决于审计师专业水平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团队水平参差，标准不统一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合同阅读耗时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一份复杂合同人工阅读30-60分钟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审计效率低，时间成本高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舞弊识别滞后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缺乏系统化的舞弊风险信号扫描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风险发现依赖运气和直觉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监管环境趋严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证监会/财政部对审计失败处罚力度加大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事务所审计失败风险上升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b/>
          <w:sz w:val="21"/>
        </w:rPr>
        <w:t>本项目目标</w:t>
      </w:r>
      <w:r>
        <w:rPr>
          <w:rFonts w:ascii="Calibri" w:hAnsi="Calibri" w:eastAsia="宋体"/>
          <w:b w:val="0"/>
          <w:sz w:val="21"/>
        </w:rPr>
        <w:t>：开发一个AI智能体，辅助审计师完成收入循环的两大核心任务——</w:t>
      </w:r>
      <w:r>
        <w:rPr>
          <w:rFonts w:ascii="Calibri" w:hAnsi="Calibri" w:eastAsia="宋体"/>
          <w:b/>
          <w:sz w:val="21"/>
        </w:rPr>
        <w:t>①收入确认合规性审查</w:t>
      </w:r>
      <w:r>
        <w:rPr>
          <w:rFonts w:ascii="Calibri" w:hAnsi="Calibri" w:eastAsia="宋体"/>
          <w:b w:val="0"/>
          <w:sz w:val="21"/>
        </w:rPr>
        <w:t>（合同要素提取→准则比对→底稿生成）、</w:t>
      </w:r>
      <w:r>
        <w:rPr>
          <w:rFonts w:ascii="Calibri" w:hAnsi="Calibri" w:eastAsia="宋体"/>
          <w:b/>
          <w:sz w:val="21"/>
        </w:rPr>
        <w:t>②收入舞弊风险识别</w:t>
      </w:r>
      <w:r>
        <w:rPr>
          <w:rFonts w:ascii="Calibri" w:hAnsi="Calibri" w:eastAsia="宋体"/>
          <w:b w:val="0"/>
          <w:sz w:val="21"/>
        </w:rPr>
        <w:t>（客户画像+行业环境+处罚案例→风险报告与核查方向），在提升审计效率的同时，</w:t>
      </w:r>
      <w:r>
        <w:rPr>
          <w:rFonts w:ascii="Calibri" w:hAnsi="Calibri" w:eastAsia="宋体"/>
          <w:b/>
          <w:sz w:val="21"/>
        </w:rPr>
        <w:t>最大限度降低事务所审计失败风险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1.2 项目目标与成功标准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指标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目标值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衡量方式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合同要素提取准确率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≥ 95%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人工复核比对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单份合同处理时间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≤ 3分钟（人工30-60分钟）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计时测试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收入确认判断与准则应用正确率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≥ 90%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测试用例集人工评分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舞弊信号识别覆盖率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覆盖案例库中全部高频信号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案例回测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底稿格式合规率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100%符合内部模板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模板校验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AI判断可追溯率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100%（每个结论带依据来源）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输出字段检查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宋体"/>
          <w:b/>
          <w:sz w:val="25"/>
        </w:rPr>
        <w:t>1.3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阶段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用户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数量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试点期（当前）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审计经理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1人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本人使用并验证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推广期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项目组审计人员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10-50人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按角色分配权限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宋体"/>
          <w:b/>
          <w:sz w:val="25"/>
        </w:rPr>
        <w:t>1.4 需求范围</w:t>
      </w:r>
    </w:p>
    <w:p>
      <w:pPr>
        <w:spacing w:before="160" w:after="80"/>
      </w:pPr>
      <w:r>
        <w:rPr>
          <w:rFonts w:ascii="Calibri" w:hAnsi="Calibri" w:eastAsia="宋体"/>
          <w:b/>
          <w:sz w:val="23"/>
        </w:rPr>
        <w:t>核心功能（P0，必须交付）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功能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多格式文档解析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PDF（文本/扫描件）、Word、Excel、图片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F2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收入合同关键要素提取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结构化提取14项合同要素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F3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收入确认合规性判断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对照《企业会计准则第14号——收入》五步法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F4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收入舞弊风险信号识别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客户资料+行业环境 → 风险信号扫描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监管处罚案例匹配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相似案例检索+检查方向建议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F6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审计底稿生成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内部模板+特定客户补充模板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F7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风险报告生成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结构化风险报告+重点核查方向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宋体"/>
          <w:b/>
          <w:sz w:val="23"/>
        </w:rPr>
        <w:t>重要功能（P1）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功能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F8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批量处理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多合同/多客户批量导入处理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F9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审计师反馈修正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用户可修正AI结论，反馈沉淀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F10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问答式交互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审计师可就具体问题向AI提问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宋体"/>
          <w:b/>
          <w:sz w:val="23"/>
        </w:rPr>
        <w:t>可选功能（P2）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功能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F11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审计软件/底稿系统集成API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对接事务所现有系统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F12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收入明细数据分析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对接序时账/收入明细表做全量分析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F13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移动端使用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移动设备访问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宋体"/>
          <w:b/>
          <w:sz w:val="23"/>
        </w:rPr>
        <w:t>明确不做（边界约束）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❌ 不输出最终审计结论，不替代审计师签字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❌ 不提供法律意见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❌ 不自动向客户/监管机构发送任何内容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❌ 不擅自联网获取实时数据（除经用户授权的行业数据源）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❌ 不做预测性财务模型，仅做风险提示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❌ 不替代实质性审计程序（AI结论必须经审计师复核）</w:t>
      </w:r>
    </w:p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宋体"/>
          <w:b/>
          <w:sz w:val="28"/>
        </w:rPr>
        <w:t>2. 业务场景与核心流程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2.1 场景一：收入确认审查（实质性程序阶段）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输入</w:t>
      </w:r>
      <w:r>
        <w:rPr>
          <w:rFonts w:ascii="Calibri" w:hAnsi="Calibri" w:eastAsia="宋体"/>
          <w:b w:val="0"/>
          <w:sz w:val="21"/>
        </w:rPr>
        <w:t>：客户合同（抽样或全量）+ 客户基本信息 + （可选）收入明细/记账数据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流程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ind w:left="283"/>
      </w:pPr>
      <w:r>
        <w:rPr>
          <w:rFonts w:ascii="Calibri" w:hAnsi="Calibri" w:eastAsia="Consolas"/>
          <w:b w:val="0"/>
          <w:sz w:val="17"/>
        </w:rPr>
        <w:t>上传合同（PDF/扫描件/Excel/图片）</w:t>
        <w:br/>
        <w:t xml:space="preserve">        ↓</w:t>
        <w:br/>
        <w:t>F1 文档解析（OCR/结构化）</w:t>
        <w:br/>
        <w:t xml:space="preserve">        ↓</w:t>
        <w:br/>
        <w:t>F2 合同要素提取（14项要素结构化输出）</w:t>
        <w:br/>
        <w:t xml:space="preserve">        ↓</w:t>
        <w:br/>
        <w:t>F3 收入确认合规性判断（CAS 14五步法比对）</w:t>
        <w:br/>
        <w:t xml:space="preserve">        ↓</w:t>
        <w:br/>
        <w:t>F6 生成收入确认测试底稿（内部模板）</w:t>
        <w:br/>
        <w:t xml:space="preserve">        ↓</w:t>
        <w:br/>
        <w:t>审计师复核、修正、确认 → 输出最终底稿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输出</w:t>
      </w:r>
      <w:r>
        <w:rPr>
          <w:rFonts w:ascii="Calibri" w:hAnsi="Calibri" w:eastAsia="宋体"/>
          <w:b w:val="0"/>
          <w:sz w:val="21"/>
        </w:rPr>
        <w:t>：结构化要素表 + 合规性判断结论 + 收入确认测试底稿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2.2 场景二：收入舞弊风险扫描（风险评估阶段）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输入</w:t>
      </w:r>
      <w:r>
        <w:rPr>
          <w:rFonts w:ascii="Calibri" w:hAnsi="Calibri" w:eastAsia="宋体"/>
          <w:b w:val="0"/>
          <w:sz w:val="21"/>
        </w:rPr>
        <w:t>：客户资料（财务数据、业务模式、管理层信息、历史审计发现）+ 行业环境信息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流程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ind w:left="283"/>
      </w:pPr>
      <w:r>
        <w:rPr>
          <w:rFonts w:ascii="Calibri" w:hAnsi="Calibri" w:eastAsia="Consolas"/>
          <w:b w:val="0"/>
          <w:sz w:val="17"/>
        </w:rPr>
        <w:t>输入客户资料 + 行业环境</w:t>
        <w:br/>
        <w:t xml:space="preserve">        ↓</w:t>
        <w:br/>
        <w:t>F4 客户画像构建（收入结构、增长、毛利率、现金流等）</w:t>
        <w:br/>
        <w:t xml:space="preserve">        ↓</w:t>
        <w:br/>
        <w:t>F4 舞弊风险信号扫描（信号库匹配）</w:t>
        <w:br/>
        <w:t xml:space="preserve">        ↓</w:t>
        <w:br/>
        <w:t>F5 监管处罚案例匹配（相似案例检索）</w:t>
        <w:br/>
        <w:t xml:space="preserve">        ↓</w:t>
        <w:br/>
        <w:t>F7 风险报告生成（风险评级 + 核查方向 + 建议程序）</w:t>
        <w:br/>
        <w:t xml:space="preserve">        ↓</w:t>
        <w:br/>
        <w:t>F6 生成舞弊风险评估底稿 + 补充底稿模板</w:t>
        <w:br/>
        <w:t xml:space="preserve">        ↓</w:t>
        <w:br/>
        <w:t>审计师复核确认 → 制定审计计划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输出</w:t>
      </w:r>
      <w:r>
        <w:rPr>
          <w:rFonts w:ascii="Calibri" w:hAnsi="Calibri" w:eastAsia="宋体"/>
          <w:b w:val="0"/>
          <w:sz w:val="21"/>
        </w:rPr>
        <w:t>：舞弊风险报告 + 重点核查方向 + 风险应对底稿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2.3 人机协作模式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模式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适用场景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AI辅助模式（默认）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AI生成初稿，审计师复核确认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要素提取、底稿生成、风险报告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审计师主导模式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审计师提问，AI回答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具体问题咨询、准则解读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人工兜底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最终判断、签字由审计师完成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所有涉及结论的环节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b/>
          <w:sz w:val="21"/>
        </w:rPr>
        <w:t>原则</w:t>
      </w:r>
      <w:r>
        <w:rPr>
          <w:rFonts w:ascii="Calibri" w:hAnsi="Calibri" w:eastAsia="宋体"/>
          <w:b w:val="0"/>
          <w:sz w:val="21"/>
        </w:rPr>
        <w:t>：AI输出为"辅助建议"，所有审计结论必须由审计师确认，系统需在输出中明确标注"AI辅助结果，需经审计师复核"。</w:t>
      </w:r>
    </w:p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宋体"/>
          <w:b/>
          <w:sz w:val="28"/>
        </w:rPr>
        <w:t>3. 功能详述（P0）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F1 多格式文档解析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功能描述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将各类格式的合同文档解析为可处理的文本和结构化数据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输入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PDF（文本型）、PDF（扫描件）、Word、Excel、图片（JPG/PNG）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处理要求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①扫描件自动OCR识别（中文）；②Excel表格结构识别；③图片中表格/印章/签字区域识别；④保留原文定位（页码、段落位置）便于溯源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解析文本 + 原文定位信息 + OCR置信度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异常处理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OCR置信度低的区域标注"待人工确认"；无法解析的文件明确提示原因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验收标准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扫描件OCR中文识别准确率≥95%；表格提取字段完整率≥95%；所有提取内容可回溯原文位置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宋体"/>
          <w:b/>
          <w:sz w:val="25"/>
        </w:rPr>
        <w:t>F2 收入合同关键要素提取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功能描述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从合同中结构化提取收入确认所需的关键要素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输入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F1解析后的合同文本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处理要求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提取以下14项要素：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序号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要素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合同类型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销售商品/提供服务/建造合同/租赁/其他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合同各方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客户名称、销售方、关联方迹象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合同标的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商品或服务内容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履约义务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单项/多项；是否可明确区分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交易价格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合同价款、含税/不含税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6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可变对价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折扣、返利、奖励、罚款等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7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收款条件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预付/货到付款/验收后/信用期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8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收入确认时点/方法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时点法/时段法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9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交付方式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签收/验收/FOB/CIF等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退换货条款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退货权、换货条件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重大融资成分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是否存在、影响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12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质保条款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质保类型、期限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13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合同期限与生效条件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起止日期、生效前提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14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关联方迹象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客户与销售方潜在关联关系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b/>
          <w:sz w:val="21"/>
        </w:rPr>
        <w:t>输出</w:t>
      </w:r>
      <w:r>
        <w:rPr>
          <w:rFonts w:ascii="Calibri" w:hAnsi="Calibri" w:eastAsia="宋体"/>
          <w:b w:val="0"/>
          <w:sz w:val="21"/>
        </w:rPr>
        <w:t>：结构化要素表（JSON/表格）+ 每项要素的合同原文引用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异常处理</w:t>
      </w:r>
      <w:r>
        <w:rPr>
          <w:rFonts w:ascii="Calibri" w:hAnsi="Calibri" w:eastAsia="宋体"/>
          <w:b w:val="0"/>
          <w:sz w:val="21"/>
        </w:rPr>
        <w:t>：要素缺失时列出"缺失清单"提示审计师补充阅读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验收标准</w:t>
      </w:r>
      <w:r>
        <w:rPr>
          <w:rFonts w:ascii="Calibri" w:hAnsi="Calibri" w:eastAsia="宋体"/>
          <w:b w:val="0"/>
          <w:sz w:val="21"/>
        </w:rPr>
        <w:t>：测试合同集中14项要素提取完整率≥95%；每项提取均带原文出处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F3 收入确认合规性判断（CAS 14五步法）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功能描述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依据《企业会计准则第14号——收入》，对合同收入确认进行合规性判断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输入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F2提取的合同要素 +（可选）客户记账数据（收入确认金额、时点）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处理逻辑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五步法逐项判断：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步骤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判断内容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输出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① 识别合同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合同是否成立、可强制执行、商业实质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合同有效性结论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② 识别履约义务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单项/多项；商品服务是否可明确区分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履约义务清单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③ 确定交易价格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可变对价是否估计、重大融资成分是否调整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交易价格结论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④ 分摊交易价格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是否按单独售价分摊至各履约义务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分摊结果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⑤ 确认收入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时点法/时段法选择是否正确；确认时点是否恰当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确认方式结论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b/>
          <w:sz w:val="21"/>
        </w:rPr>
        <w:t>输出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每个判断点的结论 + 依据（引用合同条款原文 + CAS 14具体条款号）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风险提示（如：履约义务混淆、时点判断错误、可变对价未估计、重大融资成分未考虑）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与客户账面处理的差异分析（如输入记账数据）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验收标准</w:t>
      </w:r>
      <w:r>
        <w:rPr>
          <w:rFonts w:ascii="Calibri" w:hAnsi="Calibri" w:eastAsia="宋体"/>
          <w:b w:val="0"/>
          <w:sz w:val="21"/>
        </w:rPr>
        <w:t>：设计20个测试案例（含正确确认/提前确认/推迟确认/履约义务拆分错误/可变对价遗漏等场景），判断正确率≥90%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F4 收入舞弊风险信号识别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功能描述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基于客户资料与行业环境，识别收入舞弊的高风险信号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输入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客户资料（财务数据、业务模式、管理层信息、历史审计发现）+ 行业环境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信号库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覆盖以下四类信号（参考CSA 1141舞弊准则+监管案例）：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b/>
          <w:sz w:val="21"/>
        </w:rPr>
        <w:t>① 财务类信号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收入增长与行业/同行背离（行业下行但收入逆势增长）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毛利率异常波动或显著偏离行业水平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应收账款增速远超收入增速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期末（12月）收入集中确认，第四季度收入占比异常高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经营现金流与收入长期背离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收入与存货、产能不匹配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关联方销售占比高、海外收入占比高且难以验证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大客户集中度异常、大量新增大客户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② 业务模式类信号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经销/渠道模式复杂，层级过多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客户与供应商重叠（循环交易迹象）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交易对手方为壳公司、新设公司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合同条款模板化、缺乏商业实质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③ 管理层动机类信号（舞弊三角）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业绩承诺、对赌协议压力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管理层薪酬与收入指标强挂钩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频繁更换审计师、管理层凌驾于控制之上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内部控制缺陷（尤其收入循环相关控制）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④ 外部环境类信号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行业整体下行但公司逆势增长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行业存在普遍性"过账贸易"/融资性贸易现象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监管重点关注行业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输出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命中信号列表（每个信号：命中依据、风险等级、数据来源）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总体风险评级（高/中/低）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建议的核查程序清单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关联的监管案例参考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验收标准</w:t>
      </w:r>
      <w:r>
        <w:rPr>
          <w:rFonts w:ascii="Calibri" w:hAnsi="Calibri" w:eastAsia="宋体"/>
          <w:b w:val="0"/>
          <w:sz w:val="21"/>
        </w:rPr>
        <w:t>：用真实处罚案例（金亚科技、康得新等）特征回测，高频信号识别覆盖率100%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F5 监管处罚案例匹配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功能描述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根据客户特征匹配相似监管处罚案例，提供检查方向参考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知识库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公开的会计师事务所监管函、证监会/财政部行政处罚案例（重点：收入确认模块案例库）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处理逻辑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①提取客户特征（行业、业务模式、舞弊信号）；②案例库相似度检索；③输出最相似案例TOP 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每个案例：舞弊手法还原、审计师缺失程序、监管处罚结果、对当前客户的启示（建议程序）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验收标准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输入金亚科技特征，能命中并输出其虚增收入手法与审计应对建议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宋体"/>
          <w:b/>
          <w:sz w:val="25"/>
        </w:rPr>
        <w:t>F6 审计底稿生成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功能描述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参考内部底稿模板，生成标准底稿 + 针对特定客户风险的补充底稿模板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输入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F2-F5的分析结果 + 内部底稿模板库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标准底稿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①收入确认测试底稿（要素表+判断结论+依据）；②舞弊风险评估底稿；③分析程序底稿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补充底稿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根据识别出的特定风险自动生成定制底稿，如：海外收入核查底稿、关联方销售核查底稿、期末突击收入核查底稿、退货率异常核查底稿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格式要求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Word/Excel，格式100%符合内部模板，可直接导入事务所底稿系统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关键依赖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⚠️ 需用户提供内部底稿模板文件作为知识库输入（开发前提条件）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验收标准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生成的底稿通过模板格式校验；补充底稿与识别风险一一对应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宋体"/>
          <w:b/>
          <w:sz w:val="25"/>
        </w:rPr>
        <w:t>F7 风险报告生成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功能描述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汇总分析结果，生成结构化风险报告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①总体风险评级；②风险发现列表（风险点、证据、依据、严重程度）；③重点核查方向（按优先级排序）；④建议审计程序清单；⑤底稿建议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格式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PDF/Word报告，可导出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验收标准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报告结构完整、每项发现均有依据引用、核查方向可操作</w:t>
            </w:r>
          </w:p>
        </w:tc>
      </w:tr>
    </w:tbl>
    <w:p/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宋体"/>
          <w:b/>
          <w:sz w:val="28"/>
        </w:rPr>
        <w:t>4. 知识库设计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4.1 知识库内容清单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知识类型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用途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格式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提供方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企业会计准则汇编（重点：CAS 14收入准则及应用指南）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收入确认判断依据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PDF/文本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用户提供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审计准则（CSA 1141舞弊、CSA 1211风险评估、CSA 1301审计证据等）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程序与风险判断依据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PDF/文本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用户提供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上市公司审计案例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实务参考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PDF/文本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用户提供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监管处罚案例库（含收入确认模块）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舞弊信号匹配、检查方向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结构化数据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用户提供/外部公开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内部审计底稿模板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底稿生成格式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Word/Excel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⚠️ 用户提供（关键依赖）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内部培训视频课程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实务知识（转文字后入库）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视频→文本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用户提供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宋体"/>
          <w:b/>
          <w:sz w:val="25"/>
        </w:rPr>
        <w:t>4.2 知识库管理要求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 xml:space="preserve">• </w:t>
      </w:r>
      <w:r>
        <w:rPr>
          <w:rFonts w:ascii="Calibri" w:hAnsi="Calibri" w:eastAsia="宋体"/>
          <w:b/>
          <w:sz w:val="21"/>
        </w:rPr>
        <w:t>版本管理</w:t>
      </w:r>
      <w:r>
        <w:rPr>
          <w:rFonts w:ascii="Calibri" w:hAnsi="Calibri" w:eastAsia="宋体"/>
          <w:b w:val="0"/>
          <w:sz w:val="21"/>
        </w:rPr>
        <w:t>：知识库更新需记录版本与生效日期（准则更新、案例新增）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 xml:space="preserve">• </w:t>
      </w:r>
      <w:r>
        <w:rPr>
          <w:rFonts w:ascii="Calibri" w:hAnsi="Calibri" w:eastAsia="宋体"/>
          <w:b/>
          <w:sz w:val="21"/>
        </w:rPr>
        <w:t>权限控制</w:t>
      </w:r>
      <w:r>
        <w:rPr>
          <w:rFonts w:ascii="Calibri" w:hAnsi="Calibri" w:eastAsia="宋体"/>
          <w:b w:val="0"/>
          <w:sz w:val="21"/>
        </w:rPr>
        <w:t>：内部资料（底稿模板、培训视频）严格权限管理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 xml:space="preserve">• </w:t>
      </w:r>
      <w:r>
        <w:rPr>
          <w:rFonts w:ascii="Calibri" w:hAnsi="Calibri" w:eastAsia="宋体"/>
          <w:b/>
          <w:sz w:val="21"/>
        </w:rPr>
        <w:t>溯源要求</w:t>
      </w:r>
      <w:r>
        <w:rPr>
          <w:rFonts w:ascii="Calibri" w:hAnsi="Calibri" w:eastAsia="宋体"/>
          <w:b w:val="0"/>
          <w:sz w:val="21"/>
        </w:rPr>
        <w:t>：每个AI输出必须标注知识来源（准则条款号/案例编号/文档路径）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 xml:space="preserve">• </w:t>
      </w:r>
      <w:r>
        <w:rPr>
          <w:rFonts w:ascii="Calibri" w:hAnsi="Calibri" w:eastAsia="宋体"/>
          <w:b/>
          <w:sz w:val="21"/>
        </w:rPr>
        <w:t>数据隐私</w:t>
      </w:r>
      <w:r>
        <w:rPr>
          <w:rFonts w:ascii="Calibri" w:hAnsi="Calibri" w:eastAsia="宋体"/>
          <w:b w:val="0"/>
          <w:sz w:val="21"/>
        </w:rPr>
        <w:t>：内部培训视频与底稿模板为事务所机密，仅限授权用户使用</w:t>
      </w:r>
    </w:p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宋体"/>
          <w:b/>
          <w:sz w:val="28"/>
        </w:rPr>
        <w:t>5. 数据与安全需求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要求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数据保密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客户财务数据为敏感信息，必须严格保密，不得用于模型训练外泄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部署环境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本地/私有云部署，敏感数据不进入公有云（或经严格脱敏）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权限控制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角色权限：审计经理（全部权限）/ 项目组成员（按项目授权）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审计留痕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AI操作日志、输入输出全程记录，形成可追溯的审计证据链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数据脱敏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演示/测试场景需自动脱敏客户名称、金额等敏感字段</w:t>
            </w:r>
          </w:p>
        </w:tc>
      </w:tr>
    </w:tbl>
    <w:p/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宋体"/>
          <w:b/>
          <w:sz w:val="28"/>
        </w:rPr>
        <w:t>6.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类别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要求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可解释性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每个判断必须有依据（准则条款/合同原文/案例编号），禁止无依据输出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准确性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要素提取≥95%；判断正确率≥90%（以人工复核为基准）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响应时间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单合同处理≤3分钟；风险报告生成≤5分钟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容错性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OCR失败、信息缺失、格式异常时明确提示，不静默出错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可扩展性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架构上支持后续扩展至采购、存货、费用等其他审计循环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交互界面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Web端为主（后续可扩展），支持文件上传、结果查看、人工修正</w:t>
            </w:r>
          </w:p>
        </w:tc>
      </w:tr>
    </w:tbl>
    <w:p/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宋体"/>
          <w:b/>
          <w:sz w:val="28"/>
        </w:rPr>
        <w:t>7. 验收标准（关键测试用例）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测试用例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预期结果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TC-01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上传一份含多项履约义务的合同（如"设备销售+安装服务+三年运维"）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AI识别全部履约义务，正确判断是否可明确区分，分摊逻辑正确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TC-02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合同约定"验收后确认收入"，但客户账上"发货时确认"，同时提供记账数据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AI发现账实差异，提示"收入确认时点与合同不符"风险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TC-03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输入行业下行但收入逆势增长20%的客户资料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AI命中"收入增长与行业背离"信号，评级为高风险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TC-04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输入具金亚科技特征的客户（虚增收入、期末集中确认、海外客户占比高）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AI输出相似案例及对应核查方向（函证、穿透核查、期末截止测试）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TC-05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上传扫描版合同（含印章、手写签字）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OCR提取关键条款完整，低置信度区域标注待确认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TC-06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生成收入确认测试底稿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格式与内部模板100%一致，可直接导入底稿系统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TC-07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输入一份信息缺失的合同（无价格条款）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AI列出缺失清单，不猜测价格，提示人工补充</w:t>
            </w:r>
          </w:p>
        </w:tc>
      </w:tr>
    </w:tbl>
    <w:p/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宋体"/>
          <w:b/>
          <w:sz w:val="28"/>
        </w:rPr>
        <w:t>8. 里程碑与交付计划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里程碑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内容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交付物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文档解析 + 要素提取（F1-F2）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可上传合同并输出结构化要素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M2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合规性判断（F3）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五步法判断引擎+测试报告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M3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舞弊风险 + 案例匹配（F4-F5）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风险扫描+案例检索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M4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底稿 + 报告生成（F6-F7）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底稿生成器+风险报告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试点上线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审计经理试用，收集反馈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M6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推广到项目组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权限体系+批量处理上线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b/>
          <w:sz w:val="21"/>
        </w:rPr>
        <w:t>依赖前置条件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1. ⚠️ 用户提供内部审计底稿模板（F6的关键输入）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2. 用户提供企业会计准则汇编、审计准则文本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3. 监管处罚案例库结构化整理（可参考公开处罚决定书）</w:t>
      </w:r>
    </w:p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宋体"/>
          <w:b/>
          <w:sz w:val="28"/>
        </w:rPr>
        <w:t>9. 开发者技术指引（建议方案，供参考）</w:t>
      </w:r>
    </w:p>
    <w:p>
      <w:pPr>
        <w:ind w:left="340"/>
      </w:pPr>
      <w:r>
        <w:rPr>
          <w:rFonts w:ascii="Calibri" w:hAnsi="Calibri" w:eastAsia="宋体"/>
          <w:b w:val="0"/>
          <w:i/>
          <w:color w:val="555555"/>
          <w:sz w:val="19"/>
        </w:rPr>
        <w:t>以下为技术建议，具体方案由开发团队确定，但需满足上文功能与非功能需求。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9.1 技术架构建议</w:t>
      </w:r>
    </w:p>
    <w:p>
      <w:pPr>
        <w:ind w:left="283"/>
      </w:pPr>
      <w:r>
        <w:rPr>
          <w:rFonts w:ascii="Calibri" w:hAnsi="Calibri" w:eastAsia="Consolas"/>
          <w:b w:val="0"/>
          <w:sz w:val="17"/>
        </w:rPr>
        <w:t>┌─────────────────────────────────────────────┐</w:t>
        <w:br/>
        <w:t>│              前端（Web界面）                  │</w:t>
        <w:br/>
        <w:t>│  文件上传 / 结果展示 / 人工修正 / 报告导出      │</w:t>
        <w:br/>
        <w:t>└──────────────────┬──────────────────────────┘</w:t>
        <w:br/>
        <w:t xml:space="preserve">                   ↓</w:t>
        <w:br/>
        <w:t>┌─────────────────────────────────────────────┐</w:t>
        <w:br/>
        <w:t>│              应用层（业务流程编排）            │</w:t>
        <w:br/>
        <w:t>│  F1→F2→F3 流水线 / F4→F5→F7 流水线          │</w:t>
        <w:br/>
        <w:t>│  底稿生成引擎 / 报告生成引擎                   │</w:t>
        <w:br/>
        <w:t>└───────┬─────────────────────┬───────────────┘</w:t>
        <w:br/>
        <w:t xml:space="preserve">        ↓                     ↓</w:t>
        <w:br/>
        <w:t>┌──────────────┐   ┌──────────────────────┐</w:t>
        <w:br/>
        <w:t>│  LLM引擎      │   │  知识库（RAG检索增强）  │</w:t>
        <w:br/>
        <w:t>│  合同理解      │   │  准则/案例/模板向量库   │</w:t>
        <w:br/>
        <w:t>│  合规判断      │   │  结构化案例数据库       │</w:t>
        <w:br/>
        <w:t>│  信号识别      │   └──────────────────────┘</w:t>
        <w:br/>
        <w:t>└──────────────┘</w:t>
        <w:br/>
        <w:t xml:space="preserve">        ↓</w:t>
        <w:br/>
        <w:t>┌─────────────────────────────────────────────┐</w:t>
        <w:br/>
        <w:t>│  预处理层：OCR（扫描件）/ 表格解析 / 格式转换   │</w:t>
        <w:br/>
        <w:t>└─────────────────────────────────────────────┘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9.2 关键技术点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技术点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建议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文档解析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OCR引擎 + 表格识别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扫描件中文OCR、表格结构还原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要素提取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LLM + 结构化输出（JSON Schema）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约束输出格式，确保字段完整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合规判断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LLM + RAG（检索准则条款）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判断必须引用准则条款号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信号识别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规则引擎 + LLM混合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规则引擎兜底程序性信号，LLM处理复杂判断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案例匹配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向量检索 + 关键词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相似度检索最相关案例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底稿生成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模板引擎 + LLM填充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严格遵循内部模板格式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可解释性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输出字段强制包含"依据来源"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每个结论带引用，无依据不出结论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宋体"/>
          <w:b/>
          <w:sz w:val="25"/>
        </w:rPr>
        <w:t>9.3 输出数据规范（JSON Schema示例）</w:t>
      </w:r>
    </w:p>
    <w:p>
      <w:pPr>
        <w:ind w:left="283"/>
      </w:pPr>
      <w:r>
        <w:rPr>
          <w:rFonts w:ascii="Calibri" w:hAnsi="Calibri" w:eastAsia="Consolas"/>
          <w:b w:val="0"/>
          <w:sz w:val="17"/>
        </w:rPr>
        <w:t>{</w:t>
        <w:br/>
        <w:t xml:space="preserve">  "contract_elements": {</w:t>
        <w:br/>
        <w:t xml:space="preserve">    "contract_type": "销售商品合同",</w:t>
        <w:br/>
        <w:t xml:space="preserve">    "parties": {"seller": "XX公司", "buyer": "XX客户"},</w:t>
        <w:br/>
        <w:t xml:space="preserve">    "performance_obligations": [</w:t>
        <w:br/>
        <w:t xml:space="preserve">      {"description": "设备销售", "distinct": true},</w:t>
        <w:br/>
        <w:t xml:space="preserve">      {"description": "安装服务", "distinct": true}</w:t>
        <w:br/>
        <w:t xml:space="preserve">    ],</w:t>
        <w:br/>
        <w:t xml:space="preserve">    "transaction_price": {"amount": 1000000, "tax_inclusive": false},</w:t>
        <w:br/>
        <w:t xml:space="preserve">    "variable_consideration": {"exists": true, "description": "销量返利"},</w:t>
        <w:br/>
        <w:t xml:space="preserve">    "payment_terms": "验收后30天付款",</w:t>
        <w:br/>
        <w:t xml:space="preserve">    "revenue_recognition_method": "时点法",</w:t>
        <w:br/>
        <w:t xml:space="preserve">    "recognition_point": "验收",</w:t>
        <w:br/>
        <w:t xml:space="preserve">    "financing_component": {"exists": false},</w:t>
        <w:br/>
        <w:t xml:space="preserve">    "source_citation": "合同第X条，第X页"</w:t>
        <w:br/>
        <w:t xml:space="preserve">  },</w:t>
        <w:br/>
        <w:t xml:space="preserve">  "compliance_judgment": {</w:t>
        <w:br/>
        <w:t xml:space="preserve">    "conclusion": "合规/存在风险",</w:t>
        <w:br/>
        <w:t xml:space="preserve">    "risk_points": [</w:t>
        <w:br/>
        <w:t xml:space="preserve">      {"risk": "收入确认时点与合同约定不符", "evidence": "合同要求验收确认，账面发货确认", "standard_citation": "CAS 14 第X条", "severity": "高"}</w:t>
        <w:br/>
        <w:t xml:space="preserve">    ],</w:t>
        <w:br/>
        <w:t xml:space="preserve">    "source_citation": "合同第X条 + CAS 14 第X条"</w:t>
        <w:br/>
        <w:t xml:space="preserve">  },</w:t>
        <w:br/>
        <w:t xml:space="preserve">  "fraud_risk": {</w:t>
        <w:br/>
        <w:t xml:space="preserve">    "overall_rating": "高",</w:t>
        <w:br/>
        <w:t xml:space="preserve">    "signals_hit": [</w:t>
        <w:br/>
        <w:t xml:space="preserve">      {"signal": "收入增长与行业背离", "evidence": "行业-5%，公司+20%", "level": "高", "case_reference": "金亚科技"}</w:t>
        <w:br/>
        <w:t xml:space="preserve">    ],</w:t>
        <w:br/>
        <w:t xml:space="preserve">    "suggested_procedures": ["收入截止测试", "期末销售穿透核查", "海外客户函证"]</w:t>
        <w:br/>
        <w:t xml:space="preserve">  }</w:t>
        <w:br/>
        <w:t>}</w:t>
      </w:r>
    </w:p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宋体"/>
          <w:b/>
          <w:sz w:val="28"/>
        </w:rPr>
        <w:t>10. 附录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10.1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术语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CAS 14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《企业会计准则第14号——收入》（2017年修订）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CSA 1141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《中国注册会计师审计准则第1141号——财务报表审计中与舞弊相关的责任》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CSA 1211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《中国注册会计师审计准则第1211号——通过了解被审计单位及其环境识别和评估重大错报风险》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履约义务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合同中企业向客户转让可明确区分商品的承诺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时点法/时段法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收入确认的两种方式：在某一时点确认/在某一时段内确认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可变对价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合同价款中因折扣、返利、奖励、罚款等可能变动的金额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舞弊三角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压力、机会、借口——舞弊发生的三要素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RAG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检索增强生成（Retrieval-Augmented Generation）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宋体"/>
          <w:b/>
          <w:sz w:val="25"/>
        </w:rPr>
        <w:t>10.2 参考资料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1. 《企业会计准则第14号——收入》及应用指南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2. 《中国注册会计师审计准则第1141号——与舞弊相关的责任》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3. 《中国注册会计师审计准则第1211号——风险评估》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4. 《中国注册会计师审计准则第1301号——审计证据》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5. 证监会/财政部对会计师事务所的行政处罚决定书、监管函（收入确认相关案例）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6. 上市公司审计失败案例（金亚科技、康得新、獐子岛、科迪乳业等）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7. 本所审计底稿模板（内部资料，需脱敏后入库）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10.3 待用户提供/确认事项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内部审计底稿模板文件（F6关键输入，开发前置条件）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企业会计准则汇编、审计准则文本文件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监管处罚案例库（或授权从公开渠道采集）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内部培训视频清单及转文字授权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部署环境确认（本地/私有云，算力与安全要求）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试用范围与推广时间表确认</w:t>
      </w:r>
    </w:p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 w:eastAsia="宋体"/>
          <w:b w:val="0"/>
          <w:sz w:val="21"/>
        </w:rPr>
        <w:t>*本文档为需求初稿，请开发团队评审后反馈技术可行性问题，双方确认后进入开发阶段。*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