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收入循环智能审计助手</w:t>
        <w:br/>
        <w:t>搭建任务书</w:t>
      </w:r>
    </w:p>
    <w:p>
      <w:pPr>
        <w:jc w:val="center"/>
      </w:pPr>
      <w:r>
        <w:rPr>
          <w:b/>
          <w:sz w:val="24"/>
        </w:rPr>
        <w:t>Stage → Step → Task → Acceptance Criteria 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DEDED"/>
          </w:tcPr>
          <w:p>
            <w:r>
              <w:t>项目名称</w:t>
            </w:r>
          </w:p>
        </w:tc>
        <w:tc>
          <w:tcPr>
            <w:tcW w:type="dxa" w:w="4759"/>
          </w:tcPr>
          <w:p>
            <w:r>
              <w:t>收入循环智能审计助手</w:t>
            </w:r>
          </w:p>
        </w:tc>
      </w:tr>
      <w:tr>
        <w:tc>
          <w:tcPr>
            <w:tcW w:type="dxa" w:w="4759"/>
            <w:shd w:fill="EDEDED"/>
          </w:tcPr>
          <w:p>
            <w:r>
              <w:t>任务书版本</w:t>
            </w:r>
          </w:p>
        </w:tc>
        <w:tc>
          <w:tcPr>
            <w:tcW w:type="dxa" w:w="4759"/>
          </w:tcPr>
          <w:p>
            <w:r>
              <w:t>V1.0</w:t>
            </w:r>
          </w:p>
        </w:tc>
      </w:tr>
      <w:tr>
        <w:tc>
          <w:tcPr>
            <w:tcW w:type="dxa" w:w="4759"/>
            <w:shd w:fill="EDEDED"/>
          </w:tcPr>
          <w:p>
            <w:r>
              <w:t>依据版本</w:t>
            </w:r>
          </w:p>
        </w:tc>
        <w:tc>
          <w:tcPr>
            <w:tcW w:type="dxa" w:w="4759"/>
          </w:tcPr>
          <w:p>
            <w:r>
              <w:t>收入循环智能审计助手 V1.3 修改需求清单</w:t>
            </w:r>
          </w:p>
        </w:tc>
      </w:tr>
      <w:tr>
        <w:tc>
          <w:tcPr>
            <w:tcW w:type="dxa" w:w="4759"/>
            <w:shd w:fill="EDEDED"/>
          </w:tcPr>
          <w:p>
            <w:r>
              <w:t>核心架构</w:t>
            </w:r>
          </w:p>
        </w:tc>
        <w:tc>
          <w:tcPr>
            <w:tcW w:type="dxa" w:w="4759"/>
          </w:tcPr>
          <w:p>
            <w:r>
              <w:t>Audit Procedure Orchestrator + 独立能力模块 + Evidence + Human-in-the-loop</w:t>
            </w:r>
          </w:p>
        </w:tc>
      </w:tr>
      <w:tr>
        <w:tc>
          <w:tcPr>
            <w:tcW w:type="dxa" w:w="4759"/>
            <w:shd w:fill="EDEDED"/>
          </w:tcPr>
          <w:p>
            <w:r>
              <w:t>用途</w:t>
            </w:r>
          </w:p>
        </w:tc>
        <w:tc>
          <w:tcPr>
            <w:tcW w:type="dxa" w:w="4759"/>
          </w:tcPr>
          <w:p>
            <w:r>
              <w:t>开发任务拆解、技术方案评审、MVP实施与验收</w:t>
            </w:r>
          </w:p>
        </w:tc>
      </w:tr>
    </w:tbl>
    <w:p>
      <w:r>
        <w:br w:type="page"/>
      </w:r>
    </w:p>
    <w:p>
      <w:pPr>
        <w:pStyle w:val="Heading1"/>
      </w:pPr>
      <w:r>
        <w:t>一、项目定位与任务书使用方式</w:t>
      </w:r>
    </w:p>
    <w:p>
      <w:r>
        <w:t>本任务书用于把现有收入循环智能审计助手需求，转换为可执行的软件搭建计划。任务书采用“Stage → Step → Task → Acceptance Criteria”四级结构：Stage 管项目阶段与里程碑，Step 管阶段内建设顺序，Task 管具体开发事项，Acceptance Criteria 用于业务和技术联合验收。</w:t>
      </w:r>
    </w:p>
    <w:p>
      <w:pPr>
        <w:pStyle w:val="Heading2"/>
      </w:pPr>
      <w:r>
        <w:t>1.1 产品定位</w:t>
      </w:r>
    </w:p>
    <w:p>
      <w:r>
        <w:t>系统定位为“AI + Rules + Evidence + Human-in-the-loop”的审计智能系统，不以“多个 Agent 串行执行”作为产品架构。核心是审计程序编排、局部依赖、程序状态管理、证据可追溯和人工复核。</w:t>
      </w:r>
    </w:p>
    <w:p>
      <w:pPr>
        <w:pStyle w:val="ListBullet"/>
        <w:spacing w:after="40"/>
      </w:pPr>
      <w:r>
        <w:t>系统应支持审计程序可选执行与部分执行。</w:t>
      </w:r>
    </w:p>
    <w:p>
      <w:pPr>
        <w:pStyle w:val="ListBullet"/>
        <w:spacing w:after="40"/>
      </w:pPr>
      <w:r>
        <w:t>资料不完整时，不得导致整个系统或整条流程整体失败。</w:t>
      </w:r>
    </w:p>
    <w:p>
      <w:pPr>
        <w:pStyle w:val="ListBullet"/>
        <w:spacing w:after="40"/>
      </w:pPr>
      <w:r>
        <w:t>AI 不得把“资料未提供”自动解释为“审计师未执行程序”。</w:t>
      </w:r>
    </w:p>
    <w:p>
      <w:pPr>
        <w:pStyle w:val="ListBullet"/>
        <w:spacing w:after="40"/>
      </w:pPr>
      <w:r>
        <w:t>所有重要审计判断应保留证据来源、状态、置信依据和人工复核痕迹。</w:t>
      </w:r>
    </w:p>
    <w:p>
      <w:pPr>
        <w:pStyle w:val="ListBullet"/>
        <w:spacing w:after="40"/>
      </w:pPr>
      <w:r>
        <w:t>底稿输出必须基于已确认的证据和实际执行范围，并强制输出 Coverage &amp; Limitations。</w:t>
      </w:r>
    </w:p>
    <w:p>
      <w:pPr>
        <w:pStyle w:val="Heading2"/>
      </w:pPr>
      <w:r>
        <w:t>1.2 总体架构</w:t>
      </w:r>
    </w:p>
    <w:p>
      <w:r>
        <w:t>建议总体架构分为九层：</w:t>
      </w:r>
    </w:p>
    <w:p>
      <w:pPr>
        <w:pStyle w:val="ListBullet"/>
        <w:spacing w:after="40"/>
      </w:pPr>
      <w:r>
        <w:t>L0 安全、权限、日志、版本与可追溯底座</w:t>
      </w:r>
    </w:p>
    <w:p>
      <w:pPr>
        <w:pStyle w:val="ListBullet"/>
        <w:spacing w:after="40"/>
      </w:pPr>
      <w:r>
        <w:t>L1 Project Context 与文件存储</w:t>
      </w:r>
    </w:p>
    <w:p>
      <w:pPr>
        <w:pStyle w:val="ListBullet"/>
        <w:spacing w:after="40"/>
      </w:pPr>
      <w:r>
        <w:t>L2 文档与数据处理</w:t>
      </w:r>
    </w:p>
    <w:p>
      <w:pPr>
        <w:pStyle w:val="ListBullet"/>
        <w:spacing w:after="40"/>
      </w:pPr>
      <w:r>
        <w:t>L3 审计数据模型与 Evidence Object</w:t>
      </w:r>
    </w:p>
    <w:p>
      <w:pPr>
        <w:pStyle w:val="ListBullet"/>
        <w:spacing w:after="40"/>
      </w:pPr>
      <w:r>
        <w:t>L4 Rules / Knowledge / LLM 基础能力</w:t>
      </w:r>
    </w:p>
    <w:p>
      <w:pPr>
        <w:pStyle w:val="ListBullet"/>
        <w:spacing w:after="40"/>
      </w:pPr>
      <w:r>
        <w:t>L5 Audit Procedure Orchestrator</w:t>
      </w:r>
    </w:p>
    <w:p>
      <w:pPr>
        <w:pStyle w:val="ListBullet"/>
        <w:spacing w:after="40"/>
      </w:pPr>
      <w:r>
        <w:t>L6 Audit Capability Modules</w:t>
      </w:r>
    </w:p>
    <w:p>
      <w:pPr>
        <w:pStyle w:val="ListBullet"/>
        <w:spacing w:after="40"/>
      </w:pPr>
      <w:r>
        <w:t>L7 Evidence Assembly / Data Lineage / Review</w:t>
      </w:r>
    </w:p>
    <w:p>
      <w:pPr>
        <w:pStyle w:val="ListBullet"/>
        <w:spacing w:after="40"/>
      </w:pPr>
      <w:r>
        <w:t>L8 底稿与输出</w:t>
      </w:r>
    </w:p>
    <w:p>
      <w:r>
        <w:t>其中最关键的不是单一大模型，而是“统一数据模型 + 审计程序编排器 + Evidence/Data Lineage”。这三部分先搭稳，再逐步扩展更多审计能力。</w:t>
      </w:r>
    </w:p>
    <w:p>
      <w:pPr>
        <w:pStyle w:val="Heading1"/>
      </w:pPr>
      <w:r>
        <w:t>Stage 1：基础工程与运行底座</w:t>
      </w:r>
    </w:p>
    <w:p>
      <w:r>
        <w:t>阶段目标：先建立一个可持续开发、可测试、可部署、可追踪的工程骨架。</w:t>
      </w:r>
    </w:p>
    <w:p>
      <w:pPr>
        <w:pStyle w:val="Heading2"/>
      </w:pPr>
      <w:r>
        <w:t>Step 1.1：建立代码仓库与基础工程</w:t>
      </w:r>
    </w:p>
    <w:p>
      <w:pPr>
        <w:pStyle w:val="TaskTitle"/>
        <w:spacing w:before="120" w:after="60"/>
      </w:pPr>
      <w:r>
        <w:t>TASK-101  建立项目代码结构</w:t>
      </w:r>
    </w:p>
    <w:p>
      <w:pPr>
        <w:spacing w:after="40"/>
      </w:pPr>
      <w:r>
        <w:rPr>
          <w:b/>
        </w:rPr>
        <w:t>目标：</w:t>
      </w:r>
      <w:r>
        <w:t>建立前后端分离、能力模块独立、测试和日志完整的项目骨架。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建立 backend、frontend、tests、docs、templates、knowledge_base、sample_data、logs 等目录。</w:t>
      </w:r>
    </w:p>
    <w:p>
      <w:pPr>
        <w:pStyle w:val="ListBullet"/>
        <w:spacing w:after="40"/>
      </w:pPr>
      <w:r>
        <w:t>后端采用清晰的 api / services / models / schemas / orchestrator / capabilities / evidence 分层。</w:t>
      </w:r>
    </w:p>
    <w:p>
      <w:pPr>
        <w:pStyle w:val="ListBullet"/>
        <w:spacing w:after="40"/>
      </w:pPr>
      <w:r>
        <w:t>为每个核心能力预留 inputs、outputs、logs、tests 或对应等价结构。</w:t>
      </w:r>
    </w:p>
    <w:p>
      <w:pPr>
        <w:pStyle w:val="ListBullet"/>
        <w:spacing w:after="40"/>
      </w:pPr>
      <w:r>
        <w:t>建立环境变量模板、依赖管理和本地开发说明。</w:t>
      </w:r>
    </w:p>
    <w:p>
      <w:pPr>
        <w:spacing w:after="20"/>
      </w:pPr>
      <w:r>
        <w:rPr>
          <w:b/>
        </w:rPr>
        <w:t>交付物：</w:t>
      </w:r>
    </w:p>
    <w:p>
      <w:pPr>
        <w:pStyle w:val="ListBullet"/>
        <w:spacing w:after="40"/>
      </w:pPr>
      <w:r>
        <w:t>GitHub Repository</w:t>
      </w:r>
    </w:p>
    <w:p>
      <w:pPr>
        <w:pStyle w:val="ListBullet"/>
        <w:spacing w:after="40"/>
      </w:pPr>
      <w:r>
        <w:t>README</w:t>
      </w:r>
    </w:p>
    <w:p>
      <w:pPr>
        <w:pStyle w:val="ListBullet"/>
        <w:spacing w:after="40"/>
      </w:pPr>
      <w:r>
        <w:t>基础目录结构</w:t>
      </w:r>
    </w:p>
    <w:p>
      <w:pPr>
        <w:pStyle w:val="ListBullet"/>
        <w:spacing w:after="40"/>
      </w:pPr>
      <w:r>
        <w:t>依赖文件</w:t>
      </w:r>
    </w:p>
    <w:p>
      <w:pPr>
        <w:pStyle w:val="ListBullet"/>
        <w:spacing w:after="40"/>
      </w:pPr>
      <w:r>
        <w:t>环境变量模板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新开发人员 clone 仓库后，可按 README 完成本地启动。</w:t>
      </w:r>
    </w:p>
    <w:p>
      <w:pPr>
        <w:pStyle w:val="ListBullet"/>
        <w:spacing w:after="40"/>
      </w:pPr>
      <w:r>
        <w:t>后端健康检查接口可访问。</w:t>
      </w:r>
    </w:p>
    <w:p>
      <w:pPr>
        <w:pStyle w:val="ListBullet"/>
        <w:spacing w:after="40"/>
      </w:pPr>
      <w:r>
        <w:t>单元测试框架可运行。</w:t>
      </w:r>
    </w:p>
    <w:p>
      <w:pPr>
        <w:pStyle w:val="ListBullet"/>
        <w:spacing w:after="40"/>
      </w:pPr>
      <w:r>
        <w:t>仓库中不包含 API Key、密码、客户资料等敏感信息。</w:t>
      </w:r>
    </w:p>
    <w:p>
      <w:pPr>
        <w:pStyle w:val="Heading2"/>
      </w:pPr>
      <w:r>
        <w:t>Step 1.2：搭建基础服务</w:t>
      </w:r>
    </w:p>
    <w:p>
      <w:pPr>
        <w:pStyle w:val="TaskTitle"/>
        <w:spacing w:before="120" w:after="60"/>
      </w:pPr>
      <w:r>
        <w:t>TASK-102  基础 API、数据库与文件存储</w:t>
      </w:r>
    </w:p>
    <w:p>
      <w:pPr>
        <w:spacing w:after="40"/>
      </w:pPr>
      <w:r>
        <w:rPr>
          <w:b/>
        </w:rPr>
        <w:t>目标：</w:t>
      </w:r>
      <w:r>
        <w:t>为后续项目、文件、程序状态、证据对象提供稳定存储和访问接口。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建立 Project、Document、Procedure、Evidence、Review、Run 等基础数据表或等价持久化结构。</w:t>
      </w:r>
    </w:p>
    <w:p>
      <w:pPr>
        <w:pStyle w:val="ListBullet"/>
        <w:spacing w:after="40"/>
      </w:pPr>
      <w:r>
        <w:t>实现文件上传、文件元数据登记、文件状态查询。</w:t>
      </w:r>
    </w:p>
    <w:p>
      <w:pPr>
        <w:pStyle w:val="ListBullet"/>
        <w:spacing w:after="40"/>
      </w:pPr>
      <w:r>
        <w:t>实现统一日志接口和错误码体系。</w:t>
      </w:r>
    </w:p>
    <w:p>
      <w:pPr>
        <w:pStyle w:val="ListBullet"/>
        <w:spacing w:after="40"/>
      </w:pPr>
      <w:r>
        <w:t>为后续 Replay / Re-run 预留版本字段。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可以创建项目、上传文件、查询项目和文件。</w:t>
      </w:r>
    </w:p>
    <w:p>
      <w:pPr>
        <w:pStyle w:val="ListBullet"/>
        <w:spacing w:after="40"/>
      </w:pPr>
      <w:r>
        <w:t>所有关键请求均有 trace/run 标识。</w:t>
      </w:r>
    </w:p>
    <w:p>
      <w:pPr>
        <w:pStyle w:val="ListBullet"/>
        <w:spacing w:after="40"/>
      </w:pPr>
      <w:r>
        <w:t>数据库异常和文件异常不会直接导致服务进程崩溃。</w:t>
      </w:r>
    </w:p>
    <w:p>
      <w:pPr>
        <w:pStyle w:val="Heading1"/>
      </w:pPr>
      <w:r>
        <w:t>Stage 2：审计数据与证据模型</w:t>
      </w:r>
    </w:p>
    <w:p>
      <w:r>
        <w:t>阶段目标：先定义系统理解审计项目所需的统一数据对象，避免不同模块各自输出不可兼容结果。</w:t>
      </w:r>
    </w:p>
    <w:p>
      <w:pPr>
        <w:pStyle w:val="Heading2"/>
      </w:pPr>
      <w:r>
        <w:t>Step 2.1：建立 Project Context</w:t>
      </w:r>
    </w:p>
    <w:p>
      <w:pPr>
        <w:pStyle w:val="TaskTitle"/>
        <w:spacing w:before="120" w:after="60"/>
      </w:pPr>
      <w:r>
        <w:t>TASK-201  Project Context MVP</w:t>
      </w:r>
    </w:p>
    <w:p>
      <w:pPr>
        <w:spacing w:after="40"/>
      </w:pPr>
      <w:r>
        <w:rPr>
          <w:b/>
        </w:rPr>
        <w:t>目标：</w:t>
      </w:r>
      <w:r>
        <w:t>定义项目级最小必要信息，作为所有审计能力的统一上下文。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MVP 1.0 仅保留基础信息、审计期间、重要性、收入模式、合同等核心上下文。</w:t>
      </w:r>
    </w:p>
    <w:p>
      <w:pPr>
        <w:pStyle w:val="ListBullet"/>
        <w:spacing w:after="40"/>
      </w:pPr>
      <w:r>
        <w:t>收入明细、客户名单、应收、银行流水等扩展内容作为后续版本或可选输入。</w:t>
      </w:r>
    </w:p>
    <w:p>
      <w:pPr>
        <w:pStyle w:val="ListBullet"/>
        <w:spacing w:after="40"/>
      </w:pPr>
      <w:r>
        <w:t>Project Context 不应成为项目启动的强制“大而全”数据包。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只提供基础信息和合同时也能创建并启动项目。</w:t>
      </w:r>
    </w:p>
    <w:p>
      <w:pPr>
        <w:pStyle w:val="ListBullet"/>
        <w:spacing w:after="40"/>
      </w:pPr>
      <w:r>
        <w:t>缺少扩展数据不会阻塞全部程序。</w:t>
      </w:r>
    </w:p>
    <w:p>
      <w:pPr>
        <w:pStyle w:val="ListBullet"/>
        <w:spacing w:after="40"/>
      </w:pPr>
      <w:r>
        <w:t>Project Context 版本变化可追踪。</w:t>
      </w:r>
    </w:p>
    <w:p>
      <w:pPr>
        <w:pStyle w:val="Heading2"/>
      </w:pPr>
      <w:r>
        <w:t>Step 2.2：建立统一 Evidence Object</w:t>
      </w:r>
    </w:p>
    <w:p>
      <w:pPr>
        <w:pStyle w:val="TaskTitle"/>
        <w:spacing w:before="120" w:after="60"/>
      </w:pPr>
      <w:r>
        <w:t>TASK-202  Evidence Object Schema</w:t>
      </w:r>
    </w:p>
    <w:p>
      <w:pPr>
        <w:spacing w:after="40"/>
      </w:pPr>
      <w:r>
        <w:rPr>
          <w:b/>
        </w:rPr>
        <w:t>目标：</w:t>
      </w:r>
      <w:r>
        <w:t>建立所有规则、AI判断、人工复核和底稿输出共同使用的统一证据对象。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固定 Schema，字段至少覆盖 evidence_id、project_id、procedure_id、source、extracted_value、conclusion、execution_status、node_status、judgment_status、confidence、reviewer、timestamp 等。</w:t>
      </w:r>
    </w:p>
    <w:p>
      <w:pPr>
        <w:pStyle w:val="ListBullet"/>
        <w:spacing w:after="40"/>
      </w:pPr>
      <w:r>
        <w:t>node_status 与 judgment_status 独立维护。</w:t>
      </w:r>
    </w:p>
    <w:p>
      <w:pPr>
        <w:pStyle w:val="ListBullet"/>
        <w:spacing w:after="40"/>
      </w:pPr>
      <w:r>
        <w:t>支持 model_confidence、confidence_level、confidence_basis。</w:t>
      </w:r>
    </w:p>
    <w:p>
      <w:pPr>
        <w:pStyle w:val="ListBullet"/>
        <w:spacing w:after="40"/>
      </w:pPr>
      <w:r>
        <w:t>禁止各能力模块自定义互不兼容的输出结构。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任一能力模块的核心结果都能转换成 Evidence Object。</w:t>
      </w:r>
    </w:p>
    <w:p>
      <w:pPr>
        <w:pStyle w:val="ListBullet"/>
        <w:spacing w:after="40"/>
      </w:pPr>
      <w:r>
        <w:t>AI_GENERATED / PENDING_REVIEW / CONFIRMED / MODIFIED / REJECTED / NEED_MORE_EVIDENCE 可正确流转。</w:t>
      </w:r>
    </w:p>
    <w:p>
      <w:pPr>
        <w:pStyle w:val="ListBullet"/>
        <w:spacing w:after="40"/>
      </w:pPr>
      <w:r>
        <w:t>历史 Evidence Object 可按版本读取。</w:t>
      </w:r>
    </w:p>
    <w:p>
      <w:pPr>
        <w:pStyle w:val="Heading2"/>
      </w:pPr>
      <w:r>
        <w:t>Step 2.3：数据标准化与质量分级</w:t>
      </w:r>
    </w:p>
    <w:p>
      <w:pPr>
        <w:pStyle w:val="TaskTitle"/>
        <w:spacing w:before="120" w:after="60"/>
      </w:pPr>
      <w:r>
        <w:t>TASK-203  Normalization &amp; Dataset Quality</w:t>
      </w:r>
    </w:p>
    <w:p>
      <w:pPr>
        <w:spacing w:after="40"/>
      </w:pPr>
      <w:r>
        <w:rPr>
          <w:b/>
        </w:rPr>
        <w:t>目标：</w:t>
      </w:r>
      <w:r>
        <w:t>保证原始值、标准值和转换规则可追溯，并对结构化数据质量进行分级。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金额、日期、币种等同时保存 raw_value 与 standard_value。</w:t>
      </w:r>
    </w:p>
    <w:p>
      <w:pPr>
        <w:pStyle w:val="ListBullet"/>
        <w:spacing w:after="40"/>
      </w:pPr>
      <w:r>
        <w:t>记录 normalization_rule。</w:t>
      </w:r>
    </w:p>
    <w:p>
      <w:pPr>
        <w:pStyle w:val="ListBullet"/>
        <w:spacing w:after="40"/>
      </w:pPr>
      <w:r>
        <w:t>建立 Dataset Quality Score 或等价分级机制。</w:t>
      </w:r>
    </w:p>
    <w:p>
      <w:pPr>
        <w:pStyle w:val="ListBullet"/>
        <w:spacing w:after="40"/>
      </w:pPr>
      <w:r>
        <w:t>避免“整批拒入”的二元逻辑。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审计人员可以看到原始值和标准值的对应关系。</w:t>
      </w:r>
    </w:p>
    <w:p>
      <w:pPr>
        <w:pStyle w:val="ListBullet"/>
        <w:spacing w:after="40"/>
      </w:pPr>
      <w:r>
        <w:t>低质量数据允许进入“部分可分析”而不是直接整批失败。</w:t>
      </w:r>
    </w:p>
    <w:p>
      <w:pPr>
        <w:pStyle w:val="ListBullet"/>
        <w:spacing w:after="40"/>
      </w:pPr>
      <w:r>
        <w:t>质量状态会影响后续 Procedure 的 READY/PARTIAL/ABSTAINED 判断。</w:t>
      </w:r>
    </w:p>
    <w:p>
      <w:pPr>
        <w:pStyle w:val="Heading1"/>
      </w:pPr>
      <w:r>
        <w:t>Stage 3：文档处理与审计能力模块</w:t>
      </w:r>
    </w:p>
    <w:p>
      <w:r>
        <w:t>阶段目标：建立可以独立运行、独立测试、独立停用的 Audit Capability，而不是先做固定串行 Agent 流程。</w:t>
      </w:r>
    </w:p>
    <w:p>
      <w:pPr>
        <w:pStyle w:val="Heading2"/>
      </w:pPr>
      <w:r>
        <w:t>Step 3.1：Document Processor</w:t>
      </w:r>
    </w:p>
    <w:p>
      <w:pPr>
        <w:pStyle w:val="TaskTitle"/>
        <w:spacing w:before="120" w:after="60"/>
      </w:pPr>
      <w:r>
        <w:t>TASK-301  文档与表格解析</w:t>
      </w:r>
    </w:p>
    <w:p>
      <w:pPr>
        <w:spacing w:after="40"/>
      </w:pPr>
      <w:r>
        <w:rPr>
          <w:b/>
        </w:rPr>
        <w:t>目标：</w:t>
      </w:r>
      <w:r>
        <w:t>把 PDF、DOCX、XLSX、CSV、TXT 等资料解析成可引用、可定位的结构化内容。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实现文本、表格和基础元数据提取。</w:t>
      </w:r>
    </w:p>
    <w:p>
      <w:pPr>
        <w:pStyle w:val="ListBullet"/>
        <w:spacing w:after="40"/>
      </w:pPr>
      <w:r>
        <w:t>仅在确有需要时使用 OCR fallback。</w:t>
      </w:r>
    </w:p>
    <w:p>
      <w:pPr>
        <w:pStyle w:val="ListBullet"/>
        <w:spacing w:after="40"/>
      </w:pPr>
      <w:r>
        <w:t>保存 document_id、页码、sheet、行号、段落号、原始文本等定位信息。</w:t>
      </w:r>
    </w:p>
    <w:p>
      <w:pPr>
        <w:pStyle w:val="ListBullet"/>
        <w:spacing w:after="40"/>
      </w:pPr>
      <w:r>
        <w:t>解析失败需返回明确状态和原因。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一份合同中的关键条款可被定位回具体页或段落。</w:t>
      </w:r>
    </w:p>
    <w:p>
      <w:pPr>
        <w:pStyle w:val="ListBullet"/>
        <w:spacing w:after="40"/>
      </w:pPr>
      <w:r>
        <w:t>Excel 中的关键数据可追溯到具体 sheet/row。</w:t>
      </w:r>
    </w:p>
    <w:p>
      <w:pPr>
        <w:pStyle w:val="ListBullet"/>
        <w:spacing w:after="40"/>
      </w:pPr>
      <w:r>
        <w:t>损坏文件进入 BLOCKED，而不是产生虚假解析结果。</w:t>
      </w:r>
    </w:p>
    <w:p>
      <w:pPr>
        <w:pStyle w:val="Heading2"/>
      </w:pPr>
      <w:r>
        <w:t>Step 3.2：合同与收入审计核心能力</w:t>
      </w:r>
    </w:p>
    <w:p>
      <w:pPr>
        <w:pStyle w:val="TaskTitle"/>
        <w:spacing w:before="120" w:after="60"/>
      </w:pPr>
      <w:r>
        <w:t>TASK-302  合同要素提取 Capability</w:t>
      </w:r>
    </w:p>
    <w:p>
      <w:pPr>
        <w:spacing w:after="40"/>
      </w:pPr>
      <w:r>
        <w:rPr>
          <w:b/>
        </w:rPr>
        <w:t>目标：</w:t>
      </w:r>
      <w:r>
        <w:t>从合同中提取收入审计所需关键要素，并形成 Evidence Object。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提取合同主体、期间、商品/服务、履约义务、交易价格、收款条件、验收条件、特殊条款等。</w:t>
      </w:r>
    </w:p>
    <w:p>
      <w:pPr>
        <w:pStyle w:val="ListBullet"/>
        <w:spacing w:after="40"/>
      </w:pPr>
      <w:r>
        <w:t>每个关键字段保留来源位置。</w:t>
      </w:r>
    </w:p>
    <w:p>
      <w:pPr>
        <w:pStyle w:val="ListBullet"/>
        <w:spacing w:after="40"/>
      </w:pPr>
      <w:r>
        <w:t>字段级证据不足时支持 Field Abstention。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关键字段可回溯原文。</w:t>
      </w:r>
    </w:p>
    <w:p>
      <w:pPr>
        <w:pStyle w:val="ListBullet"/>
        <w:spacing w:after="40"/>
      </w:pPr>
      <w:r>
        <w:t>字段缺失与未提供资料能够区分。</w:t>
      </w:r>
    </w:p>
    <w:p>
      <w:pPr>
        <w:pStyle w:val="ListBullet"/>
        <w:spacing w:after="40"/>
      </w:pPr>
      <w:r>
        <w:t>输出符合统一 Evidence Object Schema。</w:t>
      </w:r>
    </w:p>
    <w:p>
      <w:pPr>
        <w:pStyle w:val="TaskTitle"/>
        <w:spacing w:before="120" w:after="60"/>
      </w:pPr>
      <w:r>
        <w:t>TASK-303  收入确认分析 Capability</w:t>
      </w:r>
    </w:p>
    <w:p>
      <w:pPr>
        <w:spacing w:after="40"/>
      </w:pPr>
      <w:r>
        <w:rPr>
          <w:b/>
        </w:rPr>
        <w:t>目标：</w:t>
      </w:r>
      <w:r>
        <w:t>基于合同要素、Project Context 及可选收入记录完成收入确认相关分析。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采用“触发 → 分析 → 结论”的三态判断结构。</w:t>
      </w:r>
    </w:p>
    <w:p>
      <w:pPr>
        <w:pStyle w:val="ListBullet"/>
        <w:spacing w:after="40"/>
      </w:pPr>
      <w:r>
        <w:t>每个判断节点可进入人工 Review。</w:t>
      </w:r>
    </w:p>
    <w:p>
      <w:pPr>
        <w:pStyle w:val="ListBullet"/>
        <w:spacing w:after="40"/>
      </w:pPr>
      <w:r>
        <w:t>不要求收入明细必须存在；仅在需要做差异分析时调用相关记录。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仅合同场景可完成合同层面的收入确认分析。</w:t>
      </w:r>
    </w:p>
    <w:p>
      <w:pPr>
        <w:pStyle w:val="ListBullet"/>
        <w:spacing w:after="40"/>
      </w:pPr>
      <w:r>
        <w:t>缺少收入记录时，不影响已具备证据的其他节点。</w:t>
      </w:r>
    </w:p>
    <w:p>
      <w:pPr>
        <w:pStyle w:val="ListBullet"/>
        <w:spacing w:after="40"/>
      </w:pPr>
      <w:r>
        <w:t>结论必须带 Coverage、Limitations 和影响说明。</w:t>
      </w:r>
    </w:p>
    <w:p>
      <w:pPr>
        <w:pStyle w:val="TaskTitle"/>
        <w:spacing w:before="120" w:after="60"/>
      </w:pPr>
      <w:r>
        <w:t>TASK-304  收入风险识别 Capability</w:t>
      </w:r>
    </w:p>
    <w:p>
      <w:pPr>
        <w:spacing w:after="40"/>
      </w:pPr>
      <w:r>
        <w:rPr>
          <w:b/>
        </w:rPr>
        <w:t>目标：</w:t>
      </w:r>
      <w:r>
        <w:t>采用 Rules + LLM Judgment 双轨机制识别收入风险。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规则用于阈值、日期、金额比较、重复交易、截止性、异常组合等高频风险。</w:t>
      </w:r>
    </w:p>
    <w:p>
      <w:pPr>
        <w:pStyle w:val="ListBullet"/>
        <w:spacing w:after="40"/>
      </w:pPr>
      <w:r>
        <w:t>LLM 用于合同语义、商业实质和非标准条款判断。</w:t>
      </w:r>
    </w:p>
    <w:p>
      <w:pPr>
        <w:pStyle w:val="ListBullet"/>
        <w:spacing w:after="40"/>
      </w:pPr>
      <w:r>
        <w:t>风险状态至少支持 COMPLETE / PARTIAL / INSUFFICIENT_DATA。</w:t>
      </w:r>
    </w:p>
    <w:p>
      <w:pPr>
        <w:pStyle w:val="ListBullet"/>
        <w:spacing w:after="40"/>
      </w:pPr>
      <w:r>
        <w:t>规则覆盖率与模型召回率分开评价。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预定义高频风险信号均进入规则库和测试。</w:t>
      </w:r>
    </w:p>
    <w:p>
      <w:pPr>
        <w:pStyle w:val="ListBullet"/>
        <w:spacing w:after="40"/>
      </w:pPr>
      <w:r>
        <w:t>仅合同场景也能输出合同相关风险，不整体失败。</w:t>
      </w:r>
    </w:p>
    <w:p>
      <w:pPr>
        <w:pStyle w:val="ListBullet"/>
        <w:spacing w:after="40"/>
      </w:pPr>
      <w:r>
        <w:t>无法计算的信号不进入评分分母，并显示 Coverage Ratio。</w:t>
      </w:r>
    </w:p>
    <w:p>
      <w:pPr>
        <w:pStyle w:val="Heading2"/>
      </w:pPr>
      <w:r>
        <w:t>Step 3.3：数据核对与异常分析</w:t>
      </w:r>
    </w:p>
    <w:p>
      <w:pPr>
        <w:pStyle w:val="TaskTitle"/>
        <w:spacing w:before="120" w:after="60"/>
      </w:pPr>
      <w:r>
        <w:t>TASK-305  数据核对与异常检测 Capability</w:t>
      </w:r>
    </w:p>
    <w:p>
      <w:pPr>
        <w:spacing w:after="40"/>
      </w:pPr>
      <w:r>
        <w:rPr>
          <w:b/>
        </w:rPr>
        <w:t>目标：</w:t>
      </w:r>
      <w:r>
        <w:t>在相关资料存在时执行合同、收入、应收、回款等数据核对和异常筛选。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支持合同与收入记录匹配、应收匹配、回款匹配、截止分析、异常交易筛选。</w:t>
      </w:r>
    </w:p>
    <w:p>
      <w:pPr>
        <w:pStyle w:val="ListBullet"/>
        <w:spacing w:after="40"/>
      </w:pPr>
      <w:r>
        <w:t>统计方法如 Benford 仅作为风险信号，不直接形成审计结论。</w:t>
      </w:r>
    </w:p>
    <w:p>
      <w:pPr>
        <w:pStyle w:val="ListBullet"/>
        <w:spacing w:after="40"/>
      </w:pPr>
      <w:r>
        <w:t>未提供某类数据时，只影响依赖该数据的能力。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不同数据组合可以独立运行。</w:t>
      </w:r>
    </w:p>
    <w:p>
      <w:pPr>
        <w:pStyle w:val="ListBullet"/>
        <w:spacing w:after="40"/>
      </w:pPr>
      <w:r>
        <w:t>匹配结果包含 link_method 与 link_confidence。</w:t>
      </w:r>
    </w:p>
    <w:p>
      <w:pPr>
        <w:pStyle w:val="ListBullet"/>
        <w:spacing w:after="40"/>
      </w:pPr>
      <w:r>
        <w:t>无法匹配与资料未提供状态分开记录。</w:t>
      </w:r>
    </w:p>
    <w:p>
      <w:pPr>
        <w:pStyle w:val="Heading1"/>
      </w:pPr>
      <w:r>
        <w:t>Stage 4：Audit Procedure Orchestrator</w:t>
      </w:r>
    </w:p>
    <w:p>
      <w:r>
        <w:t>阶段目标：实现能力驱动、局部依赖、可选执行、部分执行的审计程序编排机制。此阶段是整个系统的核心。</w:t>
      </w:r>
    </w:p>
    <w:p>
      <w:pPr>
        <w:pStyle w:val="Heading2"/>
      </w:pPr>
      <w:r>
        <w:t>Step 4.1：Procedure Registry</w:t>
      </w:r>
    </w:p>
    <w:p>
      <w:pPr>
        <w:pStyle w:val="TaskTitle"/>
        <w:spacing w:before="120" w:after="60"/>
      </w:pPr>
      <w:r>
        <w:t>TASK-401  审计程序注册表</w:t>
      </w:r>
    </w:p>
    <w:p>
      <w:pPr>
        <w:spacing w:after="40"/>
      </w:pPr>
      <w:r>
        <w:rPr>
          <w:b/>
        </w:rPr>
        <w:t>目标：</w:t>
      </w:r>
      <w:r>
        <w:t>把每个审计程序的输入、依赖、输出和执行策略显式配置化。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定义 procedure_id、procedure_name、required_inputs、optional_inputs、dependent_inputs、upstream_dependencies、output_schema、execution_policy。</w:t>
      </w:r>
    </w:p>
    <w:p>
      <w:pPr>
        <w:pStyle w:val="ListBullet"/>
        <w:spacing w:after="40"/>
      </w:pPr>
      <w:r>
        <w:t>审计程序与 Capability 分离：一个 Procedure 可调用一个或多个 Capability。</w:t>
      </w:r>
    </w:p>
    <w:p>
      <w:pPr>
        <w:pStyle w:val="ListBullet"/>
        <w:spacing w:after="40"/>
      </w:pPr>
      <w:r>
        <w:t>程序配置可版本化。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开发人员不改核心代码即可新增或调整程序依赖配置。</w:t>
      </w:r>
    </w:p>
    <w:p>
      <w:pPr>
        <w:pStyle w:val="ListBullet"/>
        <w:spacing w:after="40"/>
      </w:pPr>
      <w:r>
        <w:t>系统可以解释某程序为何 READY、BLOCKED 或 PARTIAL。</w:t>
      </w:r>
    </w:p>
    <w:p>
      <w:pPr>
        <w:pStyle w:val="Heading2"/>
      </w:pPr>
      <w:r>
        <w:t>Step 4.2：九态 Execution Status</w:t>
      </w:r>
    </w:p>
    <w:p>
      <w:pPr>
        <w:pStyle w:val="TaskTitle"/>
        <w:spacing w:before="120" w:after="60"/>
      </w:pPr>
      <w:r>
        <w:t>TASK-402  程序状态机</w:t>
      </w:r>
    </w:p>
    <w:p>
      <w:pPr>
        <w:spacing w:after="40"/>
      </w:pPr>
      <w:r>
        <w:rPr>
          <w:b/>
        </w:rPr>
        <w:t>目标：</w:t>
      </w:r>
      <w:r>
        <w:t>实现 NOT_STARTED / READY / RUNNING / COMPLETED / PARTIAL / NOT_APPLICABLE / NOT_PERFORMED / BLOCKED / ABSTAINED 九态。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明确区分 NOT_PERFORMED、NOT_APPLICABLE、BLOCKED、ABSTAINED。</w:t>
      </w:r>
    </w:p>
    <w:p>
      <w:pPr>
        <w:pStyle w:val="ListBullet"/>
        <w:spacing w:after="40"/>
      </w:pPr>
      <w:r>
        <w:t>程序状态由审计师、项目配置和系统事实共同驱动；AI 不得自行认定“审计师没做程序”。</w:t>
      </w:r>
    </w:p>
    <w:p>
      <w:pPr>
        <w:pStyle w:val="ListBullet"/>
        <w:spacing w:after="40"/>
      </w:pPr>
      <w:r>
        <w:t>支持字段级、节点级、程序级 Abstention。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状态转换有明确规则和审计日志。</w:t>
      </w:r>
    </w:p>
    <w:p>
      <w:pPr>
        <w:pStyle w:val="ListBullet"/>
        <w:spacing w:after="40"/>
      </w:pPr>
      <w:r>
        <w:t>资料缺失、系统错误、业务不适用、人工不执行不会混为同一状态。</w:t>
      </w:r>
    </w:p>
    <w:p>
      <w:pPr>
        <w:pStyle w:val="ListBullet"/>
        <w:spacing w:after="40"/>
      </w:pPr>
      <w:r>
        <w:t>状态与 Evidence Object 保持一致。</w:t>
      </w:r>
    </w:p>
    <w:p>
      <w:pPr>
        <w:pStyle w:val="Heading2"/>
      </w:pPr>
      <w:r>
        <w:t>Step 4.3：Dependency Graph 与局部失败</w:t>
      </w:r>
    </w:p>
    <w:p>
      <w:pPr>
        <w:pStyle w:val="TaskTitle"/>
        <w:spacing w:before="120" w:after="60"/>
      </w:pPr>
      <w:r>
        <w:t>TASK-403  依赖图和 Local Failure</w:t>
      </w:r>
    </w:p>
    <w:p>
      <w:pPr>
        <w:spacing w:after="40"/>
      </w:pPr>
      <w:r>
        <w:rPr>
          <w:b/>
        </w:rPr>
        <w:t>目标：</w:t>
      </w:r>
      <w:r>
        <w:t>建立程序与节点依赖图，使某节点失败只影响真正依赖它的后续节点。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建立履约义务、交易价格、收款条件等并行分支依赖示例。</w:t>
      </w:r>
    </w:p>
    <w:p>
      <w:pPr>
        <w:pStyle w:val="ListBullet"/>
        <w:spacing w:after="40"/>
      </w:pPr>
      <w:r>
        <w:t>实现任一节点 Abstention 后，仅停止依赖该节点结论的后续节点。</w:t>
      </w:r>
    </w:p>
    <w:p>
      <w:pPr>
        <w:pStyle w:val="ListBullet"/>
        <w:spacing w:after="40"/>
      </w:pPr>
      <w:r>
        <w:t>无依赖节点继续执行。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P02 ABSTAINED 不会导致无依赖的 P03/P04 整体停止。</w:t>
      </w:r>
    </w:p>
    <w:p>
      <w:pPr>
        <w:pStyle w:val="ListBullet"/>
        <w:spacing w:after="40"/>
      </w:pPr>
      <w:r>
        <w:t>依赖路径可视化或可查询。</w:t>
      </w:r>
    </w:p>
    <w:p>
      <w:pPr>
        <w:pStyle w:val="ListBullet"/>
        <w:spacing w:after="40"/>
      </w:pPr>
      <w:r>
        <w:t>TC-17“仅合同”场景不整体 Abstention。</w:t>
      </w:r>
    </w:p>
    <w:p>
      <w:pPr>
        <w:pStyle w:val="Heading2"/>
      </w:pPr>
      <w:r>
        <w:t>Step 4.4：Execution Manifest</w:t>
      </w:r>
    </w:p>
    <w:p>
      <w:pPr>
        <w:pStyle w:val="TaskTitle"/>
        <w:spacing w:before="120" w:after="60"/>
      </w:pPr>
      <w:r>
        <w:t>TASK-404  项目执行清单</w:t>
      </w:r>
    </w:p>
    <w:p>
      <w:pPr>
        <w:spacing w:after="40"/>
      </w:pPr>
      <w:r>
        <w:rPr>
          <w:b/>
        </w:rPr>
        <w:t>目标：</w:t>
      </w:r>
      <w:r>
        <w:t>记录本次 AI 实际执行、未执行、部分执行和无法执行的全部程序。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每次运行生成 Revenue Audit Execution Manifest。</w:t>
      </w:r>
    </w:p>
    <w:p>
      <w:pPr>
        <w:pStyle w:val="ListBullet"/>
        <w:spacing w:after="40"/>
      </w:pPr>
      <w:r>
        <w:t>记录程序、状态、输入、未执行/受限原因。</w:t>
      </w:r>
    </w:p>
    <w:p>
      <w:pPr>
        <w:pStyle w:val="ListBullet"/>
        <w:spacing w:after="40"/>
      </w:pPr>
      <w:r>
        <w:t>Manifest 作为 Review Workbench 和底稿输出的必备组成。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用户可以明确回答“本次 AI 做了什么、没做什么、为什么”。</w:t>
      </w:r>
    </w:p>
    <w:p>
      <w:pPr>
        <w:pStyle w:val="ListBullet"/>
        <w:spacing w:after="40"/>
      </w:pPr>
      <w:r>
        <w:t>底稿和导出结果包含 Execution Manifest。</w:t>
      </w:r>
    </w:p>
    <w:p>
      <w:pPr>
        <w:pStyle w:val="ListBullet"/>
        <w:spacing w:after="40"/>
      </w:pPr>
      <w:r>
        <w:t>Manifest 与实际运行日志一致。</w:t>
      </w:r>
    </w:p>
    <w:p>
      <w:pPr>
        <w:pStyle w:val="Heading1"/>
      </w:pPr>
      <w:r>
        <w:t>Stage 5：Evidence、Data Lineage 与人工复核</w:t>
      </w:r>
    </w:p>
    <w:p>
      <w:r>
        <w:t>阶段目标：让每个重要结论都能回到证据来源，并由审计人员完成确认、修改或拒绝。</w:t>
      </w:r>
    </w:p>
    <w:p>
      <w:pPr>
        <w:pStyle w:val="Heading2"/>
      </w:pPr>
      <w:r>
        <w:t>Step 5.1：Evidence Assembly 与 Data Lineage</w:t>
      </w:r>
    </w:p>
    <w:p>
      <w:pPr>
        <w:pStyle w:val="TaskTitle"/>
        <w:spacing w:before="120" w:after="60"/>
      </w:pPr>
      <w:r>
        <w:t>TASK-501  证据组装与血缘</w:t>
      </w:r>
    </w:p>
    <w:p>
      <w:pPr>
        <w:spacing w:after="40"/>
      </w:pPr>
      <w:r>
        <w:rPr>
          <w:b/>
        </w:rPr>
        <w:t>目标：</w:t>
      </w:r>
      <w:r>
        <w:t>基于本次实际执行的程序形成可用证据链，而不是强制追求理想化完整链。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建立 Document → Segment → Field → Analysis → Judgment → Conclusion → Working Paper 的血缘链。</w:t>
      </w:r>
    </w:p>
    <w:p>
      <w:pPr>
        <w:pStyle w:val="ListBullet"/>
        <w:spacing w:after="40"/>
      </w:pPr>
      <w:r>
        <w:t>Lineage Link 保存 link_method 与 link_confidence。</w:t>
      </w:r>
    </w:p>
    <w:p>
      <w:pPr>
        <w:pStyle w:val="ListBullet"/>
        <w:spacing w:after="40"/>
      </w:pPr>
      <w:r>
        <w:t>缺失环节区分 MISSING / NOT_PROVIDED / NOT_PERFORMED / NOT_APPLICABLE / UNMATCHED / LOW_CONFIDENCE。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审计人员点击结论可追溯到原始资料位置。</w:t>
      </w:r>
    </w:p>
    <w:p>
      <w:pPr>
        <w:pStyle w:val="ListBullet"/>
        <w:spacing w:after="40"/>
      </w:pPr>
      <w:r>
        <w:t>部分证据链可以正常形成。</w:t>
      </w:r>
    </w:p>
    <w:p>
      <w:pPr>
        <w:pStyle w:val="ListBullet"/>
        <w:spacing w:after="40"/>
      </w:pPr>
      <w:r>
        <w:t>不同缺失语义不会统一显示为 Evidence Missing。</w:t>
      </w:r>
    </w:p>
    <w:p>
      <w:pPr>
        <w:pStyle w:val="Heading2"/>
      </w:pPr>
      <w:r>
        <w:t>Step 5.2：Knowledge Layer 与冲突管理</w:t>
      </w:r>
    </w:p>
    <w:p>
      <w:pPr>
        <w:pStyle w:val="TaskTitle"/>
        <w:spacing w:before="120" w:after="60"/>
      </w:pPr>
      <w:r>
        <w:t>TASK-502  知识库与规则库</w:t>
      </w:r>
    </w:p>
    <w:p>
      <w:pPr>
        <w:spacing w:after="40"/>
      </w:pPr>
      <w:r>
        <w:rPr>
          <w:b/>
        </w:rPr>
        <w:t>目标：</w:t>
      </w:r>
      <w:r>
        <w:t>建立准则法规、事务所方法论和项目知识三类知识源。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知识源保留来源、版本、生效期间和优先级。</w:t>
      </w:r>
    </w:p>
    <w:p>
      <w:pPr>
        <w:pStyle w:val="ListBullet"/>
        <w:spacing w:after="40"/>
      </w:pPr>
      <w:r>
        <w:t>法规/方法论/客户制度不得混成单一不可解释知识库。</w:t>
      </w:r>
    </w:p>
    <w:p>
      <w:pPr>
        <w:pStyle w:val="ListBullet"/>
        <w:spacing w:after="40"/>
      </w:pPr>
      <w:r>
        <w:t>知识冲突不得静默覆盖，必须展示双方依据并交由专业负责人确定。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系统可显示结论引用的知识来源。</w:t>
      </w:r>
    </w:p>
    <w:p>
      <w:pPr>
        <w:pStyle w:val="ListBullet"/>
        <w:spacing w:after="40"/>
      </w:pPr>
      <w:r>
        <w:t>冲突场景能生成 CONFLICT DETECTED 或等价状态。</w:t>
      </w:r>
    </w:p>
    <w:p>
      <w:pPr>
        <w:pStyle w:val="ListBullet"/>
        <w:spacing w:after="40"/>
      </w:pPr>
      <w:r>
        <w:t>人工选择结果被记录并可追溯。</w:t>
      </w:r>
    </w:p>
    <w:p>
      <w:pPr>
        <w:pStyle w:val="Heading2"/>
      </w:pPr>
      <w:r>
        <w:t>Step 5.3：Review Workbench</w:t>
      </w:r>
    </w:p>
    <w:p>
      <w:pPr>
        <w:pStyle w:val="TaskTitle"/>
        <w:spacing w:before="120" w:after="60"/>
      </w:pPr>
      <w:r>
        <w:t>TASK-503  人工复核台</w:t>
      </w:r>
    </w:p>
    <w:p>
      <w:pPr>
        <w:spacing w:after="40"/>
      </w:pPr>
      <w:r>
        <w:rPr>
          <w:b/>
        </w:rPr>
        <w:t>目标：</w:t>
      </w:r>
      <w:r>
        <w:t>建立面向审计师的结构化复核界面，而不是仅提供聊天框。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顶部展示 Execution Manifest。</w:t>
      </w:r>
    </w:p>
    <w:p>
      <w:pPr>
        <w:pStyle w:val="ListBullet"/>
        <w:spacing w:after="40"/>
      </w:pPr>
      <w:r>
        <w:t>每个判断展示 AI Conclusion、Evidence、Confidence、Coverage、Limitations。</w:t>
      </w:r>
    </w:p>
    <w:p>
      <w:pPr>
        <w:pStyle w:val="ListBullet"/>
        <w:spacing w:after="40"/>
      </w:pPr>
      <w:r>
        <w:t>提供确认、修改、拒绝、需要更多证据操作。</w:t>
      </w:r>
    </w:p>
    <w:p>
      <w:pPr>
        <w:pStyle w:val="ListBullet"/>
        <w:spacing w:after="40"/>
      </w:pPr>
      <w:r>
        <w:t>所有复核动作保留 who / when / before / after / reason。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node_status=ANALYZED 与 judgment_status=PENDING_REVIEW 可同时存在。</w:t>
      </w:r>
    </w:p>
    <w:p>
      <w:pPr>
        <w:pStyle w:val="ListBullet"/>
        <w:spacing w:after="40"/>
      </w:pPr>
      <w:r>
        <w:t>人工修改后保留 AI 原判断。</w:t>
      </w:r>
    </w:p>
    <w:p>
      <w:pPr>
        <w:pStyle w:val="ListBullet"/>
        <w:spacing w:after="40"/>
      </w:pPr>
      <w:r>
        <w:t>每次输出都带 Coverage &amp; Limitations。</w:t>
      </w:r>
    </w:p>
    <w:p>
      <w:pPr>
        <w:pStyle w:val="Heading2"/>
      </w:pPr>
      <w:r>
        <w:t>Step 5.4：Feedback Dataset</w:t>
      </w:r>
    </w:p>
    <w:p>
      <w:pPr>
        <w:pStyle w:val="TaskTitle"/>
        <w:spacing w:before="120" w:after="60"/>
      </w:pPr>
      <w:r>
        <w:t>TASK-504  AI Judgment Feedback &amp; Evaluation</w:t>
      </w:r>
    </w:p>
    <w:p>
      <w:pPr>
        <w:spacing w:after="40"/>
      </w:pPr>
      <w:r>
        <w:rPr>
          <w:b/>
        </w:rPr>
        <w:t>目标：</w:t>
      </w:r>
      <w:r>
        <w:t>沉淀 AI 原判断与人工复核差异，为后续 Prompt、规则和模型优化提供数据。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记录 AI 原判断、人工判断、修改内容、修改理由、证据、模型版本、Prompt版本、Rule版本、时间。</w:t>
      </w:r>
    </w:p>
    <w:p>
      <w:pPr>
        <w:pStyle w:val="ListBullet"/>
        <w:spacing w:after="40"/>
      </w:pPr>
      <w:r>
        <w:t>第一阶段以数据沉淀为主，不自动训练模型。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可以按模型、Prompt、规则版本比较复核结果。</w:t>
      </w:r>
    </w:p>
    <w:p>
      <w:pPr>
        <w:pStyle w:val="ListBullet"/>
        <w:spacing w:after="40"/>
      </w:pPr>
      <w:r>
        <w:t>能统计确认率、修改率、拒绝率和需要更多证据比例。</w:t>
      </w:r>
    </w:p>
    <w:p>
      <w:pPr>
        <w:pStyle w:val="Heading1"/>
      </w:pPr>
      <w:r>
        <w:t>Stage 6：输出、治理与可复现</w:t>
      </w:r>
    </w:p>
    <w:p>
      <w:r>
        <w:t>阶段目标：把已确认结果转化为可交付底稿，同时满足权限、安全、异常处理和历史可复现要求。</w:t>
      </w:r>
    </w:p>
    <w:p>
      <w:pPr>
        <w:pStyle w:val="Heading2"/>
      </w:pPr>
      <w:r>
        <w:t>Step 6.1：Working Paper Generator</w:t>
      </w:r>
    </w:p>
    <w:p>
      <w:pPr>
        <w:pStyle w:val="TaskTitle"/>
        <w:spacing w:before="120" w:after="60"/>
      </w:pPr>
      <w:r>
        <w:t>TASK-601  底稿生成</w:t>
      </w:r>
    </w:p>
    <w:p>
      <w:pPr>
        <w:spacing w:after="40"/>
      </w:pPr>
      <w:r>
        <w:rPr>
          <w:b/>
        </w:rPr>
        <w:t>目标：</w:t>
      </w:r>
      <w:r>
        <w:t>基于已确认 Evidence、项目上下文、模板和实际执行范围生成审计底稿。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输入 = 已完成相关能力输出 + Evidence Chain + 内部模板 + Project Context。</w:t>
      </w:r>
    </w:p>
    <w:p>
      <w:pPr>
        <w:pStyle w:val="ListBullet"/>
        <w:spacing w:after="40"/>
      </w:pPr>
      <w:r>
        <w:t>不得假设所有上游 Agent/Capability 都存在。</w:t>
      </w:r>
    </w:p>
    <w:p>
      <w:pPr>
        <w:pStyle w:val="ListBullet"/>
        <w:spacing w:after="40"/>
      </w:pPr>
      <w:r>
        <w:t>优先 Evidence First，Narrative Second。</w:t>
      </w:r>
    </w:p>
    <w:p>
      <w:pPr>
        <w:pStyle w:val="ListBullet"/>
        <w:spacing w:after="40"/>
      </w:pPr>
      <w:r>
        <w:t>底稿强制包含 Coverage &amp; Limitations。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只有合同分析结果也能生成当前可生成部分的底稿。</w:t>
      </w:r>
    </w:p>
    <w:p>
      <w:pPr>
        <w:pStyle w:val="ListBullet"/>
        <w:spacing w:after="40"/>
      </w:pPr>
      <w:r>
        <w:t>未覆盖环节明确说明，不伪造结论。</w:t>
      </w:r>
    </w:p>
    <w:p>
      <w:pPr>
        <w:pStyle w:val="ListBullet"/>
        <w:spacing w:after="40"/>
      </w:pPr>
      <w:r>
        <w:t>底稿内容可追溯到 Confirmed Evidence。</w:t>
      </w:r>
    </w:p>
    <w:p>
      <w:pPr>
        <w:pStyle w:val="Heading2"/>
      </w:pPr>
      <w:r>
        <w:t>Step 6.2：Error &amp; Exception Handling</w:t>
      </w:r>
    </w:p>
    <w:p>
      <w:pPr>
        <w:pStyle w:val="TaskTitle"/>
        <w:spacing w:before="120" w:after="60"/>
      </w:pPr>
      <w:r>
        <w:t>TASK-602  异常处理矩阵</w:t>
      </w:r>
    </w:p>
    <w:p>
      <w:pPr>
        <w:spacing w:after="40"/>
      </w:pPr>
      <w:r>
        <w:rPr>
          <w:b/>
        </w:rPr>
        <w:t>目标：</w:t>
      </w:r>
      <w:r>
        <w:t>把技术错误、数据错误、输入不足、业务不适用、人工未执行、AI无法判断区分处理。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文件损坏 → BLOCKED；字段不足 → Field Abstention；节点证据不足 → Node Abstention；程序整体无法实施 → Procedure Abstention。</w:t>
      </w:r>
    </w:p>
    <w:p>
      <w:pPr>
        <w:pStyle w:val="ListBullet"/>
        <w:spacing w:after="40"/>
      </w:pPr>
      <w:r>
        <w:t>禁止自动 fallback 到未经证据支持的结论。</w:t>
      </w:r>
    </w:p>
    <w:p>
      <w:pPr>
        <w:pStyle w:val="ListBullet"/>
        <w:spacing w:after="40"/>
      </w:pPr>
      <w:r>
        <w:t>异常后优先局部降级，而不是全局停止。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每类异常都有明确状态、提示和恢复路径。</w:t>
      </w:r>
    </w:p>
    <w:p>
      <w:pPr>
        <w:pStyle w:val="ListBullet"/>
        <w:spacing w:after="40"/>
      </w:pPr>
      <w:r>
        <w:t>随机资料子集不报错。</w:t>
      </w:r>
    </w:p>
    <w:p>
      <w:pPr>
        <w:pStyle w:val="ListBullet"/>
        <w:spacing w:after="40"/>
      </w:pPr>
      <w:r>
        <w:t>系统错误不被伪装为审计结论。</w:t>
      </w:r>
    </w:p>
    <w:p>
      <w:pPr>
        <w:pStyle w:val="Heading2"/>
      </w:pPr>
      <w:r>
        <w:t>Step 6.3：RBAC 与 Audit Trail</w:t>
      </w:r>
    </w:p>
    <w:p>
      <w:pPr>
        <w:pStyle w:val="TaskTitle"/>
        <w:spacing w:before="120" w:after="60"/>
      </w:pPr>
      <w:r>
        <w:t>TASK-603  权限与审计日志</w:t>
      </w:r>
    </w:p>
    <w:p>
      <w:pPr>
        <w:spacing w:after="40"/>
      </w:pPr>
      <w:r>
        <w:rPr>
          <w:b/>
        </w:rPr>
        <w:t>目标：</w:t>
      </w:r>
      <w:r>
        <w:t>建立 Auditor / Senior / Manager / Partner/Admin 等角色权限和关键操作留痕。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权限覆盖上传、查看、运行程序、修改配置、审核判断、确认判断、导出底稿、管理知识库、查看日志。</w:t>
      </w:r>
    </w:p>
    <w:p>
      <w:pPr>
        <w:pStyle w:val="ListBullet"/>
        <w:spacing w:after="40"/>
      </w:pPr>
      <w:r>
        <w:t>关键变更保留 who / when / before / after / reason。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未授权角色无法执行受限操作。</w:t>
      </w:r>
    </w:p>
    <w:p>
      <w:pPr>
        <w:pStyle w:val="ListBullet"/>
        <w:spacing w:after="40"/>
      </w:pPr>
      <w:r>
        <w:t>关键人工判断与配置修改均可追溯。</w:t>
      </w:r>
    </w:p>
    <w:p>
      <w:pPr>
        <w:pStyle w:val="Heading2"/>
      </w:pPr>
      <w:r>
        <w:t>Step 6.4：Replay / Re-run 与 Observability</w:t>
      </w:r>
    </w:p>
    <w:p>
      <w:pPr>
        <w:pStyle w:val="TaskTitle"/>
        <w:spacing w:before="120" w:after="60"/>
      </w:pPr>
      <w:r>
        <w:t>TASK-604  可复现与运行监控</w:t>
      </w:r>
    </w:p>
    <w:p>
      <w:pPr>
        <w:spacing w:after="40"/>
      </w:pPr>
      <w:r>
        <w:rPr>
          <w:b/>
        </w:rPr>
        <w:t>目标：</w:t>
      </w:r>
      <w:r>
        <w:t>实现历史运行回放、同版本重跑和统一运行监控。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Replay 保存并恢复 Input、Model Version、Prompt Version、Rule Version、Raw Output。</w:t>
      </w:r>
    </w:p>
    <w:p>
      <w:pPr>
        <w:pStyle w:val="ListBullet"/>
        <w:spacing w:after="40"/>
      </w:pPr>
      <w:r>
        <w:t>Re-run 使用相同版本重新调用，只要求实质一致，不要求逐字一致。</w:t>
      </w:r>
    </w:p>
    <w:p>
      <w:pPr>
        <w:pStyle w:val="ListBullet"/>
        <w:spacing w:after="40"/>
      </w:pPr>
      <w:r>
        <w:t>日志至少记录 project_id、procedure_id、capability_id、model、prompt_version、token_usage、latency、execution_status、error_type、review_result。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可以解释某程序某次为什么没有运行。</w:t>
      </w:r>
    </w:p>
    <w:p>
      <w:pPr>
        <w:pStyle w:val="ListBullet"/>
        <w:spacing w:after="40"/>
      </w:pPr>
      <w:r>
        <w:t>Replay 可恢复历史原始输出。</w:t>
      </w:r>
    </w:p>
    <w:p>
      <w:pPr>
        <w:pStyle w:val="ListBullet"/>
        <w:spacing w:after="40"/>
      </w:pPr>
      <w:r>
        <w:t>Re-run 与 Replay 在产品语义上清晰区分。</w:t>
      </w:r>
    </w:p>
    <w:p>
      <w:pPr>
        <w:pStyle w:val="Heading1"/>
      </w:pPr>
      <w:r>
        <w:t>Stage 7：MVP、测试与上线验收</w:t>
      </w:r>
    </w:p>
    <w:p>
      <w:r>
        <w:t>阶段目标：用最小可行产品验证架构，而不是一开始把整个收入循环所有能力一次性做完。</w:t>
      </w:r>
    </w:p>
    <w:p>
      <w:pPr>
        <w:pStyle w:val="Heading2"/>
      </w:pPr>
      <w:r>
        <w:t>Step 7.1：MVP 1.0 范围</w:t>
      </w:r>
    </w:p>
    <w:p>
      <w:r>
        <w:t>MVP 建议先验证以下链路：</w:t>
      </w:r>
    </w:p>
    <w:p>
      <w:pPr>
        <w:pStyle w:val="ListNumber"/>
        <w:spacing w:after="40"/>
      </w:pPr>
      <w:r>
        <w:t>创建项目</w:t>
      </w:r>
    </w:p>
    <w:p>
      <w:pPr>
        <w:pStyle w:val="ListNumber"/>
        <w:spacing w:after="40"/>
      </w:pPr>
      <w:r>
        <w:t>上传合同</w:t>
      </w:r>
    </w:p>
    <w:p>
      <w:pPr>
        <w:pStyle w:val="ListNumber"/>
        <w:spacing w:after="40"/>
      </w:pPr>
      <w:r>
        <w:t>合同解析</w:t>
      </w:r>
    </w:p>
    <w:p>
      <w:pPr>
        <w:pStyle w:val="ListNumber"/>
        <w:spacing w:after="40"/>
      </w:pPr>
      <w:r>
        <w:t>关键合同要素形成 Evidence Object</w:t>
      </w:r>
    </w:p>
    <w:p>
      <w:pPr>
        <w:pStyle w:val="ListNumber"/>
        <w:spacing w:after="40"/>
      </w:pPr>
      <w:r>
        <w:t>收入确认相关判断</w:t>
      </w:r>
    </w:p>
    <w:p>
      <w:pPr>
        <w:pStyle w:val="ListNumber"/>
        <w:spacing w:after="40"/>
      </w:pPr>
      <w:r>
        <w:t>收入风险信号</w:t>
      </w:r>
    </w:p>
    <w:p>
      <w:pPr>
        <w:pStyle w:val="ListNumber"/>
        <w:spacing w:after="40"/>
      </w:pPr>
      <w:r>
        <w:t>人工 Review</w:t>
      </w:r>
    </w:p>
    <w:p>
      <w:pPr>
        <w:pStyle w:val="ListNumber"/>
        <w:spacing w:after="40"/>
      </w:pPr>
      <w:r>
        <w:t>Evidence/Data Lineage</w:t>
      </w:r>
    </w:p>
    <w:p>
      <w:pPr>
        <w:pStyle w:val="ListNumber"/>
        <w:spacing w:after="40"/>
      </w:pPr>
      <w:r>
        <w:t>Execution Manifest</w:t>
      </w:r>
    </w:p>
    <w:p>
      <w:pPr>
        <w:pStyle w:val="ListNumber"/>
        <w:spacing w:after="40"/>
      </w:pPr>
      <w:r>
        <w:t>Coverage &amp; Limitations</w:t>
      </w:r>
    </w:p>
    <w:p>
      <w:pPr>
        <w:pStyle w:val="ListNumber"/>
        <w:spacing w:after="40"/>
      </w:pPr>
      <w:r>
        <w:t>生成一份收入审计底稿</w:t>
      </w:r>
    </w:p>
    <w:p>
      <w:r>
        <w:t>同时必须设计一个“故意不完整”的核心验收场景：仅上传合同，不提供收入明细和银行流水。</w:t>
      </w:r>
    </w:p>
    <w:p>
      <w:pPr>
        <w:pStyle w:val="Heading2"/>
      </w:pPr>
      <w:r>
        <w:t>Step 7.2：三类优先技术原型</w:t>
      </w:r>
    </w:p>
    <w:p>
      <w:pPr>
        <w:pStyle w:val="TaskTitle"/>
        <w:spacing w:before="120" w:after="60"/>
      </w:pPr>
      <w:r>
        <w:t>TASK-701  Prototype A：Evidence Object</w:t>
      </w:r>
    </w:p>
    <w:p>
      <w:pPr>
        <w:spacing w:after="40"/>
      </w:pPr>
      <w:r>
        <w:rPr>
          <w:b/>
        </w:rPr>
        <w:t>目标：</w:t>
      </w:r>
      <w:r>
        <w:t>验证合同解析结果能否进入统一 Evidence Object 并回溯原文。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输入一份合同，输出结构化字段和证据定位。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字段可追溯、结构统一、人工可复核。</w:t>
      </w:r>
    </w:p>
    <w:p>
      <w:pPr>
        <w:pStyle w:val="TaskTitle"/>
        <w:spacing w:before="120" w:after="60"/>
      </w:pPr>
      <w:r>
        <w:t>TASK-702  Prototype B：Audit Procedure Orchestrator</w:t>
      </w:r>
    </w:p>
    <w:p>
      <w:pPr>
        <w:spacing w:after="40"/>
      </w:pPr>
      <w:r>
        <w:rPr>
          <w:b/>
        </w:rPr>
        <w:t>目标：</w:t>
      </w:r>
      <w:r>
        <w:t>验证九态状态机、依赖图和局部失败是否正确。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人为构造 COMPLETED / ABSTAINED / READY / NOT_PERFORMED / NOT_APPLICABLE 等状态组合。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依赖节点正确停用，无依赖节点继续执行，状态原因可解释。</w:t>
      </w:r>
    </w:p>
    <w:p>
      <w:pPr>
        <w:pStyle w:val="TaskTitle"/>
        <w:spacing w:before="120" w:after="60"/>
      </w:pPr>
      <w:r>
        <w:t>TASK-703  Prototype C：Partial Input E2E</w:t>
      </w:r>
    </w:p>
    <w:p>
      <w:pPr>
        <w:spacing w:after="40"/>
      </w:pPr>
      <w:r>
        <w:rPr>
          <w:b/>
        </w:rPr>
        <w:t>目标：</w:t>
      </w:r>
      <w:r>
        <w:t>验证只有部分资料时系统仍能完成最大可执行范围。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仅上传 1 份合同，运行收入审计。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系统不报错。</w:t>
      </w:r>
    </w:p>
    <w:p>
      <w:pPr>
        <w:pStyle w:val="ListBullet"/>
        <w:spacing w:after="40"/>
      </w:pPr>
      <w:r>
        <w:t>合同相关能力完成。</w:t>
      </w:r>
    </w:p>
    <w:p>
      <w:pPr>
        <w:pStyle w:val="ListBullet"/>
        <w:spacing w:after="40"/>
      </w:pPr>
      <w:r>
        <w:t>其他程序正确分类为 PARTIAL / BLOCKED / NOT_PERFORMED / NOT_APPLICABLE / ABSTAINED。</w:t>
      </w:r>
    </w:p>
    <w:p>
      <w:pPr>
        <w:pStyle w:val="ListBullet"/>
        <w:spacing w:after="40"/>
      </w:pPr>
      <w:r>
        <w:t>输出 Execution Manifest 与 Coverage &amp; Limitations。</w:t>
      </w:r>
    </w:p>
    <w:p>
      <w:pPr>
        <w:pStyle w:val="ListBullet"/>
        <w:spacing w:after="40"/>
      </w:pPr>
      <w:r>
        <w:t>生成当前可生成的底稿。</w:t>
      </w:r>
    </w:p>
    <w:p>
      <w:pPr>
        <w:pStyle w:val="Heading2"/>
      </w:pPr>
      <w:r>
        <w:t>Step 7.3：测试体系</w:t>
      </w:r>
    </w:p>
    <w:p>
      <w:pPr>
        <w:pStyle w:val="TaskTitle"/>
        <w:spacing w:before="120" w:after="60"/>
      </w:pPr>
      <w:r>
        <w:t>TASK-704  自动化测试与业务验收</w:t>
      </w:r>
    </w:p>
    <w:p>
      <w:pPr>
        <w:spacing w:after="40"/>
      </w:pPr>
      <w:r>
        <w:rPr>
          <w:b/>
        </w:rPr>
        <w:t>目标：</w:t>
      </w:r>
      <w:r>
        <w:t>建立 Unit / Integration / Orchestrator / Partial Input / Audit Judgment Evaluation 五类测试。</w:t>
      </w:r>
    </w:p>
    <w:p>
      <w:pPr>
        <w:spacing w:after="20"/>
      </w:pPr>
      <w:r>
        <w:rPr>
          <w:b/>
        </w:rPr>
        <w:t>主要工作：</w:t>
      </w:r>
    </w:p>
    <w:p>
      <w:pPr>
        <w:pStyle w:val="ListBullet"/>
        <w:spacing w:after="40"/>
      </w:pPr>
      <w:r>
        <w:t>重点覆盖 TC-17：仅合同不整体 Abstention。</w:t>
      </w:r>
    </w:p>
    <w:p>
      <w:pPr>
        <w:pStyle w:val="ListBullet"/>
        <w:spacing w:after="40"/>
      </w:pPr>
      <w:r>
        <w:t>重点覆盖 TC-18：SaaS 无物流资料 → NOT_APPLICABLE。</w:t>
      </w:r>
    </w:p>
    <w:p>
      <w:pPr>
        <w:pStyle w:val="ListBullet"/>
        <w:spacing w:after="40"/>
      </w:pPr>
      <w:r>
        <w:t>评估 Rule Accuracy、LLM Judgment Accuracy、Evidence Citation Accuracy、Execution Status Accuracy、Coverage Report Presence。</w:t>
      </w:r>
    </w:p>
    <w:p>
      <w:pPr>
        <w:pStyle w:val="ListBullet"/>
        <w:spacing w:after="40"/>
      </w:pPr>
      <w:r>
        <w:t>Review Efficiency 作为业务效率指标单独评估。</w:t>
      </w:r>
    </w:p>
    <w:p>
      <w:pPr>
        <w:spacing w:after="20"/>
      </w:pPr>
      <w:r>
        <w:rPr>
          <w:b/>
        </w:rPr>
        <w:t>Acceptance Criteria：</w:t>
      </w:r>
    </w:p>
    <w:p>
      <w:pPr>
        <w:pStyle w:val="ListBullet"/>
        <w:spacing w:after="40"/>
      </w:pPr>
      <w:r>
        <w:t>Partial Input No-error Rate = 100%。</w:t>
      </w:r>
    </w:p>
    <w:p>
      <w:pPr>
        <w:pStyle w:val="ListBullet"/>
        <w:spacing w:after="40"/>
      </w:pPr>
      <w:r>
        <w:t>Execution Status Accuracy 达到项目约定阈值。</w:t>
      </w:r>
    </w:p>
    <w:p>
      <w:pPr>
        <w:pStyle w:val="ListBullet"/>
        <w:spacing w:after="40"/>
      </w:pPr>
      <w:r>
        <w:t>所有正式输出包含 Coverage Report。</w:t>
      </w:r>
    </w:p>
    <w:p>
      <w:pPr>
        <w:pStyle w:val="ListBullet"/>
        <w:spacing w:after="40"/>
      </w:pPr>
      <w:r>
        <w:t>核心审计程序均有自动化测试。</w:t>
      </w:r>
    </w:p>
    <w:p>
      <w:pPr>
        <w:pStyle w:val="Heading1"/>
      </w:pPr>
      <w:r>
        <w:t>三、推荐开发顺序与里程碑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shd w:fill="D9E2F3"/>
          </w:tcPr>
          <w:p>
            <w:r>
              <w:t>里程碑</w:t>
            </w:r>
          </w:p>
        </w:tc>
        <w:tc>
          <w:tcPr>
            <w:tcW w:type="dxa" w:w="3173"/>
            <w:shd w:fill="D9E2F3"/>
          </w:tcPr>
          <w:p>
            <w:r>
              <w:t>对应阶段</w:t>
            </w:r>
          </w:p>
        </w:tc>
        <w:tc>
          <w:tcPr>
            <w:tcW w:type="dxa" w:w="3173"/>
            <w:shd w:fill="D9E2F3"/>
          </w:tcPr>
          <w:p>
            <w:r>
              <w:t>完成标志</w:t>
            </w:r>
          </w:p>
        </w:tc>
      </w:tr>
      <w:tr>
        <w:tc>
          <w:tcPr>
            <w:tcW w:type="dxa" w:w="3173"/>
          </w:tcPr>
          <w:p>
            <w:r>
              <w:t>M1</w:t>
            </w:r>
          </w:p>
        </w:tc>
        <w:tc>
          <w:tcPr>
            <w:tcW w:type="dxa" w:w="3173"/>
          </w:tcPr>
          <w:p>
            <w:r>
              <w:t>Stage 1</w:t>
            </w:r>
          </w:p>
        </w:tc>
        <w:tc>
          <w:tcPr>
            <w:tcW w:type="dxa" w:w="3173"/>
          </w:tcPr>
          <w:p>
            <w:r>
              <w:t>工程可运行：仓库、API、数据库、文件、日志完成</w:t>
            </w:r>
          </w:p>
        </w:tc>
      </w:tr>
      <w:tr>
        <w:tc>
          <w:tcPr>
            <w:tcW w:type="dxa" w:w="3173"/>
          </w:tcPr>
          <w:p>
            <w:r>
              <w:t>M2</w:t>
            </w:r>
          </w:p>
        </w:tc>
        <w:tc>
          <w:tcPr>
            <w:tcW w:type="dxa" w:w="3173"/>
          </w:tcPr>
          <w:p>
            <w:r>
              <w:t>Stage 2</w:t>
            </w:r>
          </w:p>
        </w:tc>
        <w:tc>
          <w:tcPr>
            <w:tcW w:type="dxa" w:w="3173"/>
          </w:tcPr>
          <w:p>
            <w:r>
              <w:t>Project Context、Evidence Object、Normalization 完成</w:t>
            </w:r>
          </w:p>
        </w:tc>
      </w:tr>
      <w:tr>
        <w:tc>
          <w:tcPr>
            <w:tcW w:type="dxa" w:w="3173"/>
          </w:tcPr>
          <w:p>
            <w:r>
              <w:t>M3</w:t>
            </w:r>
          </w:p>
        </w:tc>
        <w:tc>
          <w:tcPr>
            <w:tcW w:type="dxa" w:w="3173"/>
          </w:tcPr>
          <w:p>
            <w:r>
              <w:t>Stage 3</w:t>
            </w:r>
          </w:p>
        </w:tc>
        <w:tc>
          <w:tcPr>
            <w:tcW w:type="dxa" w:w="3173"/>
          </w:tcPr>
          <w:p>
            <w:r>
              <w:t>合同解析、收入确认、风险识别核心 Capability 可独立运行</w:t>
            </w:r>
          </w:p>
        </w:tc>
      </w:tr>
      <w:tr>
        <w:tc>
          <w:tcPr>
            <w:tcW w:type="dxa" w:w="3173"/>
          </w:tcPr>
          <w:p>
            <w:r>
              <w:t>M4</w:t>
            </w:r>
          </w:p>
        </w:tc>
        <w:tc>
          <w:tcPr>
            <w:tcW w:type="dxa" w:w="3173"/>
          </w:tcPr>
          <w:p>
            <w:r>
              <w:t>Stage 4</w:t>
            </w:r>
          </w:p>
        </w:tc>
        <w:tc>
          <w:tcPr>
            <w:tcW w:type="dxa" w:w="3173"/>
          </w:tcPr>
          <w:p>
            <w:r>
              <w:t>Orchestrator、九态状态机、Dependency Graph、Manifest 完成</w:t>
            </w:r>
          </w:p>
        </w:tc>
      </w:tr>
      <w:tr>
        <w:tc>
          <w:tcPr>
            <w:tcW w:type="dxa" w:w="3173"/>
          </w:tcPr>
          <w:p>
            <w:r>
              <w:t>M5</w:t>
            </w:r>
          </w:p>
        </w:tc>
        <w:tc>
          <w:tcPr>
            <w:tcW w:type="dxa" w:w="3173"/>
          </w:tcPr>
          <w:p>
            <w:r>
              <w:t>Stage 5</w:t>
            </w:r>
          </w:p>
        </w:tc>
        <w:tc>
          <w:tcPr>
            <w:tcW w:type="dxa" w:w="3173"/>
          </w:tcPr>
          <w:p>
            <w:r>
              <w:t>Evidence/Data Lineage、知识冲突、Review Workbench 完成</w:t>
            </w:r>
          </w:p>
        </w:tc>
      </w:tr>
      <w:tr>
        <w:tc>
          <w:tcPr>
            <w:tcW w:type="dxa" w:w="3173"/>
          </w:tcPr>
          <w:p>
            <w:r>
              <w:t>M6</w:t>
            </w:r>
          </w:p>
        </w:tc>
        <w:tc>
          <w:tcPr>
            <w:tcW w:type="dxa" w:w="3173"/>
          </w:tcPr>
          <w:p>
            <w:r>
              <w:t>Stage 6</w:t>
            </w:r>
          </w:p>
        </w:tc>
        <w:tc>
          <w:tcPr>
            <w:tcW w:type="dxa" w:w="3173"/>
          </w:tcPr>
          <w:p>
            <w:r>
              <w:t>底稿、RBAC、异常处理、Replay/Re-run、Observability 完成</w:t>
            </w:r>
          </w:p>
        </w:tc>
      </w:tr>
      <w:tr>
        <w:tc>
          <w:tcPr>
            <w:tcW w:type="dxa" w:w="3173"/>
          </w:tcPr>
          <w:p>
            <w:r>
              <w:t>M7</w:t>
            </w:r>
          </w:p>
        </w:tc>
        <w:tc>
          <w:tcPr>
            <w:tcW w:type="dxa" w:w="3173"/>
          </w:tcPr>
          <w:p>
            <w:r>
              <w:t>Stage 7</w:t>
            </w:r>
          </w:p>
        </w:tc>
        <w:tc>
          <w:tcPr>
            <w:tcW w:type="dxa" w:w="3173"/>
          </w:tcPr>
          <w:p>
            <w:r>
              <w:t>三个 Prototype、Partial Input、MVP E2E 与验收完成</w:t>
            </w:r>
          </w:p>
        </w:tc>
      </w:tr>
    </w:tbl>
    <w:p>
      <w:pPr>
        <w:pStyle w:val="Heading1"/>
      </w:pPr>
      <w:r>
        <w:t>四、MVP 1.0 Definition of Done</w:t>
      </w:r>
    </w:p>
    <w:p>
      <w:pPr>
        <w:pStyle w:val="ListBullet"/>
        <w:spacing w:after="40"/>
      </w:pPr>
      <w:r>
        <w:t>任意合理资料子集不会导致系统整体崩溃。</w:t>
      </w:r>
    </w:p>
    <w:p>
      <w:pPr>
        <w:pStyle w:val="ListBullet"/>
        <w:spacing w:after="40"/>
      </w:pPr>
      <w:r>
        <w:t>审计程序能够独立启停。</w:t>
      </w:r>
    </w:p>
    <w:p>
      <w:pPr>
        <w:pStyle w:val="ListBullet"/>
        <w:spacing w:after="40"/>
      </w:pPr>
      <w:r>
        <w:t>九态 Execution Status 正确运行。</w:t>
      </w:r>
    </w:p>
    <w:p>
      <w:pPr>
        <w:pStyle w:val="ListBullet"/>
        <w:spacing w:after="40"/>
      </w:pPr>
      <w:r>
        <w:t>Procedure Dependency 正确，局部失败不扩散。</w:t>
      </w:r>
    </w:p>
    <w:p>
      <w:pPr>
        <w:pStyle w:val="ListBullet"/>
        <w:spacing w:after="40"/>
      </w:pPr>
      <w:r>
        <w:t>Evidence Object 使用统一 Schema。</w:t>
      </w:r>
    </w:p>
    <w:p>
      <w:pPr>
        <w:pStyle w:val="ListBullet"/>
        <w:spacing w:after="40"/>
      </w:pPr>
      <w:r>
        <w:t>重要 AI 结论可以回溯原始资料。</w:t>
      </w:r>
    </w:p>
    <w:p>
      <w:pPr>
        <w:pStyle w:val="ListBullet"/>
        <w:spacing w:after="40"/>
      </w:pPr>
      <w:r>
        <w:t>Evidence Chain 可以部分形成。</w:t>
      </w:r>
    </w:p>
    <w:p>
      <w:pPr>
        <w:pStyle w:val="ListBullet"/>
        <w:spacing w:after="40"/>
      </w:pPr>
      <w:r>
        <w:t>所有正式输出包含 Coverage &amp; Limitations。</w:t>
      </w:r>
    </w:p>
    <w:p>
      <w:pPr>
        <w:pStyle w:val="ListBullet"/>
        <w:spacing w:after="40"/>
      </w:pPr>
      <w:r>
        <w:t>人工可以确认、修改、拒绝或要求更多证据。</w:t>
      </w:r>
    </w:p>
    <w:p>
      <w:pPr>
        <w:pStyle w:val="ListBullet"/>
        <w:spacing w:after="40"/>
      </w:pPr>
      <w:r>
        <w:t>人工修改和程序配置均有 Audit Trail。</w:t>
      </w:r>
    </w:p>
    <w:p>
      <w:pPr>
        <w:pStyle w:val="ListBullet"/>
        <w:spacing w:after="40"/>
      </w:pPr>
      <w:r>
        <w:t>NOT_APPLICABLE / NOT_PERFORMED / BLOCKED / ABSTAINED 能正确区分。</w:t>
      </w:r>
    </w:p>
    <w:p>
      <w:pPr>
        <w:pStyle w:val="ListBullet"/>
        <w:spacing w:after="40"/>
      </w:pPr>
      <w:r>
        <w:t>AI 不会把资料未提供自动解释为审计师未执行程序。</w:t>
      </w:r>
    </w:p>
    <w:p>
      <w:pPr>
        <w:pStyle w:val="ListBullet"/>
        <w:spacing w:after="40"/>
      </w:pPr>
      <w:r>
        <w:t>底稿仅基于 Confirmed Evidence 和实际执行范围生成。</w:t>
      </w:r>
    </w:p>
    <w:p>
      <w:pPr>
        <w:pStyle w:val="ListBullet"/>
        <w:spacing w:after="40"/>
      </w:pPr>
      <w:r>
        <w:t>Replay 能恢复历史输入、版本和原始输出。</w:t>
      </w:r>
    </w:p>
    <w:p>
      <w:pPr>
        <w:pStyle w:val="ListBullet"/>
        <w:spacing w:after="40"/>
      </w:pPr>
      <w:r>
        <w:t>TC-17、TC-18 及核心 Partial Input 测试通过。</w:t>
      </w:r>
    </w:p>
    <w:p>
      <w:pPr>
        <w:pStyle w:val="Heading1"/>
      </w:pPr>
      <w:r>
        <w:t>五、架构基准原则</w:t>
      </w:r>
    </w:p>
    <w:p>
      <w:r>
        <w:rPr>
          <w:b/>
        </w:rPr>
        <w:t>核心原则：</w:t>
      </w:r>
      <w:r>
        <w:t>Agent 不是架构，Audit Procedure 才是架构。</w:t>
      </w:r>
    </w:p>
    <w:p>
      <w:r>
        <w:t>LLM 只是某些 Audit Capability 内部用于提取、分析和判断的一种工具。真正决定系统能否在真实审计项目中稳定工作的，是 Project Context、Structured Evidence、Rules、Audit Capabilities、Procedure Dependency、Execution State、Human Review 与 Audit Trail。</w:t>
      </w:r>
    </w:p>
    <w:p>
      <w:r>
        <w:t>后续任何新增功能，应优先判断其属于哪个 Stage、调用哪个 Procedure、产生什么 Evidence、依赖什么输入、失败时进入什么状态、如何被人工复核和如何进入底稿，而不是先创建一个新的 Agent。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Title">
    <w:name w:val="Task Title"/>
    <w:rPr>
      <w:rFonts w:ascii="Arial" w:hAnsi="Arial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