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E84964B">
      <w:pPr>
        <w:pStyle w:val="6"/>
        <w:rPr>
          <w:rFonts w:hint="eastAsia" w:ascii="微软雅黑" w:hAnsi="微软雅黑" w:eastAsia="微软雅黑"/>
        </w:rPr>
      </w:pPr>
    </w:p>
    <w:p w14:paraId="47247C8A">
      <w:pPr>
        <w:spacing w:line="480" w:lineRule="exact"/>
        <w:jc w:val="left"/>
        <w:rPr>
          <w:rFonts w:hint="eastAsia" w:ascii="微软雅黑" w:hAnsi="微软雅黑" w:eastAsia="微软雅黑"/>
          <w:b/>
          <w:sz w:val="32"/>
          <w:szCs w:val="32"/>
        </w:rPr>
      </w:pPr>
      <w:r>
        <w:rPr>
          <w:rFonts w:hint="eastAsia" w:ascii="微软雅黑" w:hAnsi="微软雅黑" w:eastAsia="微软雅黑"/>
          <w:b/>
          <w:sz w:val="32"/>
          <w:szCs w:val="32"/>
        </w:rPr>
        <w:t>胡顺亥老师</w:t>
      </w:r>
    </w:p>
    <w:p w14:paraId="77F1471E">
      <w:pPr>
        <w:pStyle w:val="10"/>
        <w:numPr>
          <w:ilvl w:val="0"/>
          <w:numId w:val="1"/>
        </w:numPr>
        <w:spacing w:line="480" w:lineRule="exact"/>
        <w:ind w:firstLineChars="0"/>
        <w:jc w:val="left"/>
        <w:rPr>
          <w:rFonts w:hint="eastAsia" w:ascii="微软雅黑" w:hAnsi="微软雅黑" w:eastAsia="微软雅黑"/>
          <w:b/>
          <w:bCs/>
          <w:sz w:val="24"/>
          <w:szCs w:val="24"/>
        </w:rPr>
      </w:pPr>
      <w:r>
        <w:rPr>
          <w:rFonts w:ascii="微软雅黑" w:hAnsi="微软雅黑" w:eastAsia="微软雅黑"/>
          <w:b/>
          <w:sz w:val="32"/>
          <w:szCs w:val="32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4518660</wp:posOffset>
            </wp:positionH>
            <wp:positionV relativeFrom="paragraph">
              <wp:posOffset>80010</wp:posOffset>
            </wp:positionV>
            <wp:extent cx="1390650" cy="1985645"/>
            <wp:effectExtent l="0" t="0" r="0" b="0"/>
            <wp:wrapTight wrapText="bothSides">
              <wp:wrapPolygon>
                <wp:start x="0" y="0"/>
                <wp:lineTo x="0" y="21344"/>
                <wp:lineTo x="21304" y="21344"/>
                <wp:lineTo x="21304" y="0"/>
                <wp:lineTo x="0" y="0"/>
              </wp:wrapPolygon>
            </wp:wrapTight>
            <wp:docPr id="15790684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068460" name="图片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/>
          <w:b/>
          <w:bCs/>
          <w:color w:val="000000"/>
          <w:sz w:val="24"/>
          <w:szCs w:val="24"/>
        </w:rPr>
        <w:t>财富架构与传承、法律与税务合规、资产评估、跨境</w:t>
      </w:r>
    </w:p>
    <w:p w14:paraId="3D544AB0">
      <w:pPr>
        <w:pStyle w:val="10"/>
        <w:numPr>
          <w:ilvl w:val="0"/>
          <w:numId w:val="1"/>
        </w:numPr>
        <w:spacing w:line="480" w:lineRule="exact"/>
        <w:ind w:firstLineChars="0"/>
        <w:jc w:val="left"/>
        <w:rPr>
          <w:rFonts w:hint="eastAsia" w:ascii="微软雅黑" w:hAnsi="微软雅黑" w:eastAsia="微软雅黑"/>
          <w:b/>
          <w:sz w:val="24"/>
          <w:szCs w:val="24"/>
        </w:rPr>
      </w:pPr>
      <w:r>
        <w:rPr>
          <w:rFonts w:hint="eastAsia" w:ascii="微软雅黑" w:hAnsi="微软雅黑" w:eastAsia="微软雅黑"/>
          <w:b/>
          <w:bCs/>
          <w:color w:val="000000"/>
          <w:sz w:val="24"/>
          <w:szCs w:val="24"/>
        </w:rPr>
        <w:t>朝曦企业家办公室资深财富架构师</w:t>
      </w:r>
    </w:p>
    <w:p w14:paraId="73E9D28C">
      <w:pPr>
        <w:pStyle w:val="10"/>
        <w:numPr>
          <w:ilvl w:val="0"/>
          <w:numId w:val="1"/>
        </w:numPr>
        <w:spacing w:line="480" w:lineRule="exact"/>
        <w:ind w:firstLineChars="0"/>
        <w:jc w:val="left"/>
        <w:rPr>
          <w:rFonts w:hint="eastAsia" w:ascii="微软雅黑" w:hAnsi="微软雅黑" w:eastAsia="微软雅黑"/>
          <w:b/>
          <w:sz w:val="24"/>
          <w:szCs w:val="24"/>
        </w:rPr>
      </w:pPr>
      <w:r>
        <w:rPr>
          <w:rFonts w:hint="eastAsia" w:ascii="微软雅黑" w:hAnsi="微软雅黑" w:eastAsia="微软雅黑"/>
          <w:b/>
          <w:bCs/>
          <w:color w:val="000000"/>
          <w:sz w:val="24"/>
          <w:szCs w:val="24"/>
        </w:rPr>
        <w:t>多家私人银行和保险机构常年合作讲师</w:t>
      </w:r>
    </w:p>
    <w:p w14:paraId="39998714">
      <w:pPr>
        <w:pStyle w:val="10"/>
        <w:numPr>
          <w:ilvl w:val="0"/>
          <w:numId w:val="1"/>
        </w:numPr>
        <w:spacing w:line="480" w:lineRule="exact"/>
        <w:ind w:firstLineChars="0"/>
        <w:jc w:val="left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b/>
          <w:bCs/>
          <w:sz w:val="24"/>
          <w:szCs w:val="24"/>
        </w:rPr>
        <w:t>曾任：普华永道和毕马威审计、税务经理</w:t>
      </w:r>
    </w:p>
    <w:p w14:paraId="7F587336">
      <w:pPr>
        <w:pStyle w:val="10"/>
        <w:numPr>
          <w:ilvl w:val="0"/>
          <w:numId w:val="1"/>
        </w:numPr>
        <w:spacing w:line="480" w:lineRule="exact"/>
        <w:ind w:firstLineChars="0"/>
        <w:jc w:val="left"/>
        <w:rPr>
          <w:rFonts w:hint="eastAsia" w:ascii="微软雅黑" w:hAnsi="微软雅黑" w:eastAsia="微软雅黑"/>
          <w:b/>
          <w:bCs/>
          <w:sz w:val="24"/>
          <w:szCs w:val="24"/>
        </w:rPr>
      </w:pPr>
      <w:r>
        <w:rPr>
          <w:rFonts w:hint="eastAsia" w:ascii="微软雅黑" w:hAnsi="微软雅黑" w:eastAsia="微软雅黑"/>
          <w:b/>
          <w:bCs/>
          <w:sz w:val="24"/>
          <w:szCs w:val="24"/>
        </w:rPr>
        <w:t>曾任：中梁企业管理家族办公室负责人</w:t>
      </w:r>
    </w:p>
    <w:p w14:paraId="79A25666">
      <w:pPr>
        <w:pStyle w:val="10"/>
        <w:numPr>
          <w:ilvl w:val="0"/>
          <w:numId w:val="1"/>
        </w:numPr>
        <w:spacing w:line="480" w:lineRule="exact"/>
        <w:ind w:firstLineChars="0"/>
        <w:jc w:val="left"/>
        <w:rPr>
          <w:rFonts w:hint="eastAsia" w:ascii="微软雅黑" w:hAnsi="微软雅黑" w:eastAsia="微软雅黑"/>
          <w:b/>
          <w:bCs/>
          <w:sz w:val="24"/>
          <w:szCs w:val="24"/>
        </w:rPr>
      </w:pPr>
      <w:r>
        <w:rPr>
          <w:rFonts w:hint="eastAsia" w:ascii="微软雅黑" w:hAnsi="微软雅黑" w:eastAsia="微软雅黑"/>
          <w:b/>
          <w:bCs/>
          <w:sz w:val="24"/>
          <w:szCs w:val="24"/>
        </w:rPr>
        <w:t>复旦大学法律硕士</w:t>
      </w:r>
    </w:p>
    <w:p w14:paraId="6CED431F">
      <w:pPr>
        <w:spacing w:line="480" w:lineRule="exact"/>
        <w:jc w:val="left"/>
        <w:rPr>
          <w:rFonts w:hint="eastAsia" w:ascii="微软雅黑" w:hAnsi="微软雅黑" w:eastAsia="微软雅黑"/>
          <w:sz w:val="24"/>
          <w:szCs w:val="24"/>
        </w:rPr>
      </w:pPr>
    </w:p>
    <w:p w14:paraId="775CCEE6">
      <w:pPr>
        <w:spacing w:line="480" w:lineRule="exact"/>
        <w:ind w:firstLine="480" w:firstLineChars="200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资深财富架构师，致力于为高净值客户提供财富架构整体设计和落地服务。多年来深入研究家业传承、公司架构与治理、直接税制等相关法律和税务问题，在财富架构设计方面经验丰富，落地了众多国内外家族信托。理论水平较高，主笔的《论我国商业银行并购的法律规制》曾获评优秀毕业论文。</w:t>
      </w:r>
    </w:p>
    <w:p w14:paraId="71850592">
      <w:pPr>
        <w:spacing w:line="480" w:lineRule="exact"/>
        <w:ind w:firstLine="480" w:firstLineChars="200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曾长期就职于国际“四大”的审计和税务部门，为众多知名上市企业、跨国公司、超高净值人士等提供各类财税支持和商务咨询服务。加入朝曦企业家办公室前，担任香港上市公司实控人单一家族办公室负责人，任职期间主导完成了实控人家族传承架构的搭建，资产规模数十亿。</w:t>
      </w:r>
    </w:p>
    <w:p w14:paraId="251EF856">
      <w:pPr>
        <w:spacing w:line="480" w:lineRule="exact"/>
        <w:ind w:firstLine="480" w:firstLineChars="200"/>
        <w:rPr>
          <w:rFonts w:hint="eastAsia" w:ascii="微软雅黑" w:hAnsi="微软雅黑" w:eastAsia="微软雅黑"/>
          <w:sz w:val="24"/>
          <w:szCs w:val="24"/>
        </w:rPr>
      </w:pPr>
    </w:p>
    <w:p w14:paraId="047E3A69">
      <w:pPr>
        <w:spacing w:line="480" w:lineRule="exact"/>
        <w:ind w:firstLine="480" w:firstLineChars="200"/>
        <w:rPr>
          <w:rFonts w:hint="eastAsia" w:ascii="微软雅黑" w:hAnsi="微软雅黑" w:eastAsia="微软雅黑"/>
          <w:b/>
          <w:bCs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/>
          <w:b/>
          <w:color w:val="003399"/>
          <w:sz w:val="24"/>
          <w:szCs w:val="24"/>
        </w:rPr>
        <w:t xml:space="preserve">部分服务机构： </w:t>
      </w:r>
    </w:p>
    <w:p w14:paraId="0A060E96">
      <w:pPr>
        <w:tabs>
          <w:tab w:val="left" w:pos="7133"/>
          <w:tab w:val="left" w:pos="8707"/>
        </w:tabs>
        <w:spacing w:line="480" w:lineRule="exact"/>
        <w:jc w:val="left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民生银行、兴业银行、中信银行、宁波银行、中信保诚、云南信托、中粮信托等</w:t>
      </w:r>
    </w:p>
    <w:p w14:paraId="35892BD3">
      <w:pPr>
        <w:tabs>
          <w:tab w:val="left" w:pos="7133"/>
          <w:tab w:val="left" w:pos="8707"/>
        </w:tabs>
        <w:spacing w:line="480" w:lineRule="exact"/>
        <w:jc w:val="left"/>
        <w:rPr>
          <w:rFonts w:hint="eastAsia" w:ascii="微软雅黑" w:hAnsi="微软雅黑" w:eastAsia="微软雅黑"/>
          <w:b/>
          <w:bCs/>
          <w:sz w:val="24"/>
          <w:szCs w:val="24"/>
        </w:rPr>
      </w:pPr>
    </w:p>
    <w:p w14:paraId="6BC23B53">
      <w:pPr>
        <w:spacing w:line="480" w:lineRule="exact"/>
        <w:ind w:right="28"/>
        <w:rPr>
          <w:rFonts w:hint="eastAsia" w:ascii="微软雅黑" w:hAnsi="微软雅黑" w:eastAsia="微软雅黑"/>
          <w:bCs/>
          <w:color w:val="003399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3399"/>
          <w:sz w:val="24"/>
          <w:szCs w:val="24"/>
        </w:rPr>
        <w:t>讲课与培训风格</w:t>
      </w:r>
      <w:r>
        <w:rPr>
          <w:rFonts w:hint="eastAsia" w:ascii="微软雅黑" w:hAnsi="微软雅黑" w:eastAsia="微软雅黑"/>
          <w:bCs/>
          <w:color w:val="003399"/>
          <w:sz w:val="24"/>
          <w:szCs w:val="24"/>
        </w:rPr>
        <w:t>：</w:t>
      </w:r>
    </w:p>
    <w:p w14:paraId="34766F6D">
      <w:pPr>
        <w:spacing w:line="480" w:lineRule="exact"/>
        <w:ind w:right="28"/>
        <w:rPr>
          <w:rFonts w:hint="eastAsia" w:ascii="微软雅黑" w:hAnsi="微软雅黑" w:eastAsia="微软雅黑"/>
          <w:bCs/>
          <w:sz w:val="24"/>
          <w:szCs w:val="24"/>
        </w:rPr>
      </w:pPr>
      <w:r>
        <w:rPr>
          <w:rFonts w:hint="eastAsia" w:ascii="微软雅黑" w:hAnsi="微软雅黑" w:eastAsia="微软雅黑"/>
          <w:bCs/>
          <w:sz w:val="24"/>
          <w:szCs w:val="24"/>
        </w:rPr>
        <w:t>专业性强：</w:t>
      </w:r>
      <w:r>
        <w:rPr>
          <w:rFonts w:ascii="微软雅黑" w:hAnsi="微软雅黑" w:eastAsia="微软雅黑"/>
          <w:bCs/>
          <w:sz w:val="24"/>
          <w:szCs w:val="24"/>
        </w:rPr>
        <w:t>理论体系扎实，</w:t>
      </w:r>
      <w:bookmarkStart w:id="0" w:name="OLE_LINK1"/>
      <w:r>
        <w:rPr>
          <w:rFonts w:hint="eastAsia" w:ascii="微软雅黑" w:hAnsi="微软雅黑" w:eastAsia="微软雅黑"/>
          <w:bCs/>
          <w:sz w:val="24"/>
          <w:szCs w:val="24"/>
        </w:rPr>
        <w:t>从</w:t>
      </w:r>
      <w:r>
        <w:rPr>
          <w:rFonts w:ascii="微软雅黑" w:hAnsi="微软雅黑" w:eastAsia="微软雅黑"/>
          <w:bCs/>
          <w:sz w:val="24"/>
          <w:szCs w:val="24"/>
        </w:rPr>
        <w:t>视角专业</w:t>
      </w:r>
      <w:bookmarkEnd w:id="0"/>
      <w:r>
        <w:rPr>
          <w:rFonts w:ascii="微软雅黑" w:hAnsi="微软雅黑" w:eastAsia="微软雅黑"/>
          <w:bCs/>
          <w:sz w:val="24"/>
          <w:szCs w:val="24"/>
        </w:rPr>
        <w:t>紧扣</w:t>
      </w:r>
      <w:r>
        <w:rPr>
          <w:rFonts w:hint="eastAsia" w:ascii="微软雅黑" w:hAnsi="微软雅黑" w:eastAsia="微软雅黑"/>
          <w:bCs/>
          <w:sz w:val="24"/>
          <w:szCs w:val="24"/>
        </w:rPr>
        <w:t>银行业务</w:t>
      </w:r>
      <w:r>
        <w:rPr>
          <w:rFonts w:ascii="微软雅黑" w:hAnsi="微软雅黑" w:eastAsia="微软雅黑"/>
          <w:bCs/>
          <w:sz w:val="24"/>
          <w:szCs w:val="24"/>
        </w:rPr>
        <w:t>，精准匹配银行高端客群</w:t>
      </w:r>
      <w:r>
        <w:rPr>
          <w:rFonts w:hint="eastAsia" w:ascii="微软雅黑" w:hAnsi="微软雅黑" w:eastAsia="微软雅黑"/>
          <w:bCs/>
          <w:sz w:val="24"/>
          <w:szCs w:val="24"/>
        </w:rPr>
        <w:t>的</w:t>
      </w:r>
      <w:r>
        <w:rPr>
          <w:rFonts w:ascii="微软雅黑" w:hAnsi="微软雅黑" w:eastAsia="微软雅黑"/>
          <w:bCs/>
          <w:sz w:val="24"/>
          <w:szCs w:val="24"/>
        </w:rPr>
        <w:t>需求</w:t>
      </w:r>
    </w:p>
    <w:p w14:paraId="1ADE56CE">
      <w:pPr>
        <w:spacing w:line="480" w:lineRule="exact"/>
        <w:ind w:right="28"/>
        <w:rPr>
          <w:rFonts w:hint="eastAsia" w:ascii="微软雅黑" w:hAnsi="微软雅黑" w:eastAsia="微软雅黑"/>
          <w:bCs/>
          <w:sz w:val="24"/>
          <w:szCs w:val="24"/>
        </w:rPr>
      </w:pPr>
      <w:r>
        <w:rPr>
          <w:rFonts w:hint="eastAsia" w:ascii="微软雅黑" w:hAnsi="微软雅黑" w:eastAsia="微软雅黑"/>
          <w:bCs/>
          <w:sz w:val="24"/>
          <w:szCs w:val="24"/>
        </w:rPr>
        <w:t>案例丰富：</w:t>
      </w:r>
      <w:r>
        <w:rPr>
          <w:rFonts w:ascii="微软雅黑" w:hAnsi="微软雅黑" w:eastAsia="微软雅黑"/>
          <w:bCs/>
          <w:sz w:val="24"/>
          <w:szCs w:val="24"/>
        </w:rPr>
        <w:t>大量采用一线真实客户</w:t>
      </w:r>
      <w:r>
        <w:rPr>
          <w:rFonts w:hint="eastAsia" w:ascii="微软雅黑" w:hAnsi="微软雅黑" w:eastAsia="微软雅黑"/>
          <w:bCs/>
          <w:sz w:val="24"/>
          <w:szCs w:val="24"/>
        </w:rPr>
        <w:t>及</w:t>
      </w:r>
      <w:r>
        <w:rPr>
          <w:rFonts w:ascii="微软雅黑" w:hAnsi="微软雅黑" w:eastAsia="微软雅黑"/>
          <w:bCs/>
          <w:sz w:val="24"/>
          <w:szCs w:val="24"/>
        </w:rPr>
        <w:t>高净值家庭服务案例与营销转化实例，通过情景化拆解让知识点更具象、更易理解</w:t>
      </w:r>
    </w:p>
    <w:p w14:paraId="4F36ECCF">
      <w:pPr>
        <w:spacing w:line="480" w:lineRule="exact"/>
        <w:ind w:right="28"/>
        <w:rPr>
          <w:rFonts w:hint="eastAsia" w:ascii="微软雅黑" w:hAnsi="微软雅黑" w:eastAsia="微软雅黑"/>
          <w:bCs/>
          <w:sz w:val="24"/>
          <w:szCs w:val="24"/>
        </w:rPr>
      </w:pPr>
      <w:r>
        <w:rPr>
          <w:rFonts w:hint="eastAsia" w:ascii="微软雅黑" w:hAnsi="微软雅黑" w:eastAsia="微软雅黑"/>
          <w:bCs/>
          <w:sz w:val="24"/>
          <w:szCs w:val="24"/>
        </w:rPr>
        <w:t>实战导向：</w:t>
      </w:r>
      <w:r>
        <w:rPr>
          <w:rFonts w:ascii="微软雅黑" w:hAnsi="微软雅黑" w:eastAsia="微软雅黑"/>
          <w:bCs/>
          <w:sz w:val="24"/>
          <w:szCs w:val="24"/>
        </w:rPr>
        <w:t>不讲空泛理论，聚焦可落地的方法、话术与工具，</w:t>
      </w:r>
      <w:r>
        <w:rPr>
          <w:rFonts w:hint="eastAsia" w:ascii="微软雅黑" w:hAnsi="微软雅黑" w:eastAsia="微软雅黑"/>
          <w:bCs/>
          <w:sz w:val="24"/>
          <w:szCs w:val="24"/>
        </w:rPr>
        <w:t>助力落单、提升业绩</w:t>
      </w:r>
    </w:p>
    <w:p w14:paraId="0784780D">
      <w:pPr>
        <w:spacing w:line="480" w:lineRule="exact"/>
        <w:ind w:right="28"/>
        <w:rPr>
          <w:rFonts w:hint="eastAsia" w:ascii="微软雅黑" w:hAnsi="微软雅黑" w:eastAsia="微软雅黑"/>
          <w:bCs/>
          <w:sz w:val="24"/>
          <w:szCs w:val="24"/>
        </w:rPr>
      </w:pPr>
      <w:r>
        <w:rPr>
          <w:rFonts w:hint="eastAsia" w:ascii="微软雅黑" w:hAnsi="微软雅黑" w:eastAsia="微软雅黑"/>
          <w:bCs/>
          <w:sz w:val="24"/>
          <w:szCs w:val="24"/>
        </w:rPr>
        <w:t>生动活泼：培训接地气，互动性强，兼顾知识性、趣味性、参与性</w:t>
      </w:r>
    </w:p>
    <w:p w14:paraId="0AF93A11">
      <w:pPr>
        <w:spacing w:line="480" w:lineRule="exact"/>
        <w:ind w:right="28"/>
        <w:rPr>
          <w:rFonts w:hint="eastAsia" w:ascii="微软雅黑" w:hAnsi="微软雅黑" w:eastAsia="微软雅黑"/>
          <w:bCs/>
          <w:color w:val="003399"/>
          <w:sz w:val="24"/>
          <w:szCs w:val="24"/>
        </w:rPr>
      </w:pPr>
    </w:p>
    <w:p w14:paraId="7640B17D">
      <w:pPr>
        <w:spacing w:line="480" w:lineRule="exact"/>
        <w:jc w:val="left"/>
        <w:rPr>
          <w:rFonts w:hint="eastAsia" w:ascii="微软雅黑" w:hAnsi="微软雅黑" w:eastAsia="微软雅黑"/>
          <w:b/>
          <w:color w:val="003399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3399"/>
          <w:sz w:val="24"/>
          <w:szCs w:val="24"/>
        </w:rPr>
        <w:t>专业资格认证：</w:t>
      </w:r>
    </w:p>
    <w:tbl>
      <w:tblPr>
        <w:tblStyle w:val="11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45"/>
        <w:gridCol w:w="4814"/>
      </w:tblGrid>
      <w:tr w14:paraId="14B457D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</w:trPr>
        <w:tc>
          <w:tcPr>
            <w:tcW w:w="4845" w:type="dxa"/>
          </w:tcPr>
          <w:p w14:paraId="56F0D06F">
            <w:pPr>
              <w:spacing w:line="240" w:lineRule="auto"/>
              <w:jc w:val="center"/>
              <w:rPr>
                <w:rFonts w:hint="eastAsia"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中国税务师</w:t>
            </w:r>
          </w:p>
        </w:tc>
        <w:tc>
          <w:tcPr>
            <w:tcW w:w="4814" w:type="dxa"/>
          </w:tcPr>
          <w:p w14:paraId="6F791F58">
            <w:pPr>
              <w:spacing w:line="240" w:lineRule="auto"/>
              <w:jc w:val="center"/>
              <w:rPr>
                <w:rFonts w:hint="eastAsia"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法律职业资格</w:t>
            </w:r>
          </w:p>
        </w:tc>
      </w:tr>
      <w:tr w14:paraId="36893FB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4845" w:type="dxa"/>
          </w:tcPr>
          <w:p w14:paraId="653DED7E">
            <w:pPr>
              <w:spacing w:line="240" w:lineRule="auto"/>
              <w:jc w:val="center"/>
              <w:rPr>
                <w:rFonts w:hint="eastAsia" w:ascii="微软雅黑" w:hAnsi="微软雅黑" w:eastAsia="微软雅黑"/>
                <w:sz w:val="24"/>
                <w:szCs w:val="24"/>
              </w:rPr>
            </w:pPr>
          </w:p>
        </w:tc>
        <w:tc>
          <w:tcPr>
            <w:tcW w:w="4814" w:type="dxa"/>
          </w:tcPr>
          <w:p w14:paraId="13CCE566">
            <w:pPr>
              <w:spacing w:line="240" w:lineRule="auto"/>
              <w:jc w:val="center"/>
              <w:rPr>
                <w:rFonts w:hint="eastAsia" w:ascii="微软雅黑" w:hAnsi="微软雅黑" w:eastAsia="微软雅黑"/>
                <w:sz w:val="24"/>
                <w:szCs w:val="24"/>
              </w:rPr>
            </w:pPr>
          </w:p>
        </w:tc>
      </w:tr>
    </w:tbl>
    <w:p w14:paraId="7E5CC4E2">
      <w:pPr>
        <w:spacing w:line="480" w:lineRule="exact"/>
        <w:rPr>
          <w:rFonts w:hint="eastAsia" w:ascii="微软雅黑" w:hAnsi="微软雅黑" w:eastAsia="微软雅黑"/>
          <w:b/>
          <w:color w:val="003399"/>
          <w:sz w:val="24"/>
          <w:szCs w:val="24"/>
        </w:rPr>
      </w:pPr>
    </w:p>
    <w:p w14:paraId="79DC0E3F">
      <w:pPr>
        <w:spacing w:line="480" w:lineRule="exact"/>
        <w:rPr>
          <w:rFonts w:hint="eastAsia" w:ascii="微软雅黑" w:hAnsi="微软雅黑" w:eastAsia="微软雅黑"/>
          <w:b/>
          <w:color w:val="003399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3399"/>
          <w:sz w:val="24"/>
          <w:szCs w:val="24"/>
        </w:rPr>
        <w:t>主讲课程</w:t>
      </w:r>
    </w:p>
    <w:tbl>
      <w:tblPr>
        <w:tblStyle w:val="8"/>
        <w:tblW w:w="98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4"/>
        <w:gridCol w:w="8116"/>
      </w:tblGrid>
      <w:tr w14:paraId="29116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restart"/>
          </w:tcPr>
          <w:p w14:paraId="54CC255A">
            <w:pPr>
              <w:snapToGrid w:val="0"/>
              <w:spacing w:line="480" w:lineRule="exact"/>
              <w:rPr>
                <w:rFonts w:hint="eastAsia" w:ascii="微软雅黑" w:hAnsi="微软雅黑" w:eastAsia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458907FD">
            <w:pPr>
              <w:snapToGrid w:val="0"/>
              <w:spacing w:line="480" w:lineRule="exact"/>
              <w:rPr>
                <w:rFonts w:hint="eastAsia" w:ascii="微软雅黑" w:hAnsi="微软雅黑" w:eastAsia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035915E3">
            <w:pPr>
              <w:snapToGrid w:val="0"/>
              <w:spacing w:line="480" w:lineRule="exact"/>
              <w:rPr>
                <w:rFonts w:hint="eastAsia" w:ascii="微软雅黑" w:hAnsi="微软雅黑" w:eastAsia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7D49CA40">
            <w:pPr>
              <w:snapToGrid w:val="0"/>
              <w:spacing w:line="480" w:lineRule="exact"/>
              <w:rPr>
                <w:rFonts w:hint="eastAsia" w:ascii="微软雅黑" w:hAnsi="微软雅黑" w:eastAsia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5B616DCD">
            <w:pPr>
              <w:snapToGrid w:val="0"/>
              <w:spacing w:line="480" w:lineRule="exact"/>
              <w:rPr>
                <w:rFonts w:hint="eastAsia" w:ascii="微软雅黑" w:hAnsi="微软雅黑" w:eastAsia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73033D0C">
            <w:pPr>
              <w:snapToGrid w:val="0"/>
              <w:spacing w:line="480" w:lineRule="exact"/>
              <w:rPr>
                <w:rFonts w:hint="eastAsia" w:ascii="微软雅黑" w:hAnsi="微软雅黑" w:eastAsia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571EFE78">
            <w:pPr>
              <w:snapToGrid w:val="0"/>
              <w:spacing w:line="480" w:lineRule="exact"/>
              <w:rPr>
                <w:rFonts w:hint="eastAsia" w:ascii="微软雅黑" w:hAnsi="微软雅黑" w:eastAsia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30A23D53">
            <w:pPr>
              <w:snapToGrid w:val="0"/>
              <w:spacing w:line="480" w:lineRule="exact"/>
              <w:jc w:val="center"/>
              <w:rPr>
                <w:rFonts w:hint="eastAsia" w:ascii="微软雅黑" w:hAnsi="微软雅黑" w:eastAsia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主讲课程</w:t>
            </w:r>
          </w:p>
        </w:tc>
        <w:tc>
          <w:tcPr>
            <w:tcW w:w="8116" w:type="dxa"/>
          </w:tcPr>
          <w:p w14:paraId="5B17547F">
            <w:pPr>
              <w:snapToGrid w:val="0"/>
              <w:spacing w:line="480" w:lineRule="exact"/>
              <w:rPr>
                <w:rFonts w:hint="eastAsia"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《CRS环境下中国个税合规与境外收入申报》</w:t>
            </w:r>
          </w:p>
        </w:tc>
      </w:tr>
      <w:tr w14:paraId="6754A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</w:tcPr>
          <w:p w14:paraId="248A5473">
            <w:pPr>
              <w:snapToGrid w:val="0"/>
              <w:spacing w:line="480" w:lineRule="exact"/>
              <w:rPr>
                <w:rFonts w:hint="eastAsia" w:ascii="微软雅黑" w:hAnsi="微软雅黑" w:eastAsia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116" w:type="dxa"/>
          </w:tcPr>
          <w:p w14:paraId="69D68FB9">
            <w:pPr>
              <w:snapToGrid w:val="0"/>
              <w:spacing w:line="480" w:lineRule="exact"/>
              <w:rPr>
                <w:rFonts w:hint="eastAsia"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《家庭内部视角下的婚姻、债务与遗产风险管理》</w:t>
            </w:r>
          </w:p>
        </w:tc>
      </w:tr>
      <w:tr w14:paraId="12C6F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</w:tcPr>
          <w:p w14:paraId="1AB302CE">
            <w:pPr>
              <w:snapToGrid w:val="0"/>
              <w:spacing w:line="480" w:lineRule="exact"/>
              <w:rPr>
                <w:rFonts w:hint="eastAsia" w:ascii="微软雅黑" w:hAnsi="微软雅黑" w:eastAsia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116" w:type="dxa"/>
          </w:tcPr>
          <w:p w14:paraId="607F6809">
            <w:pPr>
              <w:snapToGrid w:val="0"/>
              <w:spacing w:line="480" w:lineRule="exact"/>
              <w:rPr>
                <w:rFonts w:hint="eastAsia" w:ascii="微软雅黑" w:hAnsi="微软雅黑" w:eastAsia="微软雅黑"/>
                <w:b/>
                <w:color w:val="003399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24"/>
                <w:szCs w:val="24"/>
              </w:rPr>
              <w:t>《</w:t>
            </w:r>
            <w:r>
              <w:rPr>
                <w:rFonts w:hint="eastAsia" w:ascii="微软雅黑" w:hAnsi="微软雅黑" w:eastAsia="微软雅黑"/>
                <w:sz w:val="24"/>
                <w:szCs w:val="24"/>
              </w:rPr>
              <w:t>税务透明背景下的企业家法税新思考</w:t>
            </w:r>
            <w:r>
              <w:rPr>
                <w:rFonts w:hint="eastAsia" w:ascii="微软雅黑" w:hAnsi="微软雅黑" w:eastAsia="微软雅黑"/>
                <w:b/>
                <w:bCs/>
                <w:sz w:val="24"/>
                <w:szCs w:val="24"/>
              </w:rPr>
              <w:t>》</w:t>
            </w:r>
          </w:p>
        </w:tc>
      </w:tr>
      <w:tr w14:paraId="7F875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0" w:type="auto"/>
            <w:vMerge w:val="continue"/>
          </w:tcPr>
          <w:p w14:paraId="3FB79C4B">
            <w:pPr>
              <w:snapToGrid w:val="0"/>
              <w:spacing w:line="480" w:lineRule="exact"/>
              <w:rPr>
                <w:rFonts w:hint="eastAsia" w:ascii="微软雅黑" w:hAnsi="微软雅黑" w:eastAsia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116" w:type="dxa"/>
          </w:tcPr>
          <w:p w14:paraId="01F3C2DD">
            <w:pPr>
              <w:snapToGrid w:val="0"/>
              <w:spacing w:line="480" w:lineRule="exact"/>
              <w:rPr>
                <w:rFonts w:hint="eastAsia" w:ascii="微软雅黑" w:hAnsi="微软雅黑" w:eastAsia="微软雅黑"/>
                <w:sz w:val="24"/>
                <w:szCs w:val="24"/>
              </w:rPr>
            </w:pPr>
          </w:p>
        </w:tc>
      </w:tr>
      <w:tr w14:paraId="4009E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</w:tcPr>
          <w:p w14:paraId="642CCCF4">
            <w:pPr>
              <w:snapToGrid w:val="0"/>
              <w:spacing w:line="480" w:lineRule="exact"/>
              <w:rPr>
                <w:rFonts w:hint="eastAsia" w:ascii="微软雅黑" w:hAnsi="微软雅黑" w:eastAsia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116" w:type="dxa"/>
          </w:tcPr>
          <w:p w14:paraId="25BF897B">
            <w:pPr>
              <w:snapToGrid w:val="0"/>
              <w:spacing w:line="480" w:lineRule="exact"/>
              <w:rPr>
                <w:rFonts w:hint="eastAsia" w:ascii="微软雅黑" w:hAnsi="微软雅黑" w:eastAsia="微软雅黑"/>
                <w:sz w:val="24"/>
                <w:szCs w:val="24"/>
              </w:rPr>
            </w:pPr>
          </w:p>
        </w:tc>
      </w:tr>
      <w:tr w14:paraId="666D1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</w:tcPr>
          <w:p w14:paraId="7693933B">
            <w:pPr>
              <w:snapToGrid w:val="0"/>
              <w:spacing w:line="480" w:lineRule="exact"/>
              <w:rPr>
                <w:rFonts w:hint="eastAsia" w:ascii="微软雅黑" w:hAnsi="微软雅黑" w:eastAsia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116" w:type="dxa"/>
          </w:tcPr>
          <w:p w14:paraId="16842430">
            <w:pPr>
              <w:snapToGrid w:val="0"/>
              <w:spacing w:line="480" w:lineRule="exact"/>
              <w:rPr>
                <w:rFonts w:hint="eastAsia" w:ascii="微软雅黑" w:hAnsi="微软雅黑" w:eastAsia="微软雅黑"/>
                <w:b/>
                <w:color w:val="003399"/>
                <w:sz w:val="24"/>
                <w:szCs w:val="24"/>
              </w:rPr>
            </w:pPr>
          </w:p>
        </w:tc>
      </w:tr>
      <w:tr w14:paraId="1BF2C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</w:tcPr>
          <w:p w14:paraId="3A04A440">
            <w:pPr>
              <w:snapToGrid w:val="0"/>
              <w:spacing w:line="480" w:lineRule="exact"/>
              <w:rPr>
                <w:rFonts w:hint="eastAsia" w:ascii="微软雅黑" w:hAnsi="微软雅黑" w:eastAsia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116" w:type="dxa"/>
          </w:tcPr>
          <w:p w14:paraId="5F1DF953">
            <w:pPr>
              <w:snapToGrid w:val="0"/>
              <w:spacing w:line="480" w:lineRule="exact"/>
              <w:rPr>
                <w:rFonts w:hint="eastAsia" w:ascii="微软雅黑" w:hAnsi="微软雅黑" w:eastAsia="微软雅黑"/>
                <w:sz w:val="24"/>
                <w:szCs w:val="24"/>
              </w:rPr>
            </w:pPr>
          </w:p>
        </w:tc>
      </w:tr>
      <w:tr w14:paraId="7C7F4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</w:tcPr>
          <w:p w14:paraId="12D5B145">
            <w:pPr>
              <w:snapToGrid w:val="0"/>
              <w:spacing w:line="480" w:lineRule="exact"/>
              <w:rPr>
                <w:rFonts w:hint="eastAsia" w:ascii="微软雅黑" w:hAnsi="微软雅黑" w:eastAsia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116" w:type="dxa"/>
          </w:tcPr>
          <w:p w14:paraId="2AFE6541">
            <w:pPr>
              <w:snapToGrid w:val="0"/>
              <w:spacing w:line="480" w:lineRule="exact"/>
              <w:rPr>
                <w:rFonts w:hint="eastAsia" w:ascii="微软雅黑" w:hAnsi="微软雅黑" w:eastAsia="微软雅黑"/>
                <w:sz w:val="24"/>
                <w:szCs w:val="24"/>
              </w:rPr>
            </w:pPr>
          </w:p>
        </w:tc>
      </w:tr>
      <w:tr w14:paraId="7FBE6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</w:tcPr>
          <w:p w14:paraId="584E57F8">
            <w:pPr>
              <w:snapToGrid w:val="0"/>
              <w:spacing w:line="480" w:lineRule="exact"/>
              <w:rPr>
                <w:rFonts w:hint="eastAsia" w:ascii="微软雅黑" w:hAnsi="微软雅黑" w:eastAsia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116" w:type="dxa"/>
          </w:tcPr>
          <w:p w14:paraId="5091AD9E">
            <w:pPr>
              <w:snapToGrid w:val="0"/>
              <w:spacing w:line="480" w:lineRule="exact"/>
              <w:rPr>
                <w:rFonts w:hint="eastAsia" w:ascii="微软雅黑" w:hAnsi="微软雅黑" w:eastAsia="微软雅黑"/>
                <w:sz w:val="24"/>
                <w:szCs w:val="24"/>
              </w:rPr>
            </w:pPr>
          </w:p>
        </w:tc>
      </w:tr>
      <w:tr w14:paraId="5B100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34" w:type="dxa"/>
            <w:vMerge w:val="continue"/>
          </w:tcPr>
          <w:p w14:paraId="0FBF00A3">
            <w:pPr>
              <w:snapToGrid w:val="0"/>
              <w:spacing w:line="480" w:lineRule="exact"/>
              <w:rPr>
                <w:rFonts w:hint="eastAsia" w:ascii="微软雅黑" w:hAnsi="微软雅黑" w:eastAsia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116" w:type="dxa"/>
          </w:tcPr>
          <w:p w14:paraId="2D88256A">
            <w:pPr>
              <w:snapToGrid w:val="0"/>
              <w:spacing w:line="480" w:lineRule="exact"/>
              <w:rPr>
                <w:rFonts w:hint="eastAsia" w:ascii="微软雅黑" w:hAnsi="微软雅黑" w:eastAsia="微软雅黑"/>
                <w:sz w:val="24"/>
                <w:szCs w:val="24"/>
              </w:rPr>
            </w:pPr>
          </w:p>
        </w:tc>
      </w:tr>
    </w:tbl>
    <w:p w14:paraId="6E39ACC4">
      <w:pPr>
        <w:snapToGrid w:val="0"/>
        <w:spacing w:line="480" w:lineRule="exact"/>
        <w:rPr>
          <w:rFonts w:hint="eastAsia" w:ascii="微软雅黑" w:hAnsi="微软雅黑" w:eastAsia="微软雅黑" w:cs="宋体"/>
          <w:kern w:val="0"/>
          <w:sz w:val="24"/>
          <w:szCs w:val="24"/>
          <w:u w:val="dotDotDash"/>
        </w:rPr>
      </w:pPr>
    </w:p>
    <w:p w14:paraId="54074537">
      <w:pPr>
        <w:spacing w:line="480" w:lineRule="exact"/>
        <w:rPr>
          <w:rFonts w:hint="eastAsia" w:ascii="微软雅黑" w:hAnsi="微软雅黑" w:eastAsia="微软雅黑"/>
          <w:b/>
          <w:color w:val="003399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3399"/>
          <w:sz w:val="24"/>
          <w:szCs w:val="24"/>
        </w:rPr>
        <w:t>部分培训与项目案例：</w:t>
      </w:r>
      <w:r>
        <w:rPr>
          <w:rFonts w:ascii="微软雅黑" w:hAnsi="微软雅黑" w:eastAsia="微软雅黑"/>
          <w:b/>
          <w:color w:val="003399"/>
          <w:sz w:val="24"/>
          <w:szCs w:val="24"/>
        </w:rPr>
        <w:t xml:space="preserve"> </w:t>
      </w:r>
    </w:p>
    <w:p w14:paraId="20C7D4BF">
      <w:pPr>
        <w:pStyle w:val="10"/>
        <w:numPr>
          <w:ilvl w:val="0"/>
          <w:numId w:val="2"/>
        </w:numPr>
        <w:spacing w:line="480" w:lineRule="exact"/>
        <w:ind w:firstLineChars="0"/>
        <w:rPr>
          <w:rFonts w:hint="eastAsia" w:ascii="微软雅黑" w:hAnsi="微软雅黑" w:eastAsia="微软雅黑"/>
          <w:b/>
          <w:bCs/>
          <w:sz w:val="24"/>
          <w:szCs w:val="24"/>
        </w:rPr>
      </w:pPr>
      <w:r>
        <w:rPr>
          <w:rFonts w:hint="eastAsia" w:ascii="微软雅黑" w:hAnsi="微软雅黑" w:eastAsia="微软雅黑"/>
          <w:b/>
          <w:bCs/>
          <w:sz w:val="24"/>
          <w:szCs w:val="24"/>
        </w:rPr>
        <w:t>《</w:t>
      </w:r>
      <w:r>
        <w:rPr>
          <w:rFonts w:hint="eastAsia" w:ascii="微软雅黑" w:hAnsi="微软雅黑" w:eastAsia="微软雅黑"/>
          <w:sz w:val="24"/>
          <w:szCs w:val="24"/>
        </w:rPr>
        <w:t>税务透明背景下的企业家法税新思考</w:t>
      </w:r>
      <w:r>
        <w:rPr>
          <w:rFonts w:hint="eastAsia" w:ascii="微软雅黑" w:hAnsi="微软雅黑" w:eastAsia="微软雅黑"/>
          <w:b/>
          <w:bCs/>
          <w:sz w:val="24"/>
          <w:szCs w:val="24"/>
        </w:rPr>
        <w:t>》</w:t>
      </w:r>
    </w:p>
    <w:p w14:paraId="529D8D21">
      <w:pPr>
        <w:spacing w:line="480" w:lineRule="exact"/>
        <w:rPr>
          <w:rFonts w:hint="eastAsia" w:ascii="微软雅黑" w:hAnsi="微软雅黑" w:eastAsia="微软雅黑"/>
          <w:bCs/>
          <w:sz w:val="24"/>
          <w:szCs w:val="24"/>
        </w:rPr>
      </w:pPr>
      <w:r>
        <w:rPr>
          <w:rFonts w:hint="eastAsia" w:ascii="微软雅黑" w:hAnsi="微软雅黑" w:eastAsia="微软雅黑"/>
          <w:bCs/>
          <w:sz w:val="24"/>
          <w:szCs w:val="24"/>
        </w:rPr>
        <w:t>该课程</w:t>
      </w:r>
      <w:r>
        <w:rPr>
          <w:rFonts w:ascii="微软雅黑" w:hAnsi="微软雅黑" w:eastAsia="微软雅黑"/>
          <w:bCs/>
          <w:sz w:val="24"/>
          <w:szCs w:val="24"/>
        </w:rPr>
        <w:t>紧扣银行高客服务核心需求，结合</w:t>
      </w:r>
      <w:r>
        <w:rPr>
          <w:rFonts w:hint="eastAsia" w:ascii="微软雅黑" w:hAnsi="微软雅黑" w:eastAsia="微软雅黑"/>
          <w:bCs/>
          <w:sz w:val="24"/>
          <w:szCs w:val="24"/>
        </w:rPr>
        <w:t>个税改革、增值税新规、</w:t>
      </w:r>
      <w:r>
        <w:rPr>
          <w:rFonts w:ascii="微软雅黑" w:hAnsi="微软雅黑" w:eastAsia="微软雅黑"/>
          <w:bCs/>
          <w:sz w:val="24"/>
          <w:szCs w:val="24"/>
        </w:rPr>
        <w:t>金税四期监管</w:t>
      </w:r>
      <w:r>
        <w:rPr>
          <w:rFonts w:hint="eastAsia" w:ascii="微软雅黑" w:hAnsi="微软雅黑" w:eastAsia="微软雅黑"/>
          <w:bCs/>
          <w:sz w:val="24"/>
          <w:szCs w:val="24"/>
        </w:rPr>
        <w:t>与强基工程等</w:t>
      </w:r>
      <w:r>
        <w:rPr>
          <w:rFonts w:ascii="微软雅黑" w:hAnsi="微软雅黑" w:eastAsia="微软雅黑"/>
          <w:bCs/>
          <w:sz w:val="24"/>
          <w:szCs w:val="24"/>
        </w:rPr>
        <w:t>，</w:t>
      </w:r>
      <w:r>
        <w:rPr>
          <w:rFonts w:hint="eastAsia" w:ascii="微软雅黑" w:hAnsi="微软雅黑" w:eastAsia="微软雅黑"/>
          <w:bCs/>
          <w:sz w:val="24"/>
          <w:szCs w:val="24"/>
        </w:rPr>
        <w:t>以“税务+法律”的维度，</w:t>
      </w:r>
      <w:r>
        <w:rPr>
          <w:rFonts w:ascii="微软雅黑" w:hAnsi="微软雅黑" w:eastAsia="微软雅黑"/>
          <w:bCs/>
          <w:sz w:val="24"/>
          <w:szCs w:val="24"/>
        </w:rPr>
        <w:t>拆解</w:t>
      </w:r>
      <w:r>
        <w:rPr>
          <w:rFonts w:hint="eastAsia" w:ascii="微软雅黑" w:hAnsi="微软雅黑" w:eastAsia="微软雅黑"/>
          <w:bCs/>
          <w:sz w:val="24"/>
          <w:szCs w:val="24"/>
        </w:rPr>
        <w:t>并分析</w:t>
      </w:r>
      <w:r>
        <w:rPr>
          <w:rFonts w:ascii="微软雅黑" w:hAnsi="微软雅黑" w:eastAsia="微软雅黑"/>
          <w:bCs/>
          <w:sz w:val="24"/>
          <w:szCs w:val="24"/>
        </w:rPr>
        <w:t>企业家客群法税痛点与财富风险，</w:t>
      </w:r>
      <w:r>
        <w:rPr>
          <w:rFonts w:hint="eastAsia" w:ascii="微软雅黑" w:hAnsi="微软雅黑" w:eastAsia="微软雅黑"/>
          <w:bCs/>
          <w:sz w:val="24"/>
          <w:szCs w:val="24"/>
        </w:rPr>
        <w:t>包括税务合规、家企分离、财富传承等，</w:t>
      </w:r>
      <w:r>
        <w:rPr>
          <w:rFonts w:ascii="微软雅黑" w:hAnsi="微软雅黑" w:eastAsia="微软雅黑"/>
          <w:bCs/>
          <w:sz w:val="24"/>
          <w:szCs w:val="24"/>
        </w:rPr>
        <w:t>精准挖掘客户需求、匹配专业财富解决方案，</w:t>
      </w:r>
      <w:r>
        <w:rPr>
          <w:rFonts w:hint="eastAsia" w:ascii="微软雅黑" w:hAnsi="微软雅黑" w:eastAsia="微软雅黑"/>
          <w:bCs/>
          <w:sz w:val="24"/>
          <w:szCs w:val="24"/>
        </w:rPr>
        <w:t>并顺势引导保险、家族信托等银行产品。</w:t>
      </w:r>
    </w:p>
    <w:p w14:paraId="08CF1119">
      <w:pPr>
        <w:spacing w:line="480" w:lineRule="exact"/>
        <w:rPr>
          <w:rFonts w:hint="eastAsia" w:ascii="微软雅黑" w:hAnsi="微软雅黑" w:eastAsia="微软雅黑"/>
          <w:bCs/>
          <w:sz w:val="24"/>
          <w:szCs w:val="24"/>
        </w:rPr>
      </w:pPr>
    </w:p>
    <w:p w14:paraId="2637A840">
      <w:pPr>
        <w:pStyle w:val="10"/>
        <w:numPr>
          <w:ilvl w:val="0"/>
          <w:numId w:val="2"/>
        </w:numPr>
        <w:spacing w:line="480" w:lineRule="exact"/>
        <w:ind w:firstLineChars="0"/>
        <w:rPr>
          <w:rFonts w:hint="eastAsia" w:ascii="微软雅黑" w:hAnsi="微软雅黑" w:eastAsia="微软雅黑"/>
          <w:b/>
          <w:bCs/>
          <w:sz w:val="24"/>
          <w:szCs w:val="24"/>
          <w:highlight w:val="none"/>
        </w:rPr>
      </w:pPr>
      <w:r>
        <w:rPr>
          <w:rFonts w:hint="eastAsia" w:ascii="微软雅黑" w:hAnsi="微软雅黑" w:eastAsia="微软雅黑"/>
          <w:b/>
          <w:bCs/>
          <w:sz w:val="24"/>
          <w:szCs w:val="24"/>
          <w:highlight w:val="none"/>
        </w:rPr>
        <w:t>《</w:t>
      </w:r>
      <w:r>
        <w:rPr>
          <w:rFonts w:hint="eastAsia" w:ascii="微软雅黑" w:hAnsi="微软雅黑" w:eastAsia="微软雅黑"/>
          <w:sz w:val="24"/>
          <w:szCs w:val="24"/>
          <w:highlight w:val="none"/>
        </w:rPr>
        <w:t>家庭内部视角下的财富风险管理</w:t>
      </w:r>
      <w:r>
        <w:rPr>
          <w:rFonts w:hint="eastAsia" w:ascii="微软雅黑" w:hAnsi="微软雅黑" w:eastAsia="微软雅黑"/>
          <w:b/>
          <w:bCs/>
          <w:sz w:val="24"/>
          <w:szCs w:val="24"/>
          <w:highlight w:val="none"/>
        </w:rPr>
        <w:t>》</w:t>
      </w:r>
    </w:p>
    <w:p w14:paraId="2BF73F9E">
      <w:pPr>
        <w:spacing w:line="480" w:lineRule="exact"/>
        <w:rPr>
          <w:rFonts w:hint="eastAsia" w:ascii="微软雅黑" w:hAnsi="微软雅黑" w:eastAsia="微软雅黑"/>
          <w:sz w:val="24"/>
          <w:szCs w:val="24"/>
          <w:highlight w:val="none"/>
        </w:rPr>
      </w:pPr>
      <w:r>
        <w:rPr>
          <w:rFonts w:hint="eastAsia" w:ascii="微软雅黑" w:hAnsi="微软雅黑" w:eastAsia="微软雅黑"/>
          <w:sz w:val="24"/>
          <w:szCs w:val="24"/>
          <w:highlight w:val="none"/>
        </w:rPr>
        <w:t>通过故事化的综合案例，主要讲解：家企债务隔离策略-个人无限连带责任风险识别与防范措施；遗产规划与继承安排-法定继承、遗嘱继承、遗产管理人制度的利弊与实操；婚姻财富风险防范工具包-婚内财产协议、家族信托、大额保单的对比与应用。旨在运用法律与金融工具，为高净值家庭建立一道内部风险“防火墙”。其生动易懂，受到高净值人士欢迎，课后普遍思考自身的财富防守策略。</w:t>
      </w:r>
    </w:p>
    <w:p w14:paraId="7F1FD1C1">
      <w:pPr>
        <w:spacing w:line="480" w:lineRule="exact"/>
        <w:rPr>
          <w:rFonts w:hint="eastAsia" w:ascii="微软雅黑" w:hAnsi="微软雅黑" w:eastAsia="微软雅黑"/>
          <w:sz w:val="24"/>
          <w:szCs w:val="24"/>
          <w:highlight w:val="none"/>
        </w:rPr>
      </w:pPr>
    </w:p>
    <w:p w14:paraId="6459AD9B">
      <w:pPr>
        <w:pStyle w:val="10"/>
        <w:numPr>
          <w:ilvl w:val="0"/>
          <w:numId w:val="2"/>
        </w:numPr>
        <w:spacing w:line="480" w:lineRule="exact"/>
        <w:ind w:firstLineChars="0"/>
        <w:rPr>
          <w:rFonts w:hint="eastAsia" w:ascii="微软雅黑" w:hAnsi="微软雅黑" w:eastAsia="微软雅黑"/>
          <w:b/>
          <w:bCs/>
          <w:sz w:val="24"/>
          <w:szCs w:val="24"/>
          <w:highlight w:val="none"/>
        </w:rPr>
      </w:pPr>
      <w:r>
        <w:rPr>
          <w:rFonts w:hint="eastAsia" w:ascii="微软雅黑" w:hAnsi="微软雅黑" w:eastAsia="微软雅黑"/>
          <w:b/>
          <w:bCs/>
          <w:sz w:val="24"/>
          <w:szCs w:val="24"/>
          <w:highlight w:val="none"/>
        </w:rPr>
        <w:t>《</w:t>
      </w:r>
      <w:r>
        <w:rPr>
          <w:rFonts w:hint="eastAsia" w:ascii="微软雅黑" w:hAnsi="微软雅黑" w:eastAsia="微软雅黑"/>
          <w:sz w:val="24"/>
          <w:szCs w:val="24"/>
          <w:highlight w:val="none"/>
        </w:rPr>
        <w:t>CRS环境下中国个税合规与境外收入申报</w:t>
      </w:r>
      <w:r>
        <w:rPr>
          <w:rFonts w:hint="eastAsia" w:ascii="微软雅黑" w:hAnsi="微软雅黑" w:eastAsia="微软雅黑"/>
          <w:b/>
          <w:bCs/>
          <w:sz w:val="24"/>
          <w:szCs w:val="24"/>
          <w:highlight w:val="none"/>
        </w:rPr>
        <w:t>》</w:t>
      </w:r>
    </w:p>
    <w:p w14:paraId="4C56CB45">
      <w:pPr>
        <w:spacing w:line="480" w:lineRule="exact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中国个人所得税改革逐渐进入深水区，基于CRS交换机制，个人境外收入透明化和税收合规化趋势不可阻挡，大量高净值人群开始关注自身的境外资产安排。因此，该课程围绕：中国税务居民身份与全球申报义务判定；常见境外收入类型的税务处理：股息、利息、转让境外公司股权、境外薪资等的申报方法与税率；CRS机制深度解读与案例警示：信息交换逻辑、常见交换内容及已公开稽查案例解析等内容，聚焦政策、痛点、解决方案，为客户展开完整图谱；以及CRS 2.0的变化和趋势等。从税务合规遵从度的角度，解答客户最关心的境外资产配置问题，给出客观准确的建议。</w:t>
      </w:r>
    </w:p>
    <w:p w14:paraId="5E95C8D4">
      <w:pPr>
        <w:spacing w:line="480" w:lineRule="exact"/>
        <w:rPr>
          <w:rFonts w:hint="eastAsia" w:ascii="微软雅黑" w:hAnsi="微软雅黑" w:eastAsia="微软雅黑"/>
          <w:sz w:val="24"/>
          <w:szCs w:val="24"/>
        </w:rPr>
      </w:pPr>
    </w:p>
    <w:p w14:paraId="0D6975B7">
      <w:pPr>
        <w:spacing w:line="480" w:lineRule="exact"/>
        <w:rPr>
          <w:rFonts w:hint="eastAsia" w:ascii="微软雅黑" w:hAnsi="微软雅黑" w:eastAsia="微软雅黑"/>
          <w:b/>
          <w:color w:val="003399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3399"/>
          <w:sz w:val="24"/>
          <w:szCs w:val="24"/>
        </w:rPr>
        <w:t>沙龙培训现场图</w:t>
      </w:r>
    </w:p>
    <w:p w14:paraId="069ADD1B">
      <w:pPr>
        <w:spacing w:line="480" w:lineRule="exact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36830</wp:posOffset>
            </wp:positionH>
            <wp:positionV relativeFrom="paragraph">
              <wp:posOffset>179705</wp:posOffset>
            </wp:positionV>
            <wp:extent cx="4281170" cy="2407285"/>
            <wp:effectExtent l="0" t="0" r="5080" b="0"/>
            <wp:wrapTight wrapText="bothSides">
              <wp:wrapPolygon>
                <wp:start x="0" y="0"/>
                <wp:lineTo x="0" y="21366"/>
                <wp:lineTo x="21530" y="21366"/>
                <wp:lineTo x="21530" y="0"/>
                <wp:lineTo x="0" y="0"/>
              </wp:wrapPolygon>
            </wp:wrapTight>
            <wp:docPr id="478998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99820" name="图片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117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61E950">
      <w:pPr>
        <w:spacing w:line="480" w:lineRule="exact"/>
        <w:rPr>
          <w:rFonts w:hint="eastAsia" w:ascii="微软雅黑" w:hAnsi="微软雅黑" w:eastAsia="微软雅黑"/>
          <w:sz w:val="24"/>
          <w:szCs w:val="24"/>
        </w:rPr>
      </w:pPr>
    </w:p>
    <w:p w14:paraId="2E7F99E1">
      <w:pPr>
        <w:spacing w:line="480" w:lineRule="exact"/>
        <w:rPr>
          <w:rFonts w:hint="eastAsia" w:ascii="微软雅黑" w:hAnsi="微软雅黑" w:eastAsia="微软雅黑"/>
          <w:sz w:val="24"/>
          <w:szCs w:val="24"/>
        </w:rPr>
      </w:pPr>
    </w:p>
    <w:p w14:paraId="3FBB0454">
      <w:pPr>
        <w:spacing w:line="480" w:lineRule="exact"/>
        <w:rPr>
          <w:rFonts w:hint="eastAsia" w:ascii="微软雅黑" w:hAnsi="微软雅黑" w:eastAsia="微软雅黑"/>
          <w:sz w:val="24"/>
          <w:szCs w:val="24"/>
        </w:rPr>
      </w:pPr>
    </w:p>
    <w:p w14:paraId="51C80879">
      <w:pPr>
        <w:spacing w:line="480" w:lineRule="exact"/>
        <w:rPr>
          <w:rFonts w:hint="eastAsia" w:ascii="微软雅黑" w:hAnsi="微软雅黑" w:eastAsia="微软雅黑"/>
          <w:sz w:val="24"/>
          <w:szCs w:val="24"/>
        </w:rPr>
      </w:pPr>
    </w:p>
    <w:p w14:paraId="695769C8">
      <w:pPr>
        <w:spacing w:line="480" w:lineRule="exact"/>
        <w:rPr>
          <w:rFonts w:hint="eastAsia" w:ascii="微软雅黑" w:hAnsi="微软雅黑" w:eastAsia="微软雅黑"/>
          <w:sz w:val="24"/>
          <w:szCs w:val="24"/>
        </w:rPr>
      </w:pPr>
    </w:p>
    <w:p w14:paraId="6C95CE10">
      <w:pPr>
        <w:spacing w:line="480" w:lineRule="exact"/>
        <w:rPr>
          <w:rFonts w:hint="eastAsia" w:ascii="微软雅黑" w:hAnsi="微软雅黑" w:eastAsia="微软雅黑"/>
          <w:sz w:val="24"/>
          <w:szCs w:val="24"/>
        </w:rPr>
      </w:pPr>
    </w:p>
    <w:p w14:paraId="45C0544D">
      <w:pPr>
        <w:spacing w:line="480" w:lineRule="exact"/>
        <w:rPr>
          <w:rFonts w:hint="eastAsia" w:ascii="微软雅黑" w:hAnsi="微软雅黑" w:eastAsia="微软雅黑"/>
          <w:sz w:val="24"/>
          <w:szCs w:val="24"/>
        </w:rPr>
      </w:pPr>
    </w:p>
    <w:p w14:paraId="7F10901F">
      <w:pPr>
        <w:spacing w:line="480" w:lineRule="exact"/>
        <w:rPr>
          <w:rFonts w:hint="eastAsia" w:ascii="微软雅黑" w:hAnsi="微软雅黑" w:eastAsia="微软雅黑"/>
          <w:sz w:val="24"/>
          <w:szCs w:val="24"/>
        </w:rPr>
      </w:pPr>
    </w:p>
    <w:p w14:paraId="72AD4E1B">
      <w:pPr>
        <w:spacing w:line="480" w:lineRule="exact"/>
        <w:rPr>
          <w:rFonts w:hint="eastAsia" w:ascii="微软雅黑" w:hAnsi="微软雅黑" w:eastAsia="微软雅黑"/>
          <w:sz w:val="24"/>
          <w:szCs w:val="24"/>
        </w:rPr>
      </w:pPr>
    </w:p>
    <w:p w14:paraId="16DD4796">
      <w:pPr>
        <w:spacing w:line="480" w:lineRule="exact"/>
        <w:rPr>
          <w:rFonts w:hint="eastAsia"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2961005</wp:posOffset>
            </wp:positionH>
            <wp:positionV relativeFrom="paragraph">
              <wp:posOffset>213360</wp:posOffset>
            </wp:positionV>
            <wp:extent cx="3961130" cy="2970530"/>
            <wp:effectExtent l="0" t="0" r="1270" b="1270"/>
            <wp:wrapSquare wrapText="bothSides"/>
            <wp:docPr id="126160697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06973" name="图片 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96113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/>
          <w:sz w:val="24"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-67945</wp:posOffset>
            </wp:positionH>
            <wp:positionV relativeFrom="paragraph">
              <wp:posOffset>-281940</wp:posOffset>
            </wp:positionV>
            <wp:extent cx="3252470" cy="2439670"/>
            <wp:effectExtent l="0" t="0" r="5080" b="0"/>
            <wp:wrapSquare wrapText="bothSides"/>
            <wp:docPr id="200664527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645271" name="图片 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247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2E2260">
      <w:pPr>
        <w:spacing w:line="480" w:lineRule="exact"/>
        <w:rPr>
          <w:rFonts w:hint="eastAsia" w:ascii="微软雅黑" w:hAnsi="微软雅黑" w:eastAsia="微软雅黑"/>
          <w:sz w:val="24"/>
          <w:szCs w:val="24"/>
        </w:rPr>
      </w:pPr>
    </w:p>
    <w:p w14:paraId="47996031">
      <w:pPr>
        <w:spacing w:line="480" w:lineRule="exact"/>
        <w:rPr>
          <w:rFonts w:hint="eastAsia" w:ascii="微软雅黑" w:hAnsi="微软雅黑" w:eastAsia="微软雅黑"/>
          <w:sz w:val="24"/>
          <w:szCs w:val="24"/>
        </w:rPr>
      </w:pPr>
    </w:p>
    <w:p w14:paraId="052185D7">
      <w:pPr>
        <w:spacing w:line="480" w:lineRule="exact"/>
        <w:rPr>
          <w:rFonts w:hint="eastAsia" w:ascii="微软雅黑" w:hAnsi="微软雅黑" w:eastAsia="微软雅黑"/>
          <w:sz w:val="24"/>
          <w:szCs w:val="24"/>
        </w:rPr>
      </w:pPr>
    </w:p>
    <w:p w14:paraId="24FBC745">
      <w:pPr>
        <w:spacing w:line="480" w:lineRule="exact"/>
        <w:rPr>
          <w:rFonts w:hint="eastAsia" w:ascii="微软雅黑" w:hAnsi="微软雅黑" w:eastAsia="微软雅黑"/>
          <w:sz w:val="24"/>
          <w:szCs w:val="24"/>
        </w:rPr>
      </w:pPr>
    </w:p>
    <w:p w14:paraId="474DD0DA">
      <w:pPr>
        <w:spacing w:line="480" w:lineRule="exact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146685</wp:posOffset>
            </wp:positionV>
            <wp:extent cx="4046220" cy="3033395"/>
            <wp:effectExtent l="0" t="0" r="0" b="0"/>
            <wp:wrapTight wrapText="bothSides">
              <wp:wrapPolygon>
                <wp:start x="0" y="0"/>
                <wp:lineTo x="0" y="21433"/>
                <wp:lineTo x="21458" y="21433"/>
                <wp:lineTo x="21458" y="0"/>
                <wp:lineTo x="0" y="0"/>
              </wp:wrapPolygon>
            </wp:wrapTight>
            <wp:docPr id="73043899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38996" name="图片 4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6349" cy="3033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40147A">
      <w:pPr>
        <w:spacing w:line="480" w:lineRule="exact"/>
        <w:rPr>
          <w:rFonts w:hint="eastAsia" w:ascii="微软雅黑" w:hAnsi="微软雅黑" w:eastAsia="微软雅黑"/>
          <w:sz w:val="24"/>
          <w:szCs w:val="24"/>
        </w:rPr>
      </w:pPr>
    </w:p>
    <w:p w14:paraId="2BF4FF65">
      <w:pPr>
        <w:spacing w:line="480" w:lineRule="exact"/>
        <w:rPr>
          <w:rFonts w:hint="eastAsia" w:ascii="微软雅黑" w:hAnsi="微软雅黑" w:eastAsia="微软雅黑"/>
          <w:sz w:val="24"/>
          <w:szCs w:val="24"/>
        </w:rPr>
      </w:pPr>
    </w:p>
    <w:p w14:paraId="73085E0D">
      <w:pPr>
        <w:spacing w:line="480" w:lineRule="exact"/>
        <w:rPr>
          <w:rFonts w:hint="eastAsia" w:ascii="微软雅黑" w:hAnsi="微软雅黑" w:eastAsia="微软雅黑"/>
          <w:sz w:val="24"/>
          <w:szCs w:val="24"/>
        </w:rPr>
      </w:pPr>
    </w:p>
    <w:p w14:paraId="637FBF6D">
      <w:pPr>
        <w:spacing w:line="480" w:lineRule="exact"/>
        <w:rPr>
          <w:rFonts w:hint="eastAsia" w:ascii="微软雅黑" w:hAnsi="微软雅黑" w:eastAsia="微软雅黑"/>
          <w:sz w:val="24"/>
          <w:szCs w:val="24"/>
        </w:rPr>
      </w:pPr>
    </w:p>
    <w:p w14:paraId="3CA24619">
      <w:pPr>
        <w:spacing w:line="480" w:lineRule="exact"/>
        <w:rPr>
          <w:rFonts w:hint="eastAsia" w:ascii="微软雅黑" w:hAnsi="微软雅黑" w:eastAsia="微软雅黑"/>
          <w:sz w:val="24"/>
          <w:szCs w:val="24"/>
        </w:rPr>
      </w:pPr>
    </w:p>
    <w:p w14:paraId="0903E73D">
      <w:pPr>
        <w:spacing w:line="480" w:lineRule="exact"/>
        <w:rPr>
          <w:rFonts w:hint="eastAsia" w:ascii="微软雅黑" w:hAnsi="微软雅黑" w:eastAsia="微软雅黑"/>
          <w:sz w:val="24"/>
          <w:szCs w:val="24"/>
        </w:rPr>
      </w:pPr>
    </w:p>
    <w:p w14:paraId="7F79EECC">
      <w:pPr>
        <w:spacing w:line="480" w:lineRule="exact"/>
        <w:rPr>
          <w:rFonts w:hint="eastAsia" w:ascii="微软雅黑" w:hAnsi="微软雅黑" w:eastAsia="微软雅黑"/>
          <w:sz w:val="24"/>
          <w:szCs w:val="24"/>
        </w:rPr>
      </w:pPr>
    </w:p>
    <w:p w14:paraId="1CCBD0AD">
      <w:pPr>
        <w:spacing w:line="480" w:lineRule="exact"/>
        <w:rPr>
          <w:rFonts w:hint="eastAsia" w:ascii="微软雅黑" w:hAnsi="微软雅黑" w:eastAsia="微软雅黑"/>
          <w:sz w:val="24"/>
          <w:szCs w:val="24"/>
        </w:rPr>
      </w:pPr>
    </w:p>
    <w:p w14:paraId="7C3AA67F">
      <w:pPr>
        <w:spacing w:line="480" w:lineRule="exact"/>
        <w:rPr>
          <w:rFonts w:hint="eastAsia" w:ascii="微软雅黑" w:hAnsi="微软雅黑" w:eastAsia="微软雅黑"/>
          <w:sz w:val="24"/>
          <w:szCs w:val="24"/>
        </w:rPr>
      </w:pPr>
    </w:p>
    <w:p w14:paraId="6789F925">
      <w:pPr>
        <w:spacing w:line="480" w:lineRule="exact"/>
        <w:rPr>
          <w:rFonts w:hint="eastAsia" w:ascii="微软雅黑" w:hAnsi="微软雅黑" w:eastAsia="微软雅黑"/>
          <w:sz w:val="24"/>
          <w:szCs w:val="24"/>
        </w:rPr>
      </w:pPr>
    </w:p>
    <w:p w14:paraId="20011360">
      <w:pPr>
        <w:spacing w:line="480" w:lineRule="exact"/>
        <w:rPr>
          <w:rFonts w:hint="eastAsia" w:ascii="微软雅黑" w:hAnsi="微软雅黑" w:eastAsia="微软雅黑"/>
          <w:sz w:val="24"/>
          <w:szCs w:val="24"/>
        </w:rPr>
      </w:pPr>
    </w:p>
    <w:p w14:paraId="14925AA9">
      <w:pPr>
        <w:spacing w:line="480" w:lineRule="exact"/>
        <w:rPr>
          <w:rFonts w:hint="eastAsia" w:ascii="微软雅黑" w:hAnsi="微软雅黑" w:eastAsia="微软雅黑"/>
          <w:b/>
          <w:color w:val="003399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3399"/>
          <w:sz w:val="24"/>
          <w:szCs w:val="24"/>
        </w:rPr>
        <w:t>数据统计：</w:t>
      </w:r>
    </w:p>
    <w:p w14:paraId="4916D610">
      <w:pPr>
        <w:spacing w:line="480" w:lineRule="exact"/>
        <w:rPr>
          <w:rFonts w:hint="eastAsia" w:ascii="微软雅黑" w:hAnsi="微软雅黑" w:eastAsia="微软雅黑"/>
          <w:b/>
          <w:color w:val="003399"/>
          <w:sz w:val="24"/>
          <w:szCs w:val="24"/>
        </w:rPr>
      </w:pPr>
    </w:p>
    <w:p w14:paraId="1E8523DB">
      <w:pPr>
        <w:spacing w:line="480" w:lineRule="exact"/>
        <w:rPr>
          <w:rFonts w:hint="eastAsia" w:ascii="微软雅黑" w:hAnsi="微软雅黑" w:eastAsia="微软雅黑"/>
          <w:b/>
          <w:sz w:val="24"/>
          <w:szCs w:val="24"/>
        </w:rPr>
      </w:pPr>
      <w:r>
        <w:rPr>
          <w:rFonts w:hint="eastAsia" w:ascii="微软雅黑" w:hAnsi="微软雅黑" w:eastAsia="微软雅黑"/>
          <w:b/>
          <w:sz w:val="24"/>
          <w:szCs w:val="24"/>
        </w:rPr>
        <w:t>近3年，在银行、券商、保险、家办等开展各类培训、讲座、沙龙100+场，内容和主题涵盖</w:t>
      </w:r>
      <w:r>
        <w:rPr>
          <w:rFonts w:hint="eastAsia" w:ascii="微软雅黑" w:hAnsi="微软雅黑" w:eastAsia="微软雅黑"/>
          <w:b/>
          <w:sz w:val="24"/>
          <w:szCs w:val="24"/>
          <w:lang w:eastAsia="zh-CN"/>
        </w:rPr>
        <w:t>：</w:t>
      </w:r>
      <w:bookmarkStart w:id="1" w:name="_GoBack"/>
      <w:bookmarkEnd w:id="1"/>
      <w:r>
        <w:rPr>
          <w:rFonts w:hint="eastAsia" w:ascii="微软雅黑" w:hAnsi="微软雅黑" w:eastAsia="微软雅黑"/>
          <w:b/>
          <w:sz w:val="24"/>
          <w:szCs w:val="24"/>
        </w:rPr>
        <w:t>财税合规与优化、法律、跨境架构、财富传承等，现场效果好，活动后反馈积极，直接促成各类机构落地众多产品，是合作银行系最受欢迎的讲师之一。</w:t>
      </w:r>
    </w:p>
    <w:sectPr>
      <w:pgSz w:w="11906" w:h="16838"/>
      <w:pgMar w:top="1134" w:right="1134" w:bottom="1134" w:left="1134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051335"/>
    <w:multiLevelType w:val="multilevel"/>
    <w:tmpl w:val="06051335"/>
    <w:lvl w:ilvl="0" w:tentative="0">
      <w:start w:val="1"/>
      <w:numFmt w:val="bullet"/>
      <w:lvlText w:val="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">
    <w:nsid w:val="2EAF284F"/>
    <w:multiLevelType w:val="multilevel"/>
    <w:tmpl w:val="2EAF284F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0560"/>
    <w:rsid w:val="000009D6"/>
    <w:rsid w:val="00001E0D"/>
    <w:rsid w:val="000028C2"/>
    <w:rsid w:val="0000589B"/>
    <w:rsid w:val="00006EF8"/>
    <w:rsid w:val="00013E5C"/>
    <w:rsid w:val="00014CD1"/>
    <w:rsid w:val="00015007"/>
    <w:rsid w:val="000163BB"/>
    <w:rsid w:val="000227E3"/>
    <w:rsid w:val="00022C73"/>
    <w:rsid w:val="0002336F"/>
    <w:rsid w:val="00023B8B"/>
    <w:rsid w:val="00023D60"/>
    <w:rsid w:val="000251A1"/>
    <w:rsid w:val="00031C10"/>
    <w:rsid w:val="00031D6F"/>
    <w:rsid w:val="000329F1"/>
    <w:rsid w:val="000350A5"/>
    <w:rsid w:val="00040643"/>
    <w:rsid w:val="0004687B"/>
    <w:rsid w:val="000537BE"/>
    <w:rsid w:val="00053E84"/>
    <w:rsid w:val="00056934"/>
    <w:rsid w:val="00061C12"/>
    <w:rsid w:val="00061F85"/>
    <w:rsid w:val="00065B4E"/>
    <w:rsid w:val="0006600B"/>
    <w:rsid w:val="00071859"/>
    <w:rsid w:val="00073EA2"/>
    <w:rsid w:val="000742CD"/>
    <w:rsid w:val="00074FC7"/>
    <w:rsid w:val="000758FF"/>
    <w:rsid w:val="00075D94"/>
    <w:rsid w:val="00080218"/>
    <w:rsid w:val="0008058E"/>
    <w:rsid w:val="00083F62"/>
    <w:rsid w:val="0008502B"/>
    <w:rsid w:val="00085335"/>
    <w:rsid w:val="0008589C"/>
    <w:rsid w:val="00090893"/>
    <w:rsid w:val="00090C3E"/>
    <w:rsid w:val="0009246E"/>
    <w:rsid w:val="000933B7"/>
    <w:rsid w:val="00094099"/>
    <w:rsid w:val="000A0099"/>
    <w:rsid w:val="000A17AE"/>
    <w:rsid w:val="000A2C01"/>
    <w:rsid w:val="000A3003"/>
    <w:rsid w:val="000A61D6"/>
    <w:rsid w:val="000A6315"/>
    <w:rsid w:val="000A6C94"/>
    <w:rsid w:val="000A711D"/>
    <w:rsid w:val="000A712B"/>
    <w:rsid w:val="000A7F34"/>
    <w:rsid w:val="000B079F"/>
    <w:rsid w:val="000B42E2"/>
    <w:rsid w:val="000B59CE"/>
    <w:rsid w:val="000C1163"/>
    <w:rsid w:val="000C14CB"/>
    <w:rsid w:val="000C252E"/>
    <w:rsid w:val="000C7524"/>
    <w:rsid w:val="000C75BF"/>
    <w:rsid w:val="000D0ABC"/>
    <w:rsid w:val="000D0CDE"/>
    <w:rsid w:val="000D3FA9"/>
    <w:rsid w:val="000D4DA2"/>
    <w:rsid w:val="000D7492"/>
    <w:rsid w:val="000D7F81"/>
    <w:rsid w:val="000E0E3B"/>
    <w:rsid w:val="000E1350"/>
    <w:rsid w:val="000E69EC"/>
    <w:rsid w:val="000E7CE6"/>
    <w:rsid w:val="000F03DF"/>
    <w:rsid w:val="000F1706"/>
    <w:rsid w:val="000F19FD"/>
    <w:rsid w:val="000F3B43"/>
    <w:rsid w:val="000F4C3B"/>
    <w:rsid w:val="000F7CFE"/>
    <w:rsid w:val="001002BE"/>
    <w:rsid w:val="00103A03"/>
    <w:rsid w:val="00104919"/>
    <w:rsid w:val="0010564B"/>
    <w:rsid w:val="001063E4"/>
    <w:rsid w:val="001117E2"/>
    <w:rsid w:val="00113326"/>
    <w:rsid w:val="00114646"/>
    <w:rsid w:val="0011753C"/>
    <w:rsid w:val="00120DB1"/>
    <w:rsid w:val="00123315"/>
    <w:rsid w:val="00125C51"/>
    <w:rsid w:val="00125CEB"/>
    <w:rsid w:val="0013137F"/>
    <w:rsid w:val="00132420"/>
    <w:rsid w:val="00133795"/>
    <w:rsid w:val="001358AF"/>
    <w:rsid w:val="00135CC3"/>
    <w:rsid w:val="0014473C"/>
    <w:rsid w:val="001479DA"/>
    <w:rsid w:val="00155CF2"/>
    <w:rsid w:val="001563A0"/>
    <w:rsid w:val="00161309"/>
    <w:rsid w:val="00162C21"/>
    <w:rsid w:val="001635B8"/>
    <w:rsid w:val="00164627"/>
    <w:rsid w:val="00165CCD"/>
    <w:rsid w:val="00172A27"/>
    <w:rsid w:val="00175CCC"/>
    <w:rsid w:val="00176576"/>
    <w:rsid w:val="00176BAE"/>
    <w:rsid w:val="00176BAF"/>
    <w:rsid w:val="0017722B"/>
    <w:rsid w:val="001773C0"/>
    <w:rsid w:val="001827B1"/>
    <w:rsid w:val="00184FB0"/>
    <w:rsid w:val="001913ED"/>
    <w:rsid w:val="00191CE4"/>
    <w:rsid w:val="001921C0"/>
    <w:rsid w:val="0019253D"/>
    <w:rsid w:val="00192C11"/>
    <w:rsid w:val="00193547"/>
    <w:rsid w:val="00195902"/>
    <w:rsid w:val="00196FFD"/>
    <w:rsid w:val="001A06BE"/>
    <w:rsid w:val="001A1C90"/>
    <w:rsid w:val="001A1D2D"/>
    <w:rsid w:val="001A6B12"/>
    <w:rsid w:val="001B1C92"/>
    <w:rsid w:val="001B38D0"/>
    <w:rsid w:val="001B4F34"/>
    <w:rsid w:val="001B5909"/>
    <w:rsid w:val="001B6C9D"/>
    <w:rsid w:val="001C642B"/>
    <w:rsid w:val="001C6DE1"/>
    <w:rsid w:val="001D4F25"/>
    <w:rsid w:val="001D6D9F"/>
    <w:rsid w:val="001E1E8D"/>
    <w:rsid w:val="001E5AE9"/>
    <w:rsid w:val="001E684A"/>
    <w:rsid w:val="001E6BED"/>
    <w:rsid w:val="001F21D6"/>
    <w:rsid w:val="001F2662"/>
    <w:rsid w:val="001F4CB0"/>
    <w:rsid w:val="001F4F3C"/>
    <w:rsid w:val="001F502E"/>
    <w:rsid w:val="001F5E50"/>
    <w:rsid w:val="001F7F01"/>
    <w:rsid w:val="00200AC6"/>
    <w:rsid w:val="00202495"/>
    <w:rsid w:val="00204800"/>
    <w:rsid w:val="00215BB8"/>
    <w:rsid w:val="0021624D"/>
    <w:rsid w:val="00217E22"/>
    <w:rsid w:val="0022157E"/>
    <w:rsid w:val="002226A5"/>
    <w:rsid w:val="002263D2"/>
    <w:rsid w:val="00231F73"/>
    <w:rsid w:val="00232866"/>
    <w:rsid w:val="00240184"/>
    <w:rsid w:val="0024064A"/>
    <w:rsid w:val="00241976"/>
    <w:rsid w:val="00244116"/>
    <w:rsid w:val="002503C3"/>
    <w:rsid w:val="00251927"/>
    <w:rsid w:val="002535ED"/>
    <w:rsid w:val="0025511E"/>
    <w:rsid w:val="00256131"/>
    <w:rsid w:val="00257A7F"/>
    <w:rsid w:val="00263565"/>
    <w:rsid w:val="00264734"/>
    <w:rsid w:val="00265633"/>
    <w:rsid w:val="00267102"/>
    <w:rsid w:val="002701AB"/>
    <w:rsid w:val="002755F1"/>
    <w:rsid w:val="00276F41"/>
    <w:rsid w:val="00277388"/>
    <w:rsid w:val="002807C5"/>
    <w:rsid w:val="00281E91"/>
    <w:rsid w:val="0028368C"/>
    <w:rsid w:val="00287659"/>
    <w:rsid w:val="00292AD7"/>
    <w:rsid w:val="0029312E"/>
    <w:rsid w:val="002964DD"/>
    <w:rsid w:val="002979EB"/>
    <w:rsid w:val="002A00C0"/>
    <w:rsid w:val="002A0508"/>
    <w:rsid w:val="002A5763"/>
    <w:rsid w:val="002A6686"/>
    <w:rsid w:val="002B0250"/>
    <w:rsid w:val="002B21B5"/>
    <w:rsid w:val="002B2F5A"/>
    <w:rsid w:val="002B3711"/>
    <w:rsid w:val="002B712A"/>
    <w:rsid w:val="002C1198"/>
    <w:rsid w:val="002C1892"/>
    <w:rsid w:val="002C1CFA"/>
    <w:rsid w:val="002C1D6D"/>
    <w:rsid w:val="002C22AD"/>
    <w:rsid w:val="002C2635"/>
    <w:rsid w:val="002C40F6"/>
    <w:rsid w:val="002D153D"/>
    <w:rsid w:val="002D3618"/>
    <w:rsid w:val="002D4A8A"/>
    <w:rsid w:val="002D5A1B"/>
    <w:rsid w:val="002D6E90"/>
    <w:rsid w:val="002E20E4"/>
    <w:rsid w:val="002E21F9"/>
    <w:rsid w:val="002E6CCF"/>
    <w:rsid w:val="002F53FA"/>
    <w:rsid w:val="002F5B99"/>
    <w:rsid w:val="00301DE4"/>
    <w:rsid w:val="00303296"/>
    <w:rsid w:val="003053B0"/>
    <w:rsid w:val="00306486"/>
    <w:rsid w:val="00310613"/>
    <w:rsid w:val="00316D9A"/>
    <w:rsid w:val="00316E3D"/>
    <w:rsid w:val="00317029"/>
    <w:rsid w:val="00320DF0"/>
    <w:rsid w:val="00321C34"/>
    <w:rsid w:val="00323963"/>
    <w:rsid w:val="003261C8"/>
    <w:rsid w:val="003265F3"/>
    <w:rsid w:val="003319FF"/>
    <w:rsid w:val="00331FC0"/>
    <w:rsid w:val="00332305"/>
    <w:rsid w:val="00332909"/>
    <w:rsid w:val="00333866"/>
    <w:rsid w:val="00334290"/>
    <w:rsid w:val="003350C4"/>
    <w:rsid w:val="00343F62"/>
    <w:rsid w:val="0034546B"/>
    <w:rsid w:val="00347965"/>
    <w:rsid w:val="00352987"/>
    <w:rsid w:val="003530F3"/>
    <w:rsid w:val="003557F3"/>
    <w:rsid w:val="0035597E"/>
    <w:rsid w:val="0035714A"/>
    <w:rsid w:val="003608CC"/>
    <w:rsid w:val="0036134D"/>
    <w:rsid w:val="00362BF8"/>
    <w:rsid w:val="00366E45"/>
    <w:rsid w:val="0036717B"/>
    <w:rsid w:val="00371D9D"/>
    <w:rsid w:val="003752AE"/>
    <w:rsid w:val="00375966"/>
    <w:rsid w:val="00376D5C"/>
    <w:rsid w:val="00377FB5"/>
    <w:rsid w:val="0038255A"/>
    <w:rsid w:val="00383425"/>
    <w:rsid w:val="00387E8F"/>
    <w:rsid w:val="00391ADA"/>
    <w:rsid w:val="00392E47"/>
    <w:rsid w:val="003A1EE7"/>
    <w:rsid w:val="003A539D"/>
    <w:rsid w:val="003A68A9"/>
    <w:rsid w:val="003A7EAD"/>
    <w:rsid w:val="003B0435"/>
    <w:rsid w:val="003B0C22"/>
    <w:rsid w:val="003B14BC"/>
    <w:rsid w:val="003C2421"/>
    <w:rsid w:val="003C4E61"/>
    <w:rsid w:val="003C5877"/>
    <w:rsid w:val="003D0561"/>
    <w:rsid w:val="003D28BA"/>
    <w:rsid w:val="003D435F"/>
    <w:rsid w:val="003D4EEC"/>
    <w:rsid w:val="003D7765"/>
    <w:rsid w:val="003E1ACC"/>
    <w:rsid w:val="003E4515"/>
    <w:rsid w:val="003E519C"/>
    <w:rsid w:val="003F4F09"/>
    <w:rsid w:val="003F7E1E"/>
    <w:rsid w:val="004011C2"/>
    <w:rsid w:val="004035D4"/>
    <w:rsid w:val="00403606"/>
    <w:rsid w:val="004071F7"/>
    <w:rsid w:val="0041061F"/>
    <w:rsid w:val="00410891"/>
    <w:rsid w:val="00411F98"/>
    <w:rsid w:val="004135CD"/>
    <w:rsid w:val="00415F94"/>
    <w:rsid w:val="004200F5"/>
    <w:rsid w:val="0042068B"/>
    <w:rsid w:val="00427A8B"/>
    <w:rsid w:val="00435BE0"/>
    <w:rsid w:val="004406ED"/>
    <w:rsid w:val="00440783"/>
    <w:rsid w:val="004413F7"/>
    <w:rsid w:val="00443013"/>
    <w:rsid w:val="004436DE"/>
    <w:rsid w:val="00446607"/>
    <w:rsid w:val="00447FA9"/>
    <w:rsid w:val="00451C25"/>
    <w:rsid w:val="00453DA3"/>
    <w:rsid w:val="0045485D"/>
    <w:rsid w:val="00457128"/>
    <w:rsid w:val="004613A8"/>
    <w:rsid w:val="00466413"/>
    <w:rsid w:val="00466F5D"/>
    <w:rsid w:val="0046722C"/>
    <w:rsid w:val="0047077F"/>
    <w:rsid w:val="00476C5C"/>
    <w:rsid w:val="00481037"/>
    <w:rsid w:val="004863A6"/>
    <w:rsid w:val="00487AE6"/>
    <w:rsid w:val="00487BB5"/>
    <w:rsid w:val="00487CB9"/>
    <w:rsid w:val="0049307F"/>
    <w:rsid w:val="00496367"/>
    <w:rsid w:val="004A0E1C"/>
    <w:rsid w:val="004A5D0B"/>
    <w:rsid w:val="004A7E92"/>
    <w:rsid w:val="004B1102"/>
    <w:rsid w:val="004B617C"/>
    <w:rsid w:val="004C1861"/>
    <w:rsid w:val="004C4DF1"/>
    <w:rsid w:val="004D4183"/>
    <w:rsid w:val="004D420F"/>
    <w:rsid w:val="004F1BEB"/>
    <w:rsid w:val="004F3406"/>
    <w:rsid w:val="00503D75"/>
    <w:rsid w:val="0050519B"/>
    <w:rsid w:val="00507615"/>
    <w:rsid w:val="00507882"/>
    <w:rsid w:val="005104CF"/>
    <w:rsid w:val="0051335E"/>
    <w:rsid w:val="00515961"/>
    <w:rsid w:val="00520D43"/>
    <w:rsid w:val="005213DF"/>
    <w:rsid w:val="005221AD"/>
    <w:rsid w:val="005277AC"/>
    <w:rsid w:val="0053002E"/>
    <w:rsid w:val="005315B8"/>
    <w:rsid w:val="00531ADB"/>
    <w:rsid w:val="005341C3"/>
    <w:rsid w:val="00534697"/>
    <w:rsid w:val="00535006"/>
    <w:rsid w:val="00536260"/>
    <w:rsid w:val="00536334"/>
    <w:rsid w:val="0053695D"/>
    <w:rsid w:val="00536C6D"/>
    <w:rsid w:val="00537B8E"/>
    <w:rsid w:val="0055037D"/>
    <w:rsid w:val="00550E4C"/>
    <w:rsid w:val="005616E3"/>
    <w:rsid w:val="00564536"/>
    <w:rsid w:val="005649C0"/>
    <w:rsid w:val="00565BBF"/>
    <w:rsid w:val="00565E98"/>
    <w:rsid w:val="00566FBE"/>
    <w:rsid w:val="00574F8C"/>
    <w:rsid w:val="00575F2A"/>
    <w:rsid w:val="0057696A"/>
    <w:rsid w:val="0058015D"/>
    <w:rsid w:val="00580A72"/>
    <w:rsid w:val="00580CBD"/>
    <w:rsid w:val="00581212"/>
    <w:rsid w:val="005825BA"/>
    <w:rsid w:val="00583062"/>
    <w:rsid w:val="00583A23"/>
    <w:rsid w:val="0058402E"/>
    <w:rsid w:val="005847FB"/>
    <w:rsid w:val="00586DDE"/>
    <w:rsid w:val="00586DF4"/>
    <w:rsid w:val="0059251F"/>
    <w:rsid w:val="005925CE"/>
    <w:rsid w:val="005953C2"/>
    <w:rsid w:val="00597B49"/>
    <w:rsid w:val="005A1235"/>
    <w:rsid w:val="005A3951"/>
    <w:rsid w:val="005A6840"/>
    <w:rsid w:val="005A7505"/>
    <w:rsid w:val="005B3990"/>
    <w:rsid w:val="005B5379"/>
    <w:rsid w:val="005B547D"/>
    <w:rsid w:val="005C3136"/>
    <w:rsid w:val="005C4718"/>
    <w:rsid w:val="005C573D"/>
    <w:rsid w:val="005C7537"/>
    <w:rsid w:val="005C7C9A"/>
    <w:rsid w:val="005D11C5"/>
    <w:rsid w:val="005D3002"/>
    <w:rsid w:val="005D39FA"/>
    <w:rsid w:val="005E1778"/>
    <w:rsid w:val="005E7C1A"/>
    <w:rsid w:val="005F0B7E"/>
    <w:rsid w:val="005F0C90"/>
    <w:rsid w:val="005F2F6C"/>
    <w:rsid w:val="005F3B7D"/>
    <w:rsid w:val="005F790E"/>
    <w:rsid w:val="005F7B2C"/>
    <w:rsid w:val="006018AE"/>
    <w:rsid w:val="006037D6"/>
    <w:rsid w:val="006078A0"/>
    <w:rsid w:val="006131FA"/>
    <w:rsid w:val="00615B12"/>
    <w:rsid w:val="00616903"/>
    <w:rsid w:val="00617F73"/>
    <w:rsid w:val="0062011E"/>
    <w:rsid w:val="00622DF4"/>
    <w:rsid w:val="00623EFC"/>
    <w:rsid w:val="00624F12"/>
    <w:rsid w:val="006268AD"/>
    <w:rsid w:val="00630B93"/>
    <w:rsid w:val="006323D1"/>
    <w:rsid w:val="00633D88"/>
    <w:rsid w:val="00635039"/>
    <w:rsid w:val="006354EB"/>
    <w:rsid w:val="00643711"/>
    <w:rsid w:val="00644B59"/>
    <w:rsid w:val="00644E06"/>
    <w:rsid w:val="00644E1A"/>
    <w:rsid w:val="0064651E"/>
    <w:rsid w:val="00647F84"/>
    <w:rsid w:val="00652291"/>
    <w:rsid w:val="006537DE"/>
    <w:rsid w:val="006578F5"/>
    <w:rsid w:val="00657CD2"/>
    <w:rsid w:val="00660D33"/>
    <w:rsid w:val="0066301D"/>
    <w:rsid w:val="00663629"/>
    <w:rsid w:val="00664AEC"/>
    <w:rsid w:val="006650C4"/>
    <w:rsid w:val="00666B24"/>
    <w:rsid w:val="00672208"/>
    <w:rsid w:val="00675A1C"/>
    <w:rsid w:val="00675CFC"/>
    <w:rsid w:val="00676248"/>
    <w:rsid w:val="00686D56"/>
    <w:rsid w:val="0068710E"/>
    <w:rsid w:val="00690894"/>
    <w:rsid w:val="00690B3E"/>
    <w:rsid w:val="00690F35"/>
    <w:rsid w:val="0069132B"/>
    <w:rsid w:val="00693AAB"/>
    <w:rsid w:val="0069450E"/>
    <w:rsid w:val="006959C0"/>
    <w:rsid w:val="006A0C51"/>
    <w:rsid w:val="006A168C"/>
    <w:rsid w:val="006A30AF"/>
    <w:rsid w:val="006A42A6"/>
    <w:rsid w:val="006A591A"/>
    <w:rsid w:val="006A5C2F"/>
    <w:rsid w:val="006A68D7"/>
    <w:rsid w:val="006B0BEA"/>
    <w:rsid w:val="006B774A"/>
    <w:rsid w:val="006B777C"/>
    <w:rsid w:val="006C50AD"/>
    <w:rsid w:val="006D1F8D"/>
    <w:rsid w:val="006D22FC"/>
    <w:rsid w:val="006D64DF"/>
    <w:rsid w:val="006D7C18"/>
    <w:rsid w:val="006E1264"/>
    <w:rsid w:val="006E25A4"/>
    <w:rsid w:val="006E289F"/>
    <w:rsid w:val="006E2EA2"/>
    <w:rsid w:val="006E6464"/>
    <w:rsid w:val="006F115E"/>
    <w:rsid w:val="006F4DEF"/>
    <w:rsid w:val="006F59B6"/>
    <w:rsid w:val="006F6720"/>
    <w:rsid w:val="00702E8C"/>
    <w:rsid w:val="00706A34"/>
    <w:rsid w:val="00711315"/>
    <w:rsid w:val="0071551B"/>
    <w:rsid w:val="007173D7"/>
    <w:rsid w:val="00723330"/>
    <w:rsid w:val="00724111"/>
    <w:rsid w:val="007249C3"/>
    <w:rsid w:val="00724B42"/>
    <w:rsid w:val="00726C9F"/>
    <w:rsid w:val="00727B1A"/>
    <w:rsid w:val="007301E8"/>
    <w:rsid w:val="0073453E"/>
    <w:rsid w:val="00737361"/>
    <w:rsid w:val="00737475"/>
    <w:rsid w:val="00737F7A"/>
    <w:rsid w:val="007409EA"/>
    <w:rsid w:val="00740AA0"/>
    <w:rsid w:val="00740CA9"/>
    <w:rsid w:val="007418D1"/>
    <w:rsid w:val="00741C05"/>
    <w:rsid w:val="00743D7B"/>
    <w:rsid w:val="007463F0"/>
    <w:rsid w:val="00746F77"/>
    <w:rsid w:val="00747FA1"/>
    <w:rsid w:val="0075091D"/>
    <w:rsid w:val="00751F91"/>
    <w:rsid w:val="007529CE"/>
    <w:rsid w:val="00755303"/>
    <w:rsid w:val="00762C10"/>
    <w:rsid w:val="00770156"/>
    <w:rsid w:val="00770F3E"/>
    <w:rsid w:val="0077182F"/>
    <w:rsid w:val="00772CCA"/>
    <w:rsid w:val="007739D7"/>
    <w:rsid w:val="00776F56"/>
    <w:rsid w:val="00780618"/>
    <w:rsid w:val="00782604"/>
    <w:rsid w:val="00783303"/>
    <w:rsid w:val="0078459F"/>
    <w:rsid w:val="00785D46"/>
    <w:rsid w:val="00786BF3"/>
    <w:rsid w:val="00786C85"/>
    <w:rsid w:val="00793ADC"/>
    <w:rsid w:val="00793DF8"/>
    <w:rsid w:val="00794258"/>
    <w:rsid w:val="007A02C6"/>
    <w:rsid w:val="007A1036"/>
    <w:rsid w:val="007A3BF9"/>
    <w:rsid w:val="007A57CA"/>
    <w:rsid w:val="007A79BC"/>
    <w:rsid w:val="007B0FB2"/>
    <w:rsid w:val="007B1319"/>
    <w:rsid w:val="007B3844"/>
    <w:rsid w:val="007B4747"/>
    <w:rsid w:val="007B6EB5"/>
    <w:rsid w:val="007C0249"/>
    <w:rsid w:val="007C1044"/>
    <w:rsid w:val="007C43F8"/>
    <w:rsid w:val="007C4BFE"/>
    <w:rsid w:val="007C4FCF"/>
    <w:rsid w:val="007C626E"/>
    <w:rsid w:val="007C7D98"/>
    <w:rsid w:val="007D5483"/>
    <w:rsid w:val="007E57CE"/>
    <w:rsid w:val="007F1FAD"/>
    <w:rsid w:val="007F2CEF"/>
    <w:rsid w:val="007F2EDB"/>
    <w:rsid w:val="007F513C"/>
    <w:rsid w:val="007F630B"/>
    <w:rsid w:val="00802C81"/>
    <w:rsid w:val="00805619"/>
    <w:rsid w:val="0080791D"/>
    <w:rsid w:val="00812862"/>
    <w:rsid w:val="00813B76"/>
    <w:rsid w:val="00814308"/>
    <w:rsid w:val="00821BF5"/>
    <w:rsid w:val="00823599"/>
    <w:rsid w:val="008235DA"/>
    <w:rsid w:val="00823C5D"/>
    <w:rsid w:val="008242F2"/>
    <w:rsid w:val="00837266"/>
    <w:rsid w:val="008449D8"/>
    <w:rsid w:val="00852443"/>
    <w:rsid w:val="0085601C"/>
    <w:rsid w:val="0086001B"/>
    <w:rsid w:val="00860D1A"/>
    <w:rsid w:val="0086515F"/>
    <w:rsid w:val="00865C08"/>
    <w:rsid w:val="0086739B"/>
    <w:rsid w:val="008678B1"/>
    <w:rsid w:val="00870EEF"/>
    <w:rsid w:val="008734B4"/>
    <w:rsid w:val="00876FE7"/>
    <w:rsid w:val="00882EA5"/>
    <w:rsid w:val="0088348A"/>
    <w:rsid w:val="00883890"/>
    <w:rsid w:val="00884F46"/>
    <w:rsid w:val="00885CC9"/>
    <w:rsid w:val="008866C8"/>
    <w:rsid w:val="00892033"/>
    <w:rsid w:val="008926E9"/>
    <w:rsid w:val="00892B05"/>
    <w:rsid w:val="0089434D"/>
    <w:rsid w:val="0089472B"/>
    <w:rsid w:val="008A4A3A"/>
    <w:rsid w:val="008B2E64"/>
    <w:rsid w:val="008B32B8"/>
    <w:rsid w:val="008B4D92"/>
    <w:rsid w:val="008B4DFD"/>
    <w:rsid w:val="008B7048"/>
    <w:rsid w:val="008B72D3"/>
    <w:rsid w:val="008C099B"/>
    <w:rsid w:val="008C3BA9"/>
    <w:rsid w:val="008C4B1A"/>
    <w:rsid w:val="008D232B"/>
    <w:rsid w:val="008D5FA0"/>
    <w:rsid w:val="008D606E"/>
    <w:rsid w:val="008E0789"/>
    <w:rsid w:val="008E17CB"/>
    <w:rsid w:val="008E22EC"/>
    <w:rsid w:val="008E2D5C"/>
    <w:rsid w:val="008F5C32"/>
    <w:rsid w:val="00903404"/>
    <w:rsid w:val="0090456B"/>
    <w:rsid w:val="0090473E"/>
    <w:rsid w:val="00906427"/>
    <w:rsid w:val="00907FE7"/>
    <w:rsid w:val="00911B03"/>
    <w:rsid w:val="009137FF"/>
    <w:rsid w:val="00913BA9"/>
    <w:rsid w:val="00916D97"/>
    <w:rsid w:val="009226F3"/>
    <w:rsid w:val="00922FFA"/>
    <w:rsid w:val="00924C60"/>
    <w:rsid w:val="00925737"/>
    <w:rsid w:val="00926596"/>
    <w:rsid w:val="00926896"/>
    <w:rsid w:val="00936782"/>
    <w:rsid w:val="00937D97"/>
    <w:rsid w:val="00941818"/>
    <w:rsid w:val="0094210D"/>
    <w:rsid w:val="009501CA"/>
    <w:rsid w:val="0095295E"/>
    <w:rsid w:val="00955355"/>
    <w:rsid w:val="00957EF1"/>
    <w:rsid w:val="009654DB"/>
    <w:rsid w:val="00965840"/>
    <w:rsid w:val="00965942"/>
    <w:rsid w:val="00973923"/>
    <w:rsid w:val="00973DB0"/>
    <w:rsid w:val="00974D1D"/>
    <w:rsid w:val="0097531B"/>
    <w:rsid w:val="00975BC7"/>
    <w:rsid w:val="0098450F"/>
    <w:rsid w:val="0098725F"/>
    <w:rsid w:val="00987E00"/>
    <w:rsid w:val="00990687"/>
    <w:rsid w:val="00991424"/>
    <w:rsid w:val="00991C52"/>
    <w:rsid w:val="00996300"/>
    <w:rsid w:val="00996533"/>
    <w:rsid w:val="009A169B"/>
    <w:rsid w:val="009A4894"/>
    <w:rsid w:val="009A632A"/>
    <w:rsid w:val="009B082C"/>
    <w:rsid w:val="009B1D5A"/>
    <w:rsid w:val="009B2D1B"/>
    <w:rsid w:val="009B5BC7"/>
    <w:rsid w:val="009C34DD"/>
    <w:rsid w:val="009C4748"/>
    <w:rsid w:val="009C4A78"/>
    <w:rsid w:val="009C6A45"/>
    <w:rsid w:val="009C6AB0"/>
    <w:rsid w:val="009D13B9"/>
    <w:rsid w:val="009D4CA9"/>
    <w:rsid w:val="009D5021"/>
    <w:rsid w:val="009D5345"/>
    <w:rsid w:val="009D5546"/>
    <w:rsid w:val="009E6DF7"/>
    <w:rsid w:val="009F55CD"/>
    <w:rsid w:val="009F6D71"/>
    <w:rsid w:val="00A002CF"/>
    <w:rsid w:val="00A0435F"/>
    <w:rsid w:val="00A04CAA"/>
    <w:rsid w:val="00A04EDB"/>
    <w:rsid w:val="00A05104"/>
    <w:rsid w:val="00A07239"/>
    <w:rsid w:val="00A07362"/>
    <w:rsid w:val="00A12752"/>
    <w:rsid w:val="00A138DA"/>
    <w:rsid w:val="00A202E8"/>
    <w:rsid w:val="00A24EC4"/>
    <w:rsid w:val="00A26764"/>
    <w:rsid w:val="00A267F8"/>
    <w:rsid w:val="00A27B2C"/>
    <w:rsid w:val="00A32FF7"/>
    <w:rsid w:val="00A33F0C"/>
    <w:rsid w:val="00A401D5"/>
    <w:rsid w:val="00A405C9"/>
    <w:rsid w:val="00A4222C"/>
    <w:rsid w:val="00A42C31"/>
    <w:rsid w:val="00A4674D"/>
    <w:rsid w:val="00A46E9A"/>
    <w:rsid w:val="00A515A1"/>
    <w:rsid w:val="00A52EC6"/>
    <w:rsid w:val="00A57070"/>
    <w:rsid w:val="00A629C4"/>
    <w:rsid w:val="00A63BA3"/>
    <w:rsid w:val="00A63EF2"/>
    <w:rsid w:val="00A65A32"/>
    <w:rsid w:val="00A701EA"/>
    <w:rsid w:val="00A7298A"/>
    <w:rsid w:val="00A7433E"/>
    <w:rsid w:val="00A752AA"/>
    <w:rsid w:val="00A77202"/>
    <w:rsid w:val="00A81225"/>
    <w:rsid w:val="00A8173D"/>
    <w:rsid w:val="00A82937"/>
    <w:rsid w:val="00A82E16"/>
    <w:rsid w:val="00A83A2E"/>
    <w:rsid w:val="00A83A79"/>
    <w:rsid w:val="00A84ABF"/>
    <w:rsid w:val="00A86414"/>
    <w:rsid w:val="00A87887"/>
    <w:rsid w:val="00A92792"/>
    <w:rsid w:val="00A93DBF"/>
    <w:rsid w:val="00A94471"/>
    <w:rsid w:val="00AA15C6"/>
    <w:rsid w:val="00AA2B9C"/>
    <w:rsid w:val="00AA4801"/>
    <w:rsid w:val="00AB0411"/>
    <w:rsid w:val="00AB3ED3"/>
    <w:rsid w:val="00AB4B77"/>
    <w:rsid w:val="00AB5764"/>
    <w:rsid w:val="00AB79C3"/>
    <w:rsid w:val="00AC24E6"/>
    <w:rsid w:val="00AC37C9"/>
    <w:rsid w:val="00AC65DA"/>
    <w:rsid w:val="00AC7643"/>
    <w:rsid w:val="00AD3A69"/>
    <w:rsid w:val="00AE2135"/>
    <w:rsid w:val="00AE29BB"/>
    <w:rsid w:val="00AF1228"/>
    <w:rsid w:val="00AF2323"/>
    <w:rsid w:val="00AF4D96"/>
    <w:rsid w:val="00AF7FF1"/>
    <w:rsid w:val="00B02D21"/>
    <w:rsid w:val="00B0310C"/>
    <w:rsid w:val="00B0428C"/>
    <w:rsid w:val="00B0445A"/>
    <w:rsid w:val="00B06C6A"/>
    <w:rsid w:val="00B06EAA"/>
    <w:rsid w:val="00B105C9"/>
    <w:rsid w:val="00B1348B"/>
    <w:rsid w:val="00B14BDC"/>
    <w:rsid w:val="00B155AE"/>
    <w:rsid w:val="00B16AA4"/>
    <w:rsid w:val="00B17110"/>
    <w:rsid w:val="00B22620"/>
    <w:rsid w:val="00B25FB6"/>
    <w:rsid w:val="00B26952"/>
    <w:rsid w:val="00B30A6F"/>
    <w:rsid w:val="00B36801"/>
    <w:rsid w:val="00B40681"/>
    <w:rsid w:val="00B409E0"/>
    <w:rsid w:val="00B4118E"/>
    <w:rsid w:val="00B41B75"/>
    <w:rsid w:val="00B4392F"/>
    <w:rsid w:val="00B43B3D"/>
    <w:rsid w:val="00B45D32"/>
    <w:rsid w:val="00B47A34"/>
    <w:rsid w:val="00B51213"/>
    <w:rsid w:val="00B512DE"/>
    <w:rsid w:val="00B5207A"/>
    <w:rsid w:val="00B5279C"/>
    <w:rsid w:val="00B54537"/>
    <w:rsid w:val="00B567D6"/>
    <w:rsid w:val="00B56A27"/>
    <w:rsid w:val="00B64955"/>
    <w:rsid w:val="00B708D1"/>
    <w:rsid w:val="00B802BB"/>
    <w:rsid w:val="00B835E9"/>
    <w:rsid w:val="00B847A4"/>
    <w:rsid w:val="00B928E1"/>
    <w:rsid w:val="00B94FC8"/>
    <w:rsid w:val="00B95B5E"/>
    <w:rsid w:val="00B96C82"/>
    <w:rsid w:val="00B97E90"/>
    <w:rsid w:val="00BA5BBF"/>
    <w:rsid w:val="00BA70D3"/>
    <w:rsid w:val="00BB180C"/>
    <w:rsid w:val="00BB20FC"/>
    <w:rsid w:val="00BB69A5"/>
    <w:rsid w:val="00BC226E"/>
    <w:rsid w:val="00BC2903"/>
    <w:rsid w:val="00BC3C9D"/>
    <w:rsid w:val="00BC4258"/>
    <w:rsid w:val="00BC547E"/>
    <w:rsid w:val="00BC576A"/>
    <w:rsid w:val="00BD5B52"/>
    <w:rsid w:val="00BD66DA"/>
    <w:rsid w:val="00BD7EEC"/>
    <w:rsid w:val="00BE11B5"/>
    <w:rsid w:val="00BE1304"/>
    <w:rsid w:val="00BE2F33"/>
    <w:rsid w:val="00BE3393"/>
    <w:rsid w:val="00BE780E"/>
    <w:rsid w:val="00BF14BA"/>
    <w:rsid w:val="00BF3A4D"/>
    <w:rsid w:val="00BF5FA8"/>
    <w:rsid w:val="00BF69CD"/>
    <w:rsid w:val="00C024CE"/>
    <w:rsid w:val="00C0389D"/>
    <w:rsid w:val="00C053B4"/>
    <w:rsid w:val="00C0724A"/>
    <w:rsid w:val="00C10513"/>
    <w:rsid w:val="00C1229B"/>
    <w:rsid w:val="00C148AC"/>
    <w:rsid w:val="00C15A72"/>
    <w:rsid w:val="00C15B2B"/>
    <w:rsid w:val="00C16BE7"/>
    <w:rsid w:val="00C170BC"/>
    <w:rsid w:val="00C20418"/>
    <w:rsid w:val="00C26584"/>
    <w:rsid w:val="00C27B32"/>
    <w:rsid w:val="00C317E0"/>
    <w:rsid w:val="00C321E2"/>
    <w:rsid w:val="00C35431"/>
    <w:rsid w:val="00C3621D"/>
    <w:rsid w:val="00C36FD2"/>
    <w:rsid w:val="00C37032"/>
    <w:rsid w:val="00C37F31"/>
    <w:rsid w:val="00C41CBC"/>
    <w:rsid w:val="00C42627"/>
    <w:rsid w:val="00C4281C"/>
    <w:rsid w:val="00C42A48"/>
    <w:rsid w:val="00C45F50"/>
    <w:rsid w:val="00C51805"/>
    <w:rsid w:val="00C5201C"/>
    <w:rsid w:val="00C527CD"/>
    <w:rsid w:val="00C54B0C"/>
    <w:rsid w:val="00C551F4"/>
    <w:rsid w:val="00C56246"/>
    <w:rsid w:val="00C56DE0"/>
    <w:rsid w:val="00C6078D"/>
    <w:rsid w:val="00C627DB"/>
    <w:rsid w:val="00C62D45"/>
    <w:rsid w:val="00C65364"/>
    <w:rsid w:val="00C65947"/>
    <w:rsid w:val="00C65C84"/>
    <w:rsid w:val="00C71863"/>
    <w:rsid w:val="00C74773"/>
    <w:rsid w:val="00C74C1E"/>
    <w:rsid w:val="00C76B49"/>
    <w:rsid w:val="00C800CE"/>
    <w:rsid w:val="00C8089F"/>
    <w:rsid w:val="00C81528"/>
    <w:rsid w:val="00C815AE"/>
    <w:rsid w:val="00C87B0C"/>
    <w:rsid w:val="00C94F12"/>
    <w:rsid w:val="00C955F0"/>
    <w:rsid w:val="00C962DB"/>
    <w:rsid w:val="00C9645B"/>
    <w:rsid w:val="00CA6E03"/>
    <w:rsid w:val="00CB1080"/>
    <w:rsid w:val="00CB18E9"/>
    <w:rsid w:val="00CB210B"/>
    <w:rsid w:val="00CB720D"/>
    <w:rsid w:val="00CB7AC1"/>
    <w:rsid w:val="00CC0177"/>
    <w:rsid w:val="00CC0A4F"/>
    <w:rsid w:val="00CC19A0"/>
    <w:rsid w:val="00CC428E"/>
    <w:rsid w:val="00CC539D"/>
    <w:rsid w:val="00CD2BCF"/>
    <w:rsid w:val="00CE31EE"/>
    <w:rsid w:val="00CE4D05"/>
    <w:rsid w:val="00CF12DC"/>
    <w:rsid w:val="00CF1C9F"/>
    <w:rsid w:val="00CF688B"/>
    <w:rsid w:val="00CF6E5F"/>
    <w:rsid w:val="00D0313B"/>
    <w:rsid w:val="00D05284"/>
    <w:rsid w:val="00D10027"/>
    <w:rsid w:val="00D11C44"/>
    <w:rsid w:val="00D155C1"/>
    <w:rsid w:val="00D16B9D"/>
    <w:rsid w:val="00D215DB"/>
    <w:rsid w:val="00D222D0"/>
    <w:rsid w:val="00D22F9E"/>
    <w:rsid w:val="00D22FF6"/>
    <w:rsid w:val="00D25D57"/>
    <w:rsid w:val="00D26492"/>
    <w:rsid w:val="00D26849"/>
    <w:rsid w:val="00D32438"/>
    <w:rsid w:val="00D32B74"/>
    <w:rsid w:val="00D32DCC"/>
    <w:rsid w:val="00D335E2"/>
    <w:rsid w:val="00D3470D"/>
    <w:rsid w:val="00D368C8"/>
    <w:rsid w:val="00D3742F"/>
    <w:rsid w:val="00D41641"/>
    <w:rsid w:val="00D4689D"/>
    <w:rsid w:val="00D47C97"/>
    <w:rsid w:val="00D517DC"/>
    <w:rsid w:val="00D51C97"/>
    <w:rsid w:val="00D52AE9"/>
    <w:rsid w:val="00D53A7D"/>
    <w:rsid w:val="00D55F0F"/>
    <w:rsid w:val="00D60A9B"/>
    <w:rsid w:val="00D612B6"/>
    <w:rsid w:val="00D70409"/>
    <w:rsid w:val="00D72C76"/>
    <w:rsid w:val="00D761AA"/>
    <w:rsid w:val="00D8076B"/>
    <w:rsid w:val="00D83C62"/>
    <w:rsid w:val="00D857B9"/>
    <w:rsid w:val="00D86356"/>
    <w:rsid w:val="00D87F67"/>
    <w:rsid w:val="00D903E3"/>
    <w:rsid w:val="00D920C7"/>
    <w:rsid w:val="00D95E9B"/>
    <w:rsid w:val="00DA18AA"/>
    <w:rsid w:val="00DA3710"/>
    <w:rsid w:val="00DA4B43"/>
    <w:rsid w:val="00DA5758"/>
    <w:rsid w:val="00DA59A4"/>
    <w:rsid w:val="00DB0ADB"/>
    <w:rsid w:val="00DB2A2A"/>
    <w:rsid w:val="00DB4DB9"/>
    <w:rsid w:val="00DB6173"/>
    <w:rsid w:val="00DB78CE"/>
    <w:rsid w:val="00DC2923"/>
    <w:rsid w:val="00DC33E2"/>
    <w:rsid w:val="00DC3D58"/>
    <w:rsid w:val="00DC4548"/>
    <w:rsid w:val="00DC6661"/>
    <w:rsid w:val="00DD0415"/>
    <w:rsid w:val="00DD117A"/>
    <w:rsid w:val="00DD4162"/>
    <w:rsid w:val="00DD5D02"/>
    <w:rsid w:val="00DE2E17"/>
    <w:rsid w:val="00DE319E"/>
    <w:rsid w:val="00DE6369"/>
    <w:rsid w:val="00DE713E"/>
    <w:rsid w:val="00DE727B"/>
    <w:rsid w:val="00DF443E"/>
    <w:rsid w:val="00DF5391"/>
    <w:rsid w:val="00DF5DAB"/>
    <w:rsid w:val="00DF631C"/>
    <w:rsid w:val="00DF711C"/>
    <w:rsid w:val="00E009CD"/>
    <w:rsid w:val="00E04D6E"/>
    <w:rsid w:val="00E05D73"/>
    <w:rsid w:val="00E10211"/>
    <w:rsid w:val="00E10E20"/>
    <w:rsid w:val="00E129EB"/>
    <w:rsid w:val="00E12BFA"/>
    <w:rsid w:val="00E13168"/>
    <w:rsid w:val="00E17A87"/>
    <w:rsid w:val="00E17E5A"/>
    <w:rsid w:val="00E203A2"/>
    <w:rsid w:val="00E2300F"/>
    <w:rsid w:val="00E23FA4"/>
    <w:rsid w:val="00E26CEE"/>
    <w:rsid w:val="00E30F4C"/>
    <w:rsid w:val="00E31A5C"/>
    <w:rsid w:val="00E31FBA"/>
    <w:rsid w:val="00E348E3"/>
    <w:rsid w:val="00E356B9"/>
    <w:rsid w:val="00E37FC2"/>
    <w:rsid w:val="00E413D8"/>
    <w:rsid w:val="00E44BDD"/>
    <w:rsid w:val="00E54A9B"/>
    <w:rsid w:val="00E57DF0"/>
    <w:rsid w:val="00E6014F"/>
    <w:rsid w:val="00E602A2"/>
    <w:rsid w:val="00E60D3B"/>
    <w:rsid w:val="00E66C51"/>
    <w:rsid w:val="00E675CA"/>
    <w:rsid w:val="00E74141"/>
    <w:rsid w:val="00E8026A"/>
    <w:rsid w:val="00E81B5F"/>
    <w:rsid w:val="00E82477"/>
    <w:rsid w:val="00E82D37"/>
    <w:rsid w:val="00E82EC9"/>
    <w:rsid w:val="00E86620"/>
    <w:rsid w:val="00E87639"/>
    <w:rsid w:val="00E94313"/>
    <w:rsid w:val="00E95591"/>
    <w:rsid w:val="00EA217E"/>
    <w:rsid w:val="00EA2E91"/>
    <w:rsid w:val="00EA4DC4"/>
    <w:rsid w:val="00EA4DD2"/>
    <w:rsid w:val="00EA5132"/>
    <w:rsid w:val="00EA54B7"/>
    <w:rsid w:val="00EA70A9"/>
    <w:rsid w:val="00EB3E5A"/>
    <w:rsid w:val="00EB404B"/>
    <w:rsid w:val="00EB4EF3"/>
    <w:rsid w:val="00EB72D2"/>
    <w:rsid w:val="00EB7986"/>
    <w:rsid w:val="00EC36B9"/>
    <w:rsid w:val="00EC3BA5"/>
    <w:rsid w:val="00EC5317"/>
    <w:rsid w:val="00EC7A0D"/>
    <w:rsid w:val="00EC7A29"/>
    <w:rsid w:val="00ED06DC"/>
    <w:rsid w:val="00ED24AA"/>
    <w:rsid w:val="00ED46D5"/>
    <w:rsid w:val="00ED6A7B"/>
    <w:rsid w:val="00ED6C56"/>
    <w:rsid w:val="00ED72C4"/>
    <w:rsid w:val="00ED761E"/>
    <w:rsid w:val="00EE173C"/>
    <w:rsid w:val="00EE51DB"/>
    <w:rsid w:val="00EE61E4"/>
    <w:rsid w:val="00EE6202"/>
    <w:rsid w:val="00EF3B39"/>
    <w:rsid w:val="00EF57DC"/>
    <w:rsid w:val="00EF5C57"/>
    <w:rsid w:val="00EF5CC7"/>
    <w:rsid w:val="00EF761A"/>
    <w:rsid w:val="00F042A1"/>
    <w:rsid w:val="00F05565"/>
    <w:rsid w:val="00F05D23"/>
    <w:rsid w:val="00F05E32"/>
    <w:rsid w:val="00F10403"/>
    <w:rsid w:val="00F10A5C"/>
    <w:rsid w:val="00F1418C"/>
    <w:rsid w:val="00F1610F"/>
    <w:rsid w:val="00F2152E"/>
    <w:rsid w:val="00F2412C"/>
    <w:rsid w:val="00F24CF1"/>
    <w:rsid w:val="00F26526"/>
    <w:rsid w:val="00F266A4"/>
    <w:rsid w:val="00F268BE"/>
    <w:rsid w:val="00F35097"/>
    <w:rsid w:val="00F36DB0"/>
    <w:rsid w:val="00F36F25"/>
    <w:rsid w:val="00F371B6"/>
    <w:rsid w:val="00F4215B"/>
    <w:rsid w:val="00F430F0"/>
    <w:rsid w:val="00F445C6"/>
    <w:rsid w:val="00F52CE0"/>
    <w:rsid w:val="00F571A5"/>
    <w:rsid w:val="00F61C9B"/>
    <w:rsid w:val="00F63234"/>
    <w:rsid w:val="00F6381B"/>
    <w:rsid w:val="00F642D3"/>
    <w:rsid w:val="00F64512"/>
    <w:rsid w:val="00F6566C"/>
    <w:rsid w:val="00F658B0"/>
    <w:rsid w:val="00F672E4"/>
    <w:rsid w:val="00F71792"/>
    <w:rsid w:val="00F7265B"/>
    <w:rsid w:val="00F74402"/>
    <w:rsid w:val="00F77059"/>
    <w:rsid w:val="00F8240B"/>
    <w:rsid w:val="00F827C7"/>
    <w:rsid w:val="00F8427C"/>
    <w:rsid w:val="00F90AC7"/>
    <w:rsid w:val="00F91AAD"/>
    <w:rsid w:val="00F93195"/>
    <w:rsid w:val="00F94EC2"/>
    <w:rsid w:val="00F95348"/>
    <w:rsid w:val="00F9641C"/>
    <w:rsid w:val="00F97841"/>
    <w:rsid w:val="00FA0126"/>
    <w:rsid w:val="00FA1B7D"/>
    <w:rsid w:val="00FA27CC"/>
    <w:rsid w:val="00FA354E"/>
    <w:rsid w:val="00FA6A69"/>
    <w:rsid w:val="00FB00E0"/>
    <w:rsid w:val="00FB7BFB"/>
    <w:rsid w:val="00FC07AF"/>
    <w:rsid w:val="00FC166A"/>
    <w:rsid w:val="00FC1BAB"/>
    <w:rsid w:val="00FC2993"/>
    <w:rsid w:val="00FC2A48"/>
    <w:rsid w:val="00FC4AB5"/>
    <w:rsid w:val="00FC7EBF"/>
    <w:rsid w:val="00FD578A"/>
    <w:rsid w:val="00FE14E7"/>
    <w:rsid w:val="00FE2C2C"/>
    <w:rsid w:val="00FE4B28"/>
    <w:rsid w:val="00FF5BDF"/>
    <w:rsid w:val="00FF7E34"/>
    <w:rsid w:val="033B5A1E"/>
    <w:rsid w:val="06565F7D"/>
    <w:rsid w:val="0B2D0D87"/>
    <w:rsid w:val="0B9303BC"/>
    <w:rsid w:val="0DA217FD"/>
    <w:rsid w:val="1AE30B16"/>
    <w:rsid w:val="1C8F09B7"/>
    <w:rsid w:val="27AF3575"/>
    <w:rsid w:val="2FB21945"/>
    <w:rsid w:val="32B3582F"/>
    <w:rsid w:val="42732498"/>
    <w:rsid w:val="42886AF3"/>
    <w:rsid w:val="4916425B"/>
    <w:rsid w:val="4E76747F"/>
    <w:rsid w:val="5E93224D"/>
    <w:rsid w:val="5EA447A6"/>
    <w:rsid w:val="62CF452C"/>
    <w:rsid w:val="67205F07"/>
    <w:rsid w:val="6D7B2BF3"/>
    <w:rsid w:val="752344B4"/>
    <w:rsid w:val="7AA83460"/>
    <w:rsid w:val="7E4C028A"/>
    <w:rsid w:val="7ED43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unhideWhenUsed/>
    <w:qFormat/>
    <w:uiPriority w:val="35"/>
    <w:rPr>
      <w:rFonts w:ascii="Calibri Light" w:hAnsi="Calibri Light"/>
      <w:sz w:val="20"/>
      <w:szCs w:val="20"/>
    </w:rPr>
  </w:style>
  <w:style w:type="paragraph" w:styleId="3">
    <w:name w:val="Balloon Text"/>
    <w:basedOn w:val="1"/>
    <w:link w:val="12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6">
    <w:name w:val="Normal (Web)"/>
    <w:basedOn w:val="1"/>
    <w:unhideWhenUsed/>
    <w:qFormat/>
    <w:uiPriority w:val="99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 w:val="24"/>
      <w:szCs w:val="24"/>
    </w:rPr>
  </w:style>
  <w:style w:type="table" w:styleId="8">
    <w:name w:val="Table Grid"/>
    <w:basedOn w:val="7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table" w:customStyle="1" w:styleId="11">
    <w:name w:val="网格型浅色1"/>
    <w:basedOn w:val="7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character" w:customStyle="1" w:styleId="12">
    <w:name w:val="批注框文本 字符"/>
    <w:basedOn w:val="9"/>
    <w:link w:val="3"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5DE27C-9C0F-498A-9726-FC6BCD4E8B8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1385</Words>
  <Characters>1400</Characters>
  <Lines>10</Lines>
  <Paragraphs>3</Paragraphs>
  <TotalTime>6291</TotalTime>
  <ScaleCrop>false</ScaleCrop>
  <LinksUpToDate>false</LinksUpToDate>
  <CharactersWithSpaces>1403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2024-12-18T08:58:00Z</dcterms:created>
  <dc:creator>sun</dc:creator>
  <cp:lastModifiedBy>Anna</cp:lastModifiedBy>
  <dcterms:modified xsi:type="dcterms:W3CDTF">2026-04-03T01:55:32Z</dcterms:modified>
  <dc:title>周丽老师简介：</dc:title>
  <cp:revision>167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eyJoZGlkIjoiZTQ4ODQwNThiYTg4YTBlNDhkZDRmNGNiNWM5NWE1YzAiLCJ1c2VySWQiOiIxMzQ5ODE0ODAxIn0=</vt:lpwstr>
  </property>
  <property fmtid="{D5CDD505-2E9C-101B-9397-08002B2CF9AE}" pid="4" name="ICV">
    <vt:lpwstr>446CE0FA35184B8289FBB225E82B3DFF_12</vt:lpwstr>
  </property>
</Properties>
</file>