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E84964B">
      <w:pPr>
        <w:pStyle w:val="6"/>
        <w:rPr>
          <w:rFonts w:hint="eastAsia"/>
        </w:rPr>
      </w:pPr>
      <w:r>
        <w:rPr>
          <w:rFonts w:hint="eastAsia" w:ascii="微软雅黑" w:hAnsi="微软雅黑" w:eastAsia="微软雅黑"/>
          <w:b/>
          <w:bCs/>
          <w:color w:val="00000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144145</wp:posOffset>
            </wp:positionV>
            <wp:extent cx="1832610" cy="2560320"/>
            <wp:effectExtent l="0" t="0" r="8890" b="5080"/>
            <wp:wrapSquare wrapText="bothSides"/>
            <wp:docPr id="1" name="图片 1" descr="86df2214eeb27f83ea2f0153ff0dc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df2214eeb27f83ea2f0153ff0dccd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F4224">
      <w:pPr>
        <w:spacing w:line="480" w:lineRule="exact"/>
        <w:jc w:val="left"/>
      </w:pPr>
    </w:p>
    <w:p w14:paraId="47247C8A">
      <w:pPr>
        <w:spacing w:line="480" w:lineRule="exact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李红岩老师</w:t>
      </w:r>
    </w:p>
    <w:p w14:paraId="664056E2">
      <w:pPr>
        <w:spacing w:line="480" w:lineRule="exact"/>
        <w:rPr>
          <w:rFonts w:hint="eastAsia" w:ascii="微软雅黑" w:hAnsi="微软雅黑" w:eastAsia="微软雅黑"/>
          <w:b/>
          <w:bCs/>
          <w:color w:val="000000"/>
          <w:lang w:eastAsia="zh-CN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</w:rPr>
        <w:t xml:space="preserve">资产架构、资本市场、跨境事务、税务合规   </w:t>
      </w:r>
    </w:p>
    <w:p w14:paraId="3D544AB0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</w:rPr>
        <w:t>朝曦企业家办公室南区负责人</w:t>
      </w:r>
    </w:p>
    <w:p w14:paraId="73E9D28C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</w:rPr>
        <w:t>多家私人银行常年合作讲师</w:t>
      </w:r>
    </w:p>
    <w:p w14:paraId="39998714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曾任：海外券商内地首席代表</w:t>
      </w:r>
    </w:p>
    <w:p w14:paraId="79A25666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南开大学金融硕士</w:t>
      </w:r>
    </w:p>
    <w:p w14:paraId="6CED431F">
      <w:pPr>
        <w:spacing w:line="480" w:lineRule="exact"/>
        <w:jc w:val="left"/>
        <w:rPr>
          <w:rFonts w:hint="eastAsia" w:asciiTheme="minorEastAsia" w:hAnsiTheme="minorEastAsia" w:eastAsiaTheme="minorEastAsia"/>
          <w:sz w:val="24"/>
          <w:szCs w:val="24"/>
        </w:rPr>
      </w:pPr>
    </w:p>
    <w:p w14:paraId="1CDCC598">
      <w:pPr>
        <w:spacing w:line="480" w:lineRule="exact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资产架构专家，拥有海外资本市场20多年从业经历，协助数十家华南家族企业通过IPO或并购走向海外资本市场，长期从事资本市场、中外税法及财富架构实践与服务，对跨境财富配置、投融资金融工具与法税具深刻理解，擅长家族企业的跨境资产架构搭建及传承规划。</w:t>
      </w:r>
    </w:p>
    <w:p w14:paraId="0870CE43">
      <w:pPr>
        <w:spacing w:line="480" w:lineRule="exact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曾加入朝曦企业家办公室后，先后服务数百家高净值客户，为其提供一系列解决方案并负责落地。协助多家金融机构达成多项代表性业务，包括境内外双架构家族信托，港美股上市员工激励信托，多资产全维度家族信托，多国别跨境投资税务筹划业务等。</w:t>
      </w:r>
    </w:p>
    <w:p w14:paraId="047E3A69">
      <w:pPr>
        <w:spacing w:line="480" w:lineRule="exact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  <w:t xml:space="preserve">部分服务机构： </w:t>
      </w:r>
    </w:p>
    <w:p w14:paraId="0A060E96">
      <w:pPr>
        <w:tabs>
          <w:tab w:val="left" w:pos="7133"/>
          <w:tab w:val="left" w:pos="8707"/>
        </w:tabs>
        <w:spacing w:line="480" w:lineRule="exact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中信银行、民生银行、兴业银行、宁波银行、招商银行、恒生银行、中信保诚保险、中信建投证券、云南信托等</w:t>
      </w:r>
    </w:p>
    <w:p w14:paraId="35892BD3">
      <w:pPr>
        <w:tabs>
          <w:tab w:val="left" w:pos="7133"/>
          <w:tab w:val="left" w:pos="8707"/>
        </w:tabs>
        <w:spacing w:line="480" w:lineRule="exact"/>
        <w:jc w:val="lef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</w:p>
    <w:p w14:paraId="6BC23B53">
      <w:pPr>
        <w:spacing w:line="480" w:lineRule="exact"/>
        <w:ind w:right="28"/>
        <w:rPr>
          <w:rFonts w:hint="eastAsia" w:asciiTheme="minorEastAsia" w:hAnsiTheme="minorEastAsia" w:eastAsiaTheme="minorEastAsia"/>
          <w:bCs/>
          <w:color w:val="003399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  <w:t>咨询培训风格</w:t>
      </w:r>
      <w:r>
        <w:rPr>
          <w:rFonts w:hint="eastAsia" w:asciiTheme="minorEastAsia" w:hAnsiTheme="minorEastAsia" w:eastAsiaTheme="minorEastAsia"/>
          <w:bCs/>
          <w:color w:val="003399"/>
          <w:sz w:val="24"/>
          <w:szCs w:val="24"/>
        </w:rPr>
        <w:t>：</w:t>
      </w:r>
    </w:p>
    <w:p w14:paraId="01935D33">
      <w:pPr>
        <w:pStyle w:val="10"/>
        <w:numPr>
          <w:ilvl w:val="0"/>
          <w:numId w:val="2"/>
        </w:numPr>
        <w:spacing w:line="480" w:lineRule="exact"/>
        <w:ind w:firstLineChars="0"/>
        <w:jc w:val="lef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涵盖广泛：可覆盖家族及企业全维度、多资产架构，法律，税务等多主题、多层次</w:t>
      </w:r>
    </w:p>
    <w:p w14:paraId="6343F200">
      <w:pPr>
        <w:pStyle w:val="10"/>
        <w:numPr>
          <w:ilvl w:val="0"/>
          <w:numId w:val="2"/>
        </w:numPr>
        <w:spacing w:line="480" w:lineRule="exact"/>
        <w:ind w:firstLineChars="0"/>
        <w:jc w:val="lef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知识渊博：结合全球视野、历史沿革及标志事件，预判政策趋向，与时俱进</w:t>
      </w:r>
    </w:p>
    <w:p w14:paraId="58769346">
      <w:pPr>
        <w:pStyle w:val="10"/>
        <w:numPr>
          <w:ilvl w:val="0"/>
          <w:numId w:val="2"/>
        </w:numPr>
        <w:spacing w:line="480" w:lineRule="exact"/>
        <w:ind w:firstLineChars="0"/>
        <w:jc w:val="lef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案例生动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：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可基于众多真实操盘案例融会贯通，并以故事形式分享</w:t>
      </w:r>
    </w:p>
    <w:p w14:paraId="1838966E">
      <w:pPr>
        <w:pStyle w:val="10"/>
        <w:numPr>
          <w:ilvl w:val="0"/>
          <w:numId w:val="2"/>
        </w:numPr>
        <w:spacing w:line="480" w:lineRule="exact"/>
        <w:ind w:firstLineChars="0"/>
        <w:jc w:val="lef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通俗易懂：能够深入浅出将复杂的法规案例以通俗易懂的方式表达</w:t>
      </w:r>
    </w:p>
    <w:p w14:paraId="1FEB3377">
      <w:pPr>
        <w:spacing w:line="480" w:lineRule="exact"/>
        <w:jc w:val="left"/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</w:pPr>
    </w:p>
    <w:p w14:paraId="7640B17D">
      <w:pPr>
        <w:spacing w:line="480" w:lineRule="exact"/>
        <w:jc w:val="left"/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  <w:t>专业资格认证：</w:t>
      </w:r>
      <w:r>
        <w:rPr>
          <w:rFonts w:hint="eastAsia" w:asciiTheme="minorEastAsia" w:hAnsiTheme="minorEastAsia" w:eastAsiaTheme="min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中级会计师，香港证券、期货从业资格</w:t>
      </w:r>
    </w:p>
    <w:p w14:paraId="167A83B8">
      <w:pPr>
        <w:spacing w:line="480" w:lineRule="exact"/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</w:pPr>
    </w:p>
    <w:p w14:paraId="29035963">
      <w:pPr>
        <w:spacing w:line="480" w:lineRule="exact"/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</w:pPr>
    </w:p>
    <w:p w14:paraId="7FB91E67">
      <w:pPr>
        <w:spacing w:line="480" w:lineRule="exact"/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</w:pPr>
    </w:p>
    <w:p w14:paraId="79DC0E3F">
      <w:pPr>
        <w:spacing w:line="480" w:lineRule="exact"/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  <w:t>主讲课程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7365"/>
      </w:tblGrid>
      <w:tr w14:paraId="2911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263" w:type="dxa"/>
            <w:vMerge w:val="restart"/>
          </w:tcPr>
          <w:p w14:paraId="54CC255A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58907FD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35915E3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0A23D53">
            <w:pPr>
              <w:spacing w:line="480" w:lineRule="exact"/>
              <w:jc w:val="both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主讲课程</w:t>
            </w:r>
          </w:p>
        </w:tc>
        <w:tc>
          <w:tcPr>
            <w:tcW w:w="7365" w:type="dxa"/>
          </w:tcPr>
          <w:p w14:paraId="5B17547F">
            <w:pPr>
              <w:spacing w:line="480" w:lineRule="exact"/>
              <w:rPr>
                <w:rFonts w:hint="eastAsia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《企业全生命周期股权架构设计核心原则与误区》</w:t>
            </w:r>
          </w:p>
        </w:tc>
      </w:tr>
      <w:tr w14:paraId="6754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263" w:type="dxa"/>
            <w:vMerge w:val="continue"/>
            <w:tcBorders/>
          </w:tcPr>
          <w:p w14:paraId="248A5473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69D68FB9">
            <w:pPr>
              <w:spacing w:line="480" w:lineRule="exact"/>
              <w:rPr>
                <w:rFonts w:hint="eastAsia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《高净值人士涉税常见误区及资产架构新趋势》</w:t>
            </w:r>
          </w:p>
        </w:tc>
      </w:tr>
      <w:tr w14:paraId="12C6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  <w:tcBorders/>
          </w:tcPr>
          <w:p w14:paraId="1AB302CE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607F6809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3399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《金税四期下企业主个人税务合规与“公转私”路径重塑》</w:t>
            </w:r>
          </w:p>
        </w:tc>
      </w:tr>
      <w:tr w14:paraId="7F87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  <w:tcBorders/>
          </w:tcPr>
          <w:p w14:paraId="3FB79C4B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01F3C2DD">
            <w:pPr>
              <w:spacing w:line="480" w:lineRule="exact"/>
              <w:rPr>
                <w:rFonts w:hint="eastAsia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《境内外投资架构的安排及税收政策适用性介绍》</w:t>
            </w:r>
          </w:p>
        </w:tc>
      </w:tr>
      <w:tr w14:paraId="4009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  <w:tcBorders/>
          </w:tcPr>
          <w:p w14:paraId="642CCCF4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25BF897B">
            <w:pPr>
              <w:spacing w:line="480" w:lineRule="exact"/>
              <w:rPr>
                <w:rFonts w:hint="eastAsia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《CRS环境下中国个税合规与境外收入申报》</w:t>
            </w:r>
          </w:p>
        </w:tc>
      </w:tr>
      <w:tr w14:paraId="666D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  <w:tcBorders/>
          </w:tcPr>
          <w:p w14:paraId="7693933B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16842430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3399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《家庭内部视角下的婚姻、债务与遗产风险管理》</w:t>
            </w:r>
          </w:p>
        </w:tc>
      </w:tr>
      <w:tr w14:paraId="1BF2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  <w:tcBorders/>
          </w:tcPr>
          <w:p w14:paraId="3A04A440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5F1DF953">
            <w:pPr>
              <w:spacing w:line="480" w:lineRule="exact"/>
              <w:rPr>
                <w:rFonts w:hint="eastAsia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《员工股权激励方案设计与税收合规》</w:t>
            </w:r>
          </w:p>
        </w:tc>
      </w:tr>
      <w:tr w14:paraId="6B683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  <w:tcBorders/>
          </w:tcPr>
          <w:p w14:paraId="0D31A7F7">
            <w:pPr>
              <w:spacing w:line="480" w:lineRule="exact"/>
              <w:rPr>
                <w:rFonts w:hint="eastAsia" w:asciiTheme="minorEastAsia" w:hAnsiTheme="minorEastAsia" w:eastAsiaTheme="minor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46824AC0">
            <w:pPr>
              <w:spacing w:line="48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跨境电商行业合规运营及财税案例分享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》</w:t>
            </w:r>
          </w:p>
        </w:tc>
      </w:tr>
    </w:tbl>
    <w:p w14:paraId="00AD7DEB">
      <w:pPr>
        <w:spacing w:line="480" w:lineRule="exact"/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</w:pPr>
    </w:p>
    <w:p w14:paraId="54074537">
      <w:pPr>
        <w:spacing w:line="480" w:lineRule="exact"/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color w:val="003399"/>
          <w:sz w:val="24"/>
          <w:szCs w:val="24"/>
        </w:rPr>
        <w:t>部分培训与项目案例：</w:t>
      </w:r>
      <w:r>
        <w:rPr>
          <w:rFonts w:asciiTheme="minorEastAsia" w:hAnsiTheme="minorEastAsia" w:eastAsiaTheme="minorEastAsia"/>
          <w:b/>
          <w:color w:val="003399"/>
          <w:sz w:val="24"/>
          <w:szCs w:val="24"/>
        </w:rPr>
        <w:t xml:space="preserve"> </w:t>
      </w:r>
    </w:p>
    <w:p w14:paraId="20C7D4BF">
      <w:pPr>
        <w:pStyle w:val="10"/>
        <w:numPr>
          <w:ilvl w:val="0"/>
          <w:numId w:val="3"/>
        </w:numPr>
        <w:spacing w:line="480" w:lineRule="exact"/>
        <w:ind w:firstLineChars="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《</w:t>
      </w:r>
      <w:r>
        <w:rPr>
          <w:rFonts w:hint="eastAsia" w:asciiTheme="minorEastAsia" w:hAnsiTheme="minorEastAsia" w:eastAsiaTheme="minorEastAsia"/>
          <w:sz w:val="24"/>
          <w:szCs w:val="24"/>
        </w:rPr>
        <w:t>高净值人士涉税常见误区及资产架构新趋势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》</w:t>
      </w:r>
    </w:p>
    <w:p w14:paraId="4106BA37">
      <w:pPr>
        <w:spacing w:line="480" w:lineRule="exact"/>
        <w:rPr>
          <w:rFonts w:hint="eastAsia"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该课程主要针对高净值人群在企业经营、投融资、财富管理中的显著痛点：往往存在涉税认知误区，或给自身带来潜在税务问题。通过课程认知了解相应税务政策，并合理运用有效架构工具，其中与私人银行主要业务板块：股权、债权类服务信托结合紧密。该课程为各家私人银行长期采购，以最通俗的语言及实战经验，普及相关知识，并有效植入或转化服务信托业务。</w:t>
      </w:r>
    </w:p>
    <w:p w14:paraId="529D8D21">
      <w:pPr>
        <w:spacing w:line="480" w:lineRule="exact"/>
        <w:rPr>
          <w:rFonts w:hint="eastAsia" w:asciiTheme="minorEastAsia" w:hAnsiTheme="minorEastAsia" w:eastAsiaTheme="minorEastAsia"/>
          <w:bCs/>
          <w:sz w:val="24"/>
          <w:szCs w:val="24"/>
        </w:rPr>
      </w:pPr>
    </w:p>
    <w:p w14:paraId="2637A840">
      <w:pPr>
        <w:pStyle w:val="10"/>
        <w:numPr>
          <w:ilvl w:val="0"/>
          <w:numId w:val="3"/>
        </w:numPr>
        <w:spacing w:line="480" w:lineRule="exact"/>
        <w:ind w:firstLineChars="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《</w:t>
      </w:r>
      <w:r>
        <w:rPr>
          <w:rFonts w:hint="eastAsia" w:asciiTheme="minorEastAsia" w:hAnsiTheme="minorEastAsia" w:eastAsiaTheme="minorEastAsia"/>
          <w:sz w:val="24"/>
          <w:szCs w:val="24"/>
        </w:rPr>
        <w:t>家庭内部视角下的婚姻、债务与遗产风险管理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》</w:t>
      </w:r>
    </w:p>
    <w:p w14:paraId="2BF73F9E">
      <w:pPr>
        <w:spacing w:line="48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通过故事化的综合案例，主要讲解：家企债务隔离策略-个人无限连带责任风险识别与防范措施；遗产规划与继承安排-法定继承、遗嘱继承、遗产管理人制度的利弊与实操；婚姻财富风险防范工具包-婚内财产协议、家族信托、大额保单的对比与应用。旨在运用法律与金融工具，为高净值家庭建立一道内部风险“防火墙”。其生动易懂，受到高净值人士欢迎，课后普遍思考自身的财富防守策略。</w:t>
      </w:r>
    </w:p>
    <w:p w14:paraId="7F1FD1C1">
      <w:pPr>
        <w:spacing w:line="480" w:lineRule="exact"/>
        <w:rPr>
          <w:rFonts w:hint="eastAsia" w:asciiTheme="minorEastAsia" w:hAnsiTheme="minorEastAsia" w:eastAsiaTheme="minorEastAsia"/>
          <w:sz w:val="24"/>
          <w:szCs w:val="24"/>
        </w:rPr>
      </w:pPr>
    </w:p>
    <w:p w14:paraId="6459AD9B">
      <w:pPr>
        <w:pStyle w:val="10"/>
        <w:numPr>
          <w:ilvl w:val="0"/>
          <w:numId w:val="3"/>
        </w:numPr>
        <w:spacing w:line="480" w:lineRule="exact"/>
        <w:ind w:firstLineChars="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《</w:t>
      </w:r>
      <w:r>
        <w:rPr>
          <w:rFonts w:hint="eastAsia" w:asciiTheme="minorEastAsia" w:hAnsiTheme="minorEastAsia" w:eastAsiaTheme="minorEastAsia"/>
          <w:sz w:val="24"/>
          <w:szCs w:val="24"/>
        </w:rPr>
        <w:t>CRS环境下中国个税合规与境外收入申报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》</w:t>
      </w:r>
    </w:p>
    <w:p w14:paraId="4C56CB45">
      <w:pPr>
        <w:spacing w:line="48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CRS环境下个人境外收入开始从严申报后，大量高净值人群开始关注自身的境外资产安排，因此，该课程围绕：中国税务居民身份与全球申报义务判定；常见境外收入类型的税务处理：股息、利息、转让境外公司股权、境外薪资的申报方法与税率；CRS机制深度解读与案例警示：信息交换逻辑、常见交换内容及已公开稽查案例解析等内容，聚焦政策、痛点、解决方案，为客户展开完整图谱。多场课程活动后，对客户最关心的境外保险保险配置，给出客观准确的指导意见。</w:t>
      </w:r>
    </w:p>
    <w:p w14:paraId="4D1AFCE9">
      <w:pPr>
        <w:spacing w:line="480" w:lineRule="exact"/>
        <w:rPr>
          <w:rFonts w:hint="eastAsia" w:asciiTheme="minorEastAsia" w:hAnsiTheme="minorEastAsia" w:eastAsiaTheme="minorEastAsia"/>
          <w:sz w:val="24"/>
          <w:szCs w:val="24"/>
        </w:rPr>
      </w:pPr>
    </w:p>
    <w:p w14:paraId="53B36538">
      <w:pPr>
        <w:pStyle w:val="10"/>
        <w:numPr>
          <w:ilvl w:val="0"/>
          <w:numId w:val="3"/>
        </w:numPr>
        <w:spacing w:line="480" w:lineRule="exact"/>
        <w:ind w:firstLineChars="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《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跨境电商行业合规运营及财税案例分享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》</w:t>
      </w:r>
    </w:p>
    <w:p w14:paraId="788C4E9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聚焦电商企业在新监管环境下的运营模式、财税合规痛点与实战应对策略，系统解析电商运营实操和监管趋势，深度剖析申报差异、无票采购、刷单界定、跨境出口合规（0110/9610/ 1210/1039等报关模式）等核心难题，并结合国内及跨境平台的真实案例，提供从经营模式</w:t>
      </w:r>
      <w:bookmarkStart w:id="0" w:name="_GoBack"/>
      <w:bookmarkEnd w:id="0"/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调整、股权架构优化到发票与资金流合规设计的全链路解决方案，助力企业实现精细化运营与可持续降本。</w:t>
      </w:r>
    </w:p>
    <w:p w14:paraId="3BA05134">
      <w:pPr>
        <w:pStyle w:val="10"/>
        <w:numPr>
          <w:numId w:val="0"/>
        </w:numPr>
        <w:spacing w:line="480" w:lineRule="exact"/>
        <w:ind w:leftChars="0"/>
        <w:rPr>
          <w:rFonts w:hint="eastAsia" w:asciiTheme="minorEastAsia" w:hAnsiTheme="minorEastAsia" w:eastAsiaTheme="minorEastAsia"/>
          <w:sz w:val="24"/>
          <w:szCs w:val="24"/>
        </w:rPr>
      </w:pPr>
    </w:p>
    <w:p w14:paraId="5E95C8D4">
      <w:pPr>
        <w:spacing w:line="480" w:lineRule="exact"/>
        <w:rPr>
          <w:rFonts w:hint="eastAsia" w:asciiTheme="minorEastAsia" w:hAnsiTheme="minorEastAsia" w:eastAsiaTheme="minorEastAsia"/>
          <w:sz w:val="24"/>
          <w:szCs w:val="24"/>
        </w:rPr>
      </w:pPr>
    </w:p>
    <w:sectPr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884D04"/>
    <w:multiLevelType w:val="singleLevel"/>
    <w:tmpl w:val="C1884D0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6051335"/>
    <w:multiLevelType w:val="multilevel"/>
    <w:tmpl w:val="06051335"/>
    <w:lvl w:ilvl="0" w:tentative="0">
      <w:start w:val="1"/>
      <w:numFmt w:val="bullet"/>
      <w:lvlText w:val="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2EAF284F"/>
    <w:multiLevelType w:val="multilevel"/>
    <w:tmpl w:val="2EAF284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560"/>
    <w:rsid w:val="000009D6"/>
    <w:rsid w:val="000028C2"/>
    <w:rsid w:val="00006EF8"/>
    <w:rsid w:val="00013E5C"/>
    <w:rsid w:val="00014CD1"/>
    <w:rsid w:val="00015007"/>
    <w:rsid w:val="000163BB"/>
    <w:rsid w:val="000227E3"/>
    <w:rsid w:val="00022C73"/>
    <w:rsid w:val="0002336F"/>
    <w:rsid w:val="00023B8B"/>
    <w:rsid w:val="00023D60"/>
    <w:rsid w:val="000251A1"/>
    <w:rsid w:val="00031C10"/>
    <w:rsid w:val="00031D6F"/>
    <w:rsid w:val="000329F1"/>
    <w:rsid w:val="000350A5"/>
    <w:rsid w:val="00040643"/>
    <w:rsid w:val="0004687B"/>
    <w:rsid w:val="000537BE"/>
    <w:rsid w:val="00053E84"/>
    <w:rsid w:val="00056934"/>
    <w:rsid w:val="00061C12"/>
    <w:rsid w:val="00061F85"/>
    <w:rsid w:val="00065B4E"/>
    <w:rsid w:val="0006600B"/>
    <w:rsid w:val="00071859"/>
    <w:rsid w:val="00073EA2"/>
    <w:rsid w:val="000742CD"/>
    <w:rsid w:val="000758FF"/>
    <w:rsid w:val="00075D94"/>
    <w:rsid w:val="00080218"/>
    <w:rsid w:val="00083F62"/>
    <w:rsid w:val="0008502B"/>
    <w:rsid w:val="0008589C"/>
    <w:rsid w:val="00090893"/>
    <w:rsid w:val="00090C3E"/>
    <w:rsid w:val="0009246E"/>
    <w:rsid w:val="000933B7"/>
    <w:rsid w:val="000A0099"/>
    <w:rsid w:val="000A17AE"/>
    <w:rsid w:val="000A2C01"/>
    <w:rsid w:val="000A3003"/>
    <w:rsid w:val="000A61D6"/>
    <w:rsid w:val="000A6315"/>
    <w:rsid w:val="000A6C94"/>
    <w:rsid w:val="000A711D"/>
    <w:rsid w:val="000A712B"/>
    <w:rsid w:val="000A7F34"/>
    <w:rsid w:val="000B079F"/>
    <w:rsid w:val="000B42E2"/>
    <w:rsid w:val="000B59CE"/>
    <w:rsid w:val="000C1163"/>
    <w:rsid w:val="000C14CB"/>
    <w:rsid w:val="000C252E"/>
    <w:rsid w:val="000C7524"/>
    <w:rsid w:val="000C75BF"/>
    <w:rsid w:val="000D0CDE"/>
    <w:rsid w:val="000D3FA9"/>
    <w:rsid w:val="000D4DA2"/>
    <w:rsid w:val="000D7492"/>
    <w:rsid w:val="000D7F81"/>
    <w:rsid w:val="000E0E3B"/>
    <w:rsid w:val="000E1350"/>
    <w:rsid w:val="000E69EC"/>
    <w:rsid w:val="000E7CE6"/>
    <w:rsid w:val="000F03DF"/>
    <w:rsid w:val="000F1706"/>
    <w:rsid w:val="000F19FD"/>
    <w:rsid w:val="000F3B43"/>
    <w:rsid w:val="000F4C3B"/>
    <w:rsid w:val="000F7CFE"/>
    <w:rsid w:val="001002BE"/>
    <w:rsid w:val="00103A03"/>
    <w:rsid w:val="00104919"/>
    <w:rsid w:val="0010564B"/>
    <w:rsid w:val="001063E4"/>
    <w:rsid w:val="001117E2"/>
    <w:rsid w:val="00113326"/>
    <w:rsid w:val="00114646"/>
    <w:rsid w:val="0011753C"/>
    <w:rsid w:val="00120DB1"/>
    <w:rsid w:val="00123315"/>
    <w:rsid w:val="00125C51"/>
    <w:rsid w:val="00125CEB"/>
    <w:rsid w:val="001266C0"/>
    <w:rsid w:val="0013137F"/>
    <w:rsid w:val="00133795"/>
    <w:rsid w:val="00134982"/>
    <w:rsid w:val="001358AF"/>
    <w:rsid w:val="0014473C"/>
    <w:rsid w:val="001479DA"/>
    <w:rsid w:val="001563A0"/>
    <w:rsid w:val="00161309"/>
    <w:rsid w:val="001635B8"/>
    <w:rsid w:val="00164627"/>
    <w:rsid w:val="00165CCD"/>
    <w:rsid w:val="00172A27"/>
    <w:rsid w:val="00175CCC"/>
    <w:rsid w:val="00176576"/>
    <w:rsid w:val="00176BAE"/>
    <w:rsid w:val="00176BAF"/>
    <w:rsid w:val="0017722B"/>
    <w:rsid w:val="001773C0"/>
    <w:rsid w:val="001827B1"/>
    <w:rsid w:val="00184FB0"/>
    <w:rsid w:val="001913ED"/>
    <w:rsid w:val="00191781"/>
    <w:rsid w:val="001921C0"/>
    <w:rsid w:val="00192C11"/>
    <w:rsid w:val="00193547"/>
    <w:rsid w:val="00195902"/>
    <w:rsid w:val="00196FFD"/>
    <w:rsid w:val="001A06BE"/>
    <w:rsid w:val="001A1C90"/>
    <w:rsid w:val="001A1D2D"/>
    <w:rsid w:val="001B1C92"/>
    <w:rsid w:val="001B38D0"/>
    <w:rsid w:val="001B4F34"/>
    <w:rsid w:val="001B5909"/>
    <w:rsid w:val="001B6C9D"/>
    <w:rsid w:val="001C642B"/>
    <w:rsid w:val="001C6DE1"/>
    <w:rsid w:val="001D4F25"/>
    <w:rsid w:val="001D6D9F"/>
    <w:rsid w:val="001E1E8D"/>
    <w:rsid w:val="001E684A"/>
    <w:rsid w:val="001F21D6"/>
    <w:rsid w:val="001F2662"/>
    <w:rsid w:val="001F4F3C"/>
    <w:rsid w:val="001F5E50"/>
    <w:rsid w:val="001F7F01"/>
    <w:rsid w:val="00200AC6"/>
    <w:rsid w:val="00202495"/>
    <w:rsid w:val="00215BB8"/>
    <w:rsid w:val="0021624D"/>
    <w:rsid w:val="00217E22"/>
    <w:rsid w:val="0022157E"/>
    <w:rsid w:val="002226A5"/>
    <w:rsid w:val="002263D2"/>
    <w:rsid w:val="00231F73"/>
    <w:rsid w:val="00232866"/>
    <w:rsid w:val="00240184"/>
    <w:rsid w:val="00241976"/>
    <w:rsid w:val="00244116"/>
    <w:rsid w:val="002503C3"/>
    <w:rsid w:val="00251927"/>
    <w:rsid w:val="002535ED"/>
    <w:rsid w:val="00256131"/>
    <w:rsid w:val="00257A7F"/>
    <w:rsid w:val="00263565"/>
    <w:rsid w:val="00264734"/>
    <w:rsid w:val="00267102"/>
    <w:rsid w:val="002701AB"/>
    <w:rsid w:val="002755F1"/>
    <w:rsid w:val="00276F41"/>
    <w:rsid w:val="002807C5"/>
    <w:rsid w:val="00281E91"/>
    <w:rsid w:val="0028368C"/>
    <w:rsid w:val="00292AD7"/>
    <w:rsid w:val="0029312E"/>
    <w:rsid w:val="002964DD"/>
    <w:rsid w:val="002979EB"/>
    <w:rsid w:val="002A0508"/>
    <w:rsid w:val="002A6686"/>
    <w:rsid w:val="002B0250"/>
    <w:rsid w:val="002B21B5"/>
    <w:rsid w:val="002B2F5A"/>
    <w:rsid w:val="002B3711"/>
    <w:rsid w:val="002B712A"/>
    <w:rsid w:val="002C1198"/>
    <w:rsid w:val="002C1892"/>
    <w:rsid w:val="002C1CFA"/>
    <w:rsid w:val="002C1D6D"/>
    <w:rsid w:val="002C22AD"/>
    <w:rsid w:val="002C2635"/>
    <w:rsid w:val="002C40F6"/>
    <w:rsid w:val="002D153D"/>
    <w:rsid w:val="002D3618"/>
    <w:rsid w:val="002D5A1B"/>
    <w:rsid w:val="002D6E90"/>
    <w:rsid w:val="002E20E4"/>
    <w:rsid w:val="002E21F9"/>
    <w:rsid w:val="002E6CCF"/>
    <w:rsid w:val="002F53FA"/>
    <w:rsid w:val="002F5B99"/>
    <w:rsid w:val="00301DE4"/>
    <w:rsid w:val="00303296"/>
    <w:rsid w:val="003053B0"/>
    <w:rsid w:val="00306486"/>
    <w:rsid w:val="00310613"/>
    <w:rsid w:val="00316D9A"/>
    <w:rsid w:val="00316E3D"/>
    <w:rsid w:val="00317029"/>
    <w:rsid w:val="00320DF0"/>
    <w:rsid w:val="00323963"/>
    <w:rsid w:val="003261C8"/>
    <w:rsid w:val="003265F3"/>
    <w:rsid w:val="003319FF"/>
    <w:rsid w:val="00332909"/>
    <w:rsid w:val="00333866"/>
    <w:rsid w:val="00334290"/>
    <w:rsid w:val="0034546B"/>
    <w:rsid w:val="00347965"/>
    <w:rsid w:val="003530F3"/>
    <w:rsid w:val="003557F3"/>
    <w:rsid w:val="0035597E"/>
    <w:rsid w:val="003608CC"/>
    <w:rsid w:val="0036134D"/>
    <w:rsid w:val="00366E45"/>
    <w:rsid w:val="0036717B"/>
    <w:rsid w:val="00371D9D"/>
    <w:rsid w:val="003752AE"/>
    <w:rsid w:val="00375966"/>
    <w:rsid w:val="00376D5C"/>
    <w:rsid w:val="00377FB5"/>
    <w:rsid w:val="0038255A"/>
    <w:rsid w:val="00383425"/>
    <w:rsid w:val="00387E8F"/>
    <w:rsid w:val="00391ADA"/>
    <w:rsid w:val="00392E47"/>
    <w:rsid w:val="003A1EE7"/>
    <w:rsid w:val="003A30C7"/>
    <w:rsid w:val="003A539D"/>
    <w:rsid w:val="003A68A9"/>
    <w:rsid w:val="003A7EAD"/>
    <w:rsid w:val="003B0435"/>
    <w:rsid w:val="003B0C22"/>
    <w:rsid w:val="003B14BC"/>
    <w:rsid w:val="003C2421"/>
    <w:rsid w:val="003C4E61"/>
    <w:rsid w:val="003C5877"/>
    <w:rsid w:val="003D0561"/>
    <w:rsid w:val="003D28BA"/>
    <w:rsid w:val="003D435F"/>
    <w:rsid w:val="003D7765"/>
    <w:rsid w:val="003E1ACC"/>
    <w:rsid w:val="003F4F09"/>
    <w:rsid w:val="003F7E1E"/>
    <w:rsid w:val="004035D4"/>
    <w:rsid w:val="00403606"/>
    <w:rsid w:val="004071F7"/>
    <w:rsid w:val="0041061F"/>
    <w:rsid w:val="00410891"/>
    <w:rsid w:val="00411F98"/>
    <w:rsid w:val="004135CD"/>
    <w:rsid w:val="00415F94"/>
    <w:rsid w:val="004200F5"/>
    <w:rsid w:val="0042068B"/>
    <w:rsid w:val="00427A8B"/>
    <w:rsid w:val="00435BE0"/>
    <w:rsid w:val="004406ED"/>
    <w:rsid w:val="00440783"/>
    <w:rsid w:val="00443013"/>
    <w:rsid w:val="004436DE"/>
    <w:rsid w:val="00446607"/>
    <w:rsid w:val="00447FA9"/>
    <w:rsid w:val="00451C25"/>
    <w:rsid w:val="00453DA3"/>
    <w:rsid w:val="0045485D"/>
    <w:rsid w:val="004557BF"/>
    <w:rsid w:val="00457128"/>
    <w:rsid w:val="004613A8"/>
    <w:rsid w:val="00466413"/>
    <w:rsid w:val="00466F5D"/>
    <w:rsid w:val="0046722C"/>
    <w:rsid w:val="0047077F"/>
    <w:rsid w:val="00476C5C"/>
    <w:rsid w:val="00481037"/>
    <w:rsid w:val="004863A6"/>
    <w:rsid w:val="00487AE6"/>
    <w:rsid w:val="00487CB9"/>
    <w:rsid w:val="0049307F"/>
    <w:rsid w:val="00496367"/>
    <w:rsid w:val="004A0E1C"/>
    <w:rsid w:val="004A5D0B"/>
    <w:rsid w:val="004A7E92"/>
    <w:rsid w:val="004B1102"/>
    <w:rsid w:val="004B617C"/>
    <w:rsid w:val="004C1861"/>
    <w:rsid w:val="004C4DF1"/>
    <w:rsid w:val="004D4183"/>
    <w:rsid w:val="004D420F"/>
    <w:rsid w:val="004F1BEB"/>
    <w:rsid w:val="004F3406"/>
    <w:rsid w:val="00503D75"/>
    <w:rsid w:val="0050519B"/>
    <w:rsid w:val="00507882"/>
    <w:rsid w:val="005104CF"/>
    <w:rsid w:val="00515961"/>
    <w:rsid w:val="005213DF"/>
    <w:rsid w:val="005221AD"/>
    <w:rsid w:val="00524116"/>
    <w:rsid w:val="0053002E"/>
    <w:rsid w:val="005315B8"/>
    <w:rsid w:val="00531ADB"/>
    <w:rsid w:val="005341C3"/>
    <w:rsid w:val="00535006"/>
    <w:rsid w:val="00536260"/>
    <w:rsid w:val="00536334"/>
    <w:rsid w:val="0053695D"/>
    <w:rsid w:val="00536C6D"/>
    <w:rsid w:val="00537B8E"/>
    <w:rsid w:val="0055037D"/>
    <w:rsid w:val="00550E4C"/>
    <w:rsid w:val="00564536"/>
    <w:rsid w:val="00565E98"/>
    <w:rsid w:val="00566FBE"/>
    <w:rsid w:val="00574F8C"/>
    <w:rsid w:val="00575F2A"/>
    <w:rsid w:val="0057696A"/>
    <w:rsid w:val="0058015D"/>
    <w:rsid w:val="00580A72"/>
    <w:rsid w:val="00580CBD"/>
    <w:rsid w:val="00581212"/>
    <w:rsid w:val="005825BA"/>
    <w:rsid w:val="00583062"/>
    <w:rsid w:val="00583A23"/>
    <w:rsid w:val="0058402E"/>
    <w:rsid w:val="005847FB"/>
    <w:rsid w:val="00586DDE"/>
    <w:rsid w:val="00586DF4"/>
    <w:rsid w:val="0059251F"/>
    <w:rsid w:val="005925CE"/>
    <w:rsid w:val="00597B49"/>
    <w:rsid w:val="005A1235"/>
    <w:rsid w:val="005A3951"/>
    <w:rsid w:val="005A6840"/>
    <w:rsid w:val="005B3990"/>
    <w:rsid w:val="005B5379"/>
    <w:rsid w:val="005B547D"/>
    <w:rsid w:val="005C3136"/>
    <w:rsid w:val="005C573D"/>
    <w:rsid w:val="005C7537"/>
    <w:rsid w:val="005C7C9A"/>
    <w:rsid w:val="005D11C5"/>
    <w:rsid w:val="005D3002"/>
    <w:rsid w:val="005D39FA"/>
    <w:rsid w:val="005E1778"/>
    <w:rsid w:val="005E7C1A"/>
    <w:rsid w:val="005F0B7E"/>
    <w:rsid w:val="005F0C90"/>
    <w:rsid w:val="005F2F6C"/>
    <w:rsid w:val="005F790E"/>
    <w:rsid w:val="005F7B2C"/>
    <w:rsid w:val="006018AE"/>
    <w:rsid w:val="00601B8E"/>
    <w:rsid w:val="006037D6"/>
    <w:rsid w:val="006078A0"/>
    <w:rsid w:val="006131FA"/>
    <w:rsid w:val="00616903"/>
    <w:rsid w:val="00617F73"/>
    <w:rsid w:val="0062011E"/>
    <w:rsid w:val="00622DF4"/>
    <w:rsid w:val="00623EFC"/>
    <w:rsid w:val="00624F12"/>
    <w:rsid w:val="006268AD"/>
    <w:rsid w:val="00630B93"/>
    <w:rsid w:val="006323D1"/>
    <w:rsid w:val="00633D88"/>
    <w:rsid w:val="00635039"/>
    <w:rsid w:val="006354EB"/>
    <w:rsid w:val="00643711"/>
    <w:rsid w:val="00644B59"/>
    <w:rsid w:val="00644E06"/>
    <w:rsid w:val="00644E1A"/>
    <w:rsid w:val="0064651E"/>
    <w:rsid w:val="00647F84"/>
    <w:rsid w:val="006537DE"/>
    <w:rsid w:val="006578F5"/>
    <w:rsid w:val="00660D33"/>
    <w:rsid w:val="00663629"/>
    <w:rsid w:val="006650C4"/>
    <w:rsid w:val="00672208"/>
    <w:rsid w:val="00675A1C"/>
    <w:rsid w:val="00675CFC"/>
    <w:rsid w:val="00676248"/>
    <w:rsid w:val="00686D56"/>
    <w:rsid w:val="00690894"/>
    <w:rsid w:val="00690B3E"/>
    <w:rsid w:val="00690F35"/>
    <w:rsid w:val="0069132B"/>
    <w:rsid w:val="00693AAB"/>
    <w:rsid w:val="0069450E"/>
    <w:rsid w:val="006959C0"/>
    <w:rsid w:val="006A0C51"/>
    <w:rsid w:val="006A168C"/>
    <w:rsid w:val="006A30AF"/>
    <w:rsid w:val="006A42A6"/>
    <w:rsid w:val="006A591A"/>
    <w:rsid w:val="006A68D7"/>
    <w:rsid w:val="006B0BEA"/>
    <w:rsid w:val="006B774A"/>
    <w:rsid w:val="006B777C"/>
    <w:rsid w:val="006C50AD"/>
    <w:rsid w:val="006D1F8D"/>
    <w:rsid w:val="006D22FC"/>
    <w:rsid w:val="006D64DF"/>
    <w:rsid w:val="006D7C18"/>
    <w:rsid w:val="006E1264"/>
    <w:rsid w:val="006E25A4"/>
    <w:rsid w:val="006E289F"/>
    <w:rsid w:val="006E2EA2"/>
    <w:rsid w:val="006E6464"/>
    <w:rsid w:val="006F115E"/>
    <w:rsid w:val="006F4DEF"/>
    <w:rsid w:val="006F59B6"/>
    <w:rsid w:val="006F6720"/>
    <w:rsid w:val="00702E8C"/>
    <w:rsid w:val="00706A34"/>
    <w:rsid w:val="00711315"/>
    <w:rsid w:val="0071551B"/>
    <w:rsid w:val="007173D7"/>
    <w:rsid w:val="00723330"/>
    <w:rsid w:val="00724111"/>
    <w:rsid w:val="007249C3"/>
    <w:rsid w:val="00724B42"/>
    <w:rsid w:val="00726C9F"/>
    <w:rsid w:val="00727B1A"/>
    <w:rsid w:val="007301E8"/>
    <w:rsid w:val="0073453E"/>
    <w:rsid w:val="00737361"/>
    <w:rsid w:val="00737475"/>
    <w:rsid w:val="00737F7A"/>
    <w:rsid w:val="007409EA"/>
    <w:rsid w:val="00740AA0"/>
    <w:rsid w:val="00740CA9"/>
    <w:rsid w:val="007418D1"/>
    <w:rsid w:val="00743D7B"/>
    <w:rsid w:val="007463F0"/>
    <w:rsid w:val="00746F77"/>
    <w:rsid w:val="00747FA1"/>
    <w:rsid w:val="0075091D"/>
    <w:rsid w:val="00751F91"/>
    <w:rsid w:val="007529CE"/>
    <w:rsid w:val="00755303"/>
    <w:rsid w:val="00762C10"/>
    <w:rsid w:val="00770156"/>
    <w:rsid w:val="00770F3E"/>
    <w:rsid w:val="00772CCA"/>
    <w:rsid w:val="007739D7"/>
    <w:rsid w:val="00776F56"/>
    <w:rsid w:val="00780618"/>
    <w:rsid w:val="00782604"/>
    <w:rsid w:val="00783303"/>
    <w:rsid w:val="00785D46"/>
    <w:rsid w:val="00786BF3"/>
    <w:rsid w:val="00786C85"/>
    <w:rsid w:val="00793ADC"/>
    <w:rsid w:val="00794258"/>
    <w:rsid w:val="007A02C6"/>
    <w:rsid w:val="007A1036"/>
    <w:rsid w:val="007A3BF9"/>
    <w:rsid w:val="007A57CA"/>
    <w:rsid w:val="007A79BC"/>
    <w:rsid w:val="007B0FB2"/>
    <w:rsid w:val="007B1319"/>
    <w:rsid w:val="007B3844"/>
    <w:rsid w:val="007B4747"/>
    <w:rsid w:val="007B6EB5"/>
    <w:rsid w:val="007C0249"/>
    <w:rsid w:val="007C1044"/>
    <w:rsid w:val="007C43F8"/>
    <w:rsid w:val="007C4BFE"/>
    <w:rsid w:val="007C4FCF"/>
    <w:rsid w:val="007C626E"/>
    <w:rsid w:val="007C7D98"/>
    <w:rsid w:val="007D5483"/>
    <w:rsid w:val="007E57CE"/>
    <w:rsid w:val="007F2CEF"/>
    <w:rsid w:val="007F2EDB"/>
    <w:rsid w:val="007F513C"/>
    <w:rsid w:val="007F630B"/>
    <w:rsid w:val="00802C81"/>
    <w:rsid w:val="00805619"/>
    <w:rsid w:val="0080791D"/>
    <w:rsid w:val="00812862"/>
    <w:rsid w:val="00813B76"/>
    <w:rsid w:val="00814308"/>
    <w:rsid w:val="00821BF5"/>
    <w:rsid w:val="00823599"/>
    <w:rsid w:val="008235DA"/>
    <w:rsid w:val="00823C5D"/>
    <w:rsid w:val="008242F2"/>
    <w:rsid w:val="008449D8"/>
    <w:rsid w:val="00852443"/>
    <w:rsid w:val="0085601C"/>
    <w:rsid w:val="00860D1A"/>
    <w:rsid w:val="0086515F"/>
    <w:rsid w:val="00865C08"/>
    <w:rsid w:val="0086739B"/>
    <w:rsid w:val="008678B1"/>
    <w:rsid w:val="00870EEF"/>
    <w:rsid w:val="00876FE7"/>
    <w:rsid w:val="00882EA5"/>
    <w:rsid w:val="0088348A"/>
    <w:rsid w:val="00883890"/>
    <w:rsid w:val="00884F46"/>
    <w:rsid w:val="00885CC9"/>
    <w:rsid w:val="008866C8"/>
    <w:rsid w:val="008926E9"/>
    <w:rsid w:val="00892B05"/>
    <w:rsid w:val="0089434D"/>
    <w:rsid w:val="0089472B"/>
    <w:rsid w:val="008A4A3A"/>
    <w:rsid w:val="008B2E64"/>
    <w:rsid w:val="008B32B8"/>
    <w:rsid w:val="008B4D92"/>
    <w:rsid w:val="008B4DFD"/>
    <w:rsid w:val="008B7048"/>
    <w:rsid w:val="008C3BA9"/>
    <w:rsid w:val="008C4B1A"/>
    <w:rsid w:val="008D232B"/>
    <w:rsid w:val="008D5FA0"/>
    <w:rsid w:val="008D606E"/>
    <w:rsid w:val="008E0789"/>
    <w:rsid w:val="008E17CB"/>
    <w:rsid w:val="008E22EC"/>
    <w:rsid w:val="008E2D5C"/>
    <w:rsid w:val="008F5C32"/>
    <w:rsid w:val="00903404"/>
    <w:rsid w:val="0090456B"/>
    <w:rsid w:val="0090473E"/>
    <w:rsid w:val="00906427"/>
    <w:rsid w:val="00907FE7"/>
    <w:rsid w:val="00911B03"/>
    <w:rsid w:val="009137FF"/>
    <w:rsid w:val="00913BA9"/>
    <w:rsid w:val="00916D97"/>
    <w:rsid w:val="009226F3"/>
    <w:rsid w:val="00924C60"/>
    <w:rsid w:val="00925737"/>
    <w:rsid w:val="00926596"/>
    <w:rsid w:val="00926896"/>
    <w:rsid w:val="00936782"/>
    <w:rsid w:val="00937D97"/>
    <w:rsid w:val="00941818"/>
    <w:rsid w:val="009501CA"/>
    <w:rsid w:val="0095295E"/>
    <w:rsid w:val="00957EF1"/>
    <w:rsid w:val="009654DB"/>
    <w:rsid w:val="00965840"/>
    <w:rsid w:val="00965942"/>
    <w:rsid w:val="00973923"/>
    <w:rsid w:val="00973DB0"/>
    <w:rsid w:val="00974D1D"/>
    <w:rsid w:val="0097531B"/>
    <w:rsid w:val="00975BC7"/>
    <w:rsid w:val="0098450F"/>
    <w:rsid w:val="0098725F"/>
    <w:rsid w:val="00987E00"/>
    <w:rsid w:val="00990687"/>
    <w:rsid w:val="00991424"/>
    <w:rsid w:val="00996300"/>
    <w:rsid w:val="00996533"/>
    <w:rsid w:val="009A169B"/>
    <w:rsid w:val="009A4894"/>
    <w:rsid w:val="009A632A"/>
    <w:rsid w:val="009B082C"/>
    <w:rsid w:val="009B1D5A"/>
    <w:rsid w:val="009B2D1B"/>
    <w:rsid w:val="009B5BC7"/>
    <w:rsid w:val="009C34DD"/>
    <w:rsid w:val="009C4748"/>
    <w:rsid w:val="009C4A78"/>
    <w:rsid w:val="009C6AB0"/>
    <w:rsid w:val="009D13B9"/>
    <w:rsid w:val="009D4CA9"/>
    <w:rsid w:val="009D5021"/>
    <w:rsid w:val="009D5345"/>
    <w:rsid w:val="009D5546"/>
    <w:rsid w:val="009E6DF7"/>
    <w:rsid w:val="009F55CD"/>
    <w:rsid w:val="009F6D71"/>
    <w:rsid w:val="00A002CF"/>
    <w:rsid w:val="00A0435F"/>
    <w:rsid w:val="00A04CAA"/>
    <w:rsid w:val="00A04EDB"/>
    <w:rsid w:val="00A05104"/>
    <w:rsid w:val="00A07239"/>
    <w:rsid w:val="00A07362"/>
    <w:rsid w:val="00A12752"/>
    <w:rsid w:val="00A138DA"/>
    <w:rsid w:val="00A202E8"/>
    <w:rsid w:val="00A24EC4"/>
    <w:rsid w:val="00A267F8"/>
    <w:rsid w:val="00A27B2C"/>
    <w:rsid w:val="00A32FF7"/>
    <w:rsid w:val="00A33F0C"/>
    <w:rsid w:val="00A401D5"/>
    <w:rsid w:val="00A405C9"/>
    <w:rsid w:val="00A4222C"/>
    <w:rsid w:val="00A4674D"/>
    <w:rsid w:val="00A46E9A"/>
    <w:rsid w:val="00A515A1"/>
    <w:rsid w:val="00A52EC6"/>
    <w:rsid w:val="00A57070"/>
    <w:rsid w:val="00A629C4"/>
    <w:rsid w:val="00A63BA3"/>
    <w:rsid w:val="00A63EF2"/>
    <w:rsid w:val="00A65A32"/>
    <w:rsid w:val="00A701EA"/>
    <w:rsid w:val="00A7298A"/>
    <w:rsid w:val="00A7433E"/>
    <w:rsid w:val="00A752AA"/>
    <w:rsid w:val="00A81225"/>
    <w:rsid w:val="00A82E16"/>
    <w:rsid w:val="00A83A2E"/>
    <w:rsid w:val="00A83A79"/>
    <w:rsid w:val="00A84ABF"/>
    <w:rsid w:val="00A86414"/>
    <w:rsid w:val="00A92792"/>
    <w:rsid w:val="00A93DBF"/>
    <w:rsid w:val="00AA15C6"/>
    <w:rsid w:val="00AA2B9C"/>
    <w:rsid w:val="00AA4801"/>
    <w:rsid w:val="00AB0411"/>
    <w:rsid w:val="00AB3ED3"/>
    <w:rsid w:val="00AB4B77"/>
    <w:rsid w:val="00AB5764"/>
    <w:rsid w:val="00AB79C3"/>
    <w:rsid w:val="00AC24E6"/>
    <w:rsid w:val="00AC37C9"/>
    <w:rsid w:val="00AC65DA"/>
    <w:rsid w:val="00AC7643"/>
    <w:rsid w:val="00AE2135"/>
    <w:rsid w:val="00AE29BB"/>
    <w:rsid w:val="00AF1228"/>
    <w:rsid w:val="00AF2323"/>
    <w:rsid w:val="00AF4D96"/>
    <w:rsid w:val="00B02D21"/>
    <w:rsid w:val="00B0310C"/>
    <w:rsid w:val="00B0428C"/>
    <w:rsid w:val="00B0445A"/>
    <w:rsid w:val="00B06C6A"/>
    <w:rsid w:val="00B06EAA"/>
    <w:rsid w:val="00B105C9"/>
    <w:rsid w:val="00B1348B"/>
    <w:rsid w:val="00B14BDC"/>
    <w:rsid w:val="00B155AE"/>
    <w:rsid w:val="00B16AA4"/>
    <w:rsid w:val="00B17110"/>
    <w:rsid w:val="00B22620"/>
    <w:rsid w:val="00B25FB6"/>
    <w:rsid w:val="00B26952"/>
    <w:rsid w:val="00B30A6F"/>
    <w:rsid w:val="00B36801"/>
    <w:rsid w:val="00B40681"/>
    <w:rsid w:val="00B409E0"/>
    <w:rsid w:val="00B4118E"/>
    <w:rsid w:val="00B41B75"/>
    <w:rsid w:val="00B4392F"/>
    <w:rsid w:val="00B43B3D"/>
    <w:rsid w:val="00B45D32"/>
    <w:rsid w:val="00B47A34"/>
    <w:rsid w:val="00B512DE"/>
    <w:rsid w:val="00B5207A"/>
    <w:rsid w:val="00B5279C"/>
    <w:rsid w:val="00B54537"/>
    <w:rsid w:val="00B567D6"/>
    <w:rsid w:val="00B56A27"/>
    <w:rsid w:val="00B64955"/>
    <w:rsid w:val="00B708D1"/>
    <w:rsid w:val="00B802BB"/>
    <w:rsid w:val="00B835E9"/>
    <w:rsid w:val="00B847A4"/>
    <w:rsid w:val="00B928E1"/>
    <w:rsid w:val="00B94FC8"/>
    <w:rsid w:val="00B95B5E"/>
    <w:rsid w:val="00B96C82"/>
    <w:rsid w:val="00B97E90"/>
    <w:rsid w:val="00BA5BBF"/>
    <w:rsid w:val="00BA70D3"/>
    <w:rsid w:val="00BB180C"/>
    <w:rsid w:val="00BB20FC"/>
    <w:rsid w:val="00BB69A5"/>
    <w:rsid w:val="00BC226E"/>
    <w:rsid w:val="00BC2903"/>
    <w:rsid w:val="00BC3C9D"/>
    <w:rsid w:val="00BC4258"/>
    <w:rsid w:val="00BC547E"/>
    <w:rsid w:val="00BC576A"/>
    <w:rsid w:val="00BD5B52"/>
    <w:rsid w:val="00BD66DA"/>
    <w:rsid w:val="00BD7EEC"/>
    <w:rsid w:val="00BE11B5"/>
    <w:rsid w:val="00BE1304"/>
    <w:rsid w:val="00BE3393"/>
    <w:rsid w:val="00BF14BA"/>
    <w:rsid w:val="00BF3A4D"/>
    <w:rsid w:val="00BF5FA8"/>
    <w:rsid w:val="00BF69CD"/>
    <w:rsid w:val="00C024CE"/>
    <w:rsid w:val="00C0389D"/>
    <w:rsid w:val="00C053B4"/>
    <w:rsid w:val="00C0724A"/>
    <w:rsid w:val="00C10513"/>
    <w:rsid w:val="00C1229B"/>
    <w:rsid w:val="00C148AC"/>
    <w:rsid w:val="00C15A72"/>
    <w:rsid w:val="00C15B2B"/>
    <w:rsid w:val="00C16BE7"/>
    <w:rsid w:val="00C170BC"/>
    <w:rsid w:val="00C20418"/>
    <w:rsid w:val="00C26584"/>
    <w:rsid w:val="00C27B32"/>
    <w:rsid w:val="00C321E2"/>
    <w:rsid w:val="00C35431"/>
    <w:rsid w:val="00C36FD2"/>
    <w:rsid w:val="00C37032"/>
    <w:rsid w:val="00C37F31"/>
    <w:rsid w:val="00C41CBC"/>
    <w:rsid w:val="00C42627"/>
    <w:rsid w:val="00C4281C"/>
    <w:rsid w:val="00C42A48"/>
    <w:rsid w:val="00C45F50"/>
    <w:rsid w:val="00C51805"/>
    <w:rsid w:val="00C5201C"/>
    <w:rsid w:val="00C527CD"/>
    <w:rsid w:val="00C54B0C"/>
    <w:rsid w:val="00C551F4"/>
    <w:rsid w:val="00C56246"/>
    <w:rsid w:val="00C56DE0"/>
    <w:rsid w:val="00C6078D"/>
    <w:rsid w:val="00C627DB"/>
    <w:rsid w:val="00C62D45"/>
    <w:rsid w:val="00C65364"/>
    <w:rsid w:val="00C65947"/>
    <w:rsid w:val="00C65C84"/>
    <w:rsid w:val="00C71863"/>
    <w:rsid w:val="00C74773"/>
    <w:rsid w:val="00C74C1E"/>
    <w:rsid w:val="00C76B49"/>
    <w:rsid w:val="00C800CE"/>
    <w:rsid w:val="00C8089F"/>
    <w:rsid w:val="00C815AE"/>
    <w:rsid w:val="00C87B0C"/>
    <w:rsid w:val="00C962DB"/>
    <w:rsid w:val="00C9645B"/>
    <w:rsid w:val="00CB1080"/>
    <w:rsid w:val="00CB210B"/>
    <w:rsid w:val="00CB720D"/>
    <w:rsid w:val="00CB7AC1"/>
    <w:rsid w:val="00CC0A4F"/>
    <w:rsid w:val="00CC19A0"/>
    <w:rsid w:val="00CC428E"/>
    <w:rsid w:val="00CC539D"/>
    <w:rsid w:val="00CD2BCF"/>
    <w:rsid w:val="00CE31EE"/>
    <w:rsid w:val="00CE4D05"/>
    <w:rsid w:val="00CF12DC"/>
    <w:rsid w:val="00CF1C9F"/>
    <w:rsid w:val="00CF688B"/>
    <w:rsid w:val="00D0313B"/>
    <w:rsid w:val="00D05284"/>
    <w:rsid w:val="00D10027"/>
    <w:rsid w:val="00D11C44"/>
    <w:rsid w:val="00D155C1"/>
    <w:rsid w:val="00D16B9D"/>
    <w:rsid w:val="00D222D0"/>
    <w:rsid w:val="00D22F9E"/>
    <w:rsid w:val="00D22FF6"/>
    <w:rsid w:val="00D25D57"/>
    <w:rsid w:val="00D26492"/>
    <w:rsid w:val="00D26849"/>
    <w:rsid w:val="00D32438"/>
    <w:rsid w:val="00D32B74"/>
    <w:rsid w:val="00D32DCC"/>
    <w:rsid w:val="00D3470D"/>
    <w:rsid w:val="00D368C8"/>
    <w:rsid w:val="00D3742F"/>
    <w:rsid w:val="00D41641"/>
    <w:rsid w:val="00D4689D"/>
    <w:rsid w:val="00D47C97"/>
    <w:rsid w:val="00D517DC"/>
    <w:rsid w:val="00D51C97"/>
    <w:rsid w:val="00D52AE9"/>
    <w:rsid w:val="00D53A7D"/>
    <w:rsid w:val="00D55F0F"/>
    <w:rsid w:val="00D60A9B"/>
    <w:rsid w:val="00D612B6"/>
    <w:rsid w:val="00D70409"/>
    <w:rsid w:val="00D72C76"/>
    <w:rsid w:val="00D761AA"/>
    <w:rsid w:val="00D8076B"/>
    <w:rsid w:val="00D83C62"/>
    <w:rsid w:val="00D857B9"/>
    <w:rsid w:val="00D86356"/>
    <w:rsid w:val="00D87F67"/>
    <w:rsid w:val="00D903E3"/>
    <w:rsid w:val="00D920C7"/>
    <w:rsid w:val="00D95E9B"/>
    <w:rsid w:val="00DA18AA"/>
    <w:rsid w:val="00DA3710"/>
    <w:rsid w:val="00DA4B43"/>
    <w:rsid w:val="00DA5758"/>
    <w:rsid w:val="00DA59A4"/>
    <w:rsid w:val="00DB0ADB"/>
    <w:rsid w:val="00DB2A2A"/>
    <w:rsid w:val="00DB6173"/>
    <w:rsid w:val="00DB78CE"/>
    <w:rsid w:val="00DC2923"/>
    <w:rsid w:val="00DC33E2"/>
    <w:rsid w:val="00DC3D58"/>
    <w:rsid w:val="00DC4548"/>
    <w:rsid w:val="00DC6661"/>
    <w:rsid w:val="00DD117A"/>
    <w:rsid w:val="00DD4162"/>
    <w:rsid w:val="00DD5D02"/>
    <w:rsid w:val="00DE2E17"/>
    <w:rsid w:val="00DE6369"/>
    <w:rsid w:val="00DE6AB0"/>
    <w:rsid w:val="00DE713E"/>
    <w:rsid w:val="00DE727B"/>
    <w:rsid w:val="00DF443E"/>
    <w:rsid w:val="00DF5391"/>
    <w:rsid w:val="00DF5DAB"/>
    <w:rsid w:val="00DF631C"/>
    <w:rsid w:val="00DF711C"/>
    <w:rsid w:val="00E009CD"/>
    <w:rsid w:val="00E04D6E"/>
    <w:rsid w:val="00E10211"/>
    <w:rsid w:val="00E10E20"/>
    <w:rsid w:val="00E129EB"/>
    <w:rsid w:val="00E12BFA"/>
    <w:rsid w:val="00E13168"/>
    <w:rsid w:val="00E17A87"/>
    <w:rsid w:val="00E17E5A"/>
    <w:rsid w:val="00E23FA4"/>
    <w:rsid w:val="00E26CEE"/>
    <w:rsid w:val="00E30F4C"/>
    <w:rsid w:val="00E31A5C"/>
    <w:rsid w:val="00E31FBA"/>
    <w:rsid w:val="00E348E3"/>
    <w:rsid w:val="00E356B9"/>
    <w:rsid w:val="00E37FC2"/>
    <w:rsid w:val="00E413D8"/>
    <w:rsid w:val="00E54A9B"/>
    <w:rsid w:val="00E57DF0"/>
    <w:rsid w:val="00E6014F"/>
    <w:rsid w:val="00E602A2"/>
    <w:rsid w:val="00E60D3B"/>
    <w:rsid w:val="00E74141"/>
    <w:rsid w:val="00E81B5F"/>
    <w:rsid w:val="00E82D37"/>
    <w:rsid w:val="00E82EC9"/>
    <w:rsid w:val="00E86620"/>
    <w:rsid w:val="00E874D5"/>
    <w:rsid w:val="00E87639"/>
    <w:rsid w:val="00E94313"/>
    <w:rsid w:val="00E95591"/>
    <w:rsid w:val="00EA217E"/>
    <w:rsid w:val="00EA2E91"/>
    <w:rsid w:val="00EA4DC4"/>
    <w:rsid w:val="00EA4DD2"/>
    <w:rsid w:val="00EA5132"/>
    <w:rsid w:val="00EA54B7"/>
    <w:rsid w:val="00EB404B"/>
    <w:rsid w:val="00EB4EF3"/>
    <w:rsid w:val="00EB72D2"/>
    <w:rsid w:val="00EB7986"/>
    <w:rsid w:val="00EC36B9"/>
    <w:rsid w:val="00EC3BA5"/>
    <w:rsid w:val="00EC5317"/>
    <w:rsid w:val="00EC7A0D"/>
    <w:rsid w:val="00EC7A29"/>
    <w:rsid w:val="00ED06DC"/>
    <w:rsid w:val="00ED46D5"/>
    <w:rsid w:val="00ED6A7B"/>
    <w:rsid w:val="00ED6C56"/>
    <w:rsid w:val="00ED72C4"/>
    <w:rsid w:val="00ED761E"/>
    <w:rsid w:val="00EE173C"/>
    <w:rsid w:val="00EE51DB"/>
    <w:rsid w:val="00EE61E4"/>
    <w:rsid w:val="00EE6202"/>
    <w:rsid w:val="00EF3B39"/>
    <w:rsid w:val="00EF57DC"/>
    <w:rsid w:val="00EF5C57"/>
    <w:rsid w:val="00EF5CC7"/>
    <w:rsid w:val="00EF761A"/>
    <w:rsid w:val="00F042A1"/>
    <w:rsid w:val="00F05565"/>
    <w:rsid w:val="00F05D23"/>
    <w:rsid w:val="00F05E32"/>
    <w:rsid w:val="00F10403"/>
    <w:rsid w:val="00F10A5C"/>
    <w:rsid w:val="00F1418C"/>
    <w:rsid w:val="00F1610F"/>
    <w:rsid w:val="00F2412C"/>
    <w:rsid w:val="00F24CF1"/>
    <w:rsid w:val="00F26526"/>
    <w:rsid w:val="00F266A4"/>
    <w:rsid w:val="00F268BE"/>
    <w:rsid w:val="00F35097"/>
    <w:rsid w:val="00F36F25"/>
    <w:rsid w:val="00F371B6"/>
    <w:rsid w:val="00F4215B"/>
    <w:rsid w:val="00F430F0"/>
    <w:rsid w:val="00F445C6"/>
    <w:rsid w:val="00F52CE0"/>
    <w:rsid w:val="00F571A5"/>
    <w:rsid w:val="00F61C9B"/>
    <w:rsid w:val="00F63234"/>
    <w:rsid w:val="00F6381B"/>
    <w:rsid w:val="00F642D3"/>
    <w:rsid w:val="00F64512"/>
    <w:rsid w:val="00F658B0"/>
    <w:rsid w:val="00F71792"/>
    <w:rsid w:val="00F74402"/>
    <w:rsid w:val="00F77059"/>
    <w:rsid w:val="00F8240B"/>
    <w:rsid w:val="00F827C7"/>
    <w:rsid w:val="00F8427C"/>
    <w:rsid w:val="00F906EF"/>
    <w:rsid w:val="00F90AC7"/>
    <w:rsid w:val="00F91AAD"/>
    <w:rsid w:val="00F93195"/>
    <w:rsid w:val="00F94EC2"/>
    <w:rsid w:val="00F95348"/>
    <w:rsid w:val="00F97841"/>
    <w:rsid w:val="00FA0126"/>
    <w:rsid w:val="00FA1B7D"/>
    <w:rsid w:val="00FA27CC"/>
    <w:rsid w:val="00FA354E"/>
    <w:rsid w:val="00FA6A69"/>
    <w:rsid w:val="00FB00E0"/>
    <w:rsid w:val="00FB7BFB"/>
    <w:rsid w:val="00FC07AF"/>
    <w:rsid w:val="00FC1BAB"/>
    <w:rsid w:val="00FC2993"/>
    <w:rsid w:val="00FC2A48"/>
    <w:rsid w:val="00FC4AB5"/>
    <w:rsid w:val="00FC7EBF"/>
    <w:rsid w:val="00FD578A"/>
    <w:rsid w:val="00FE14E7"/>
    <w:rsid w:val="00FE2C2C"/>
    <w:rsid w:val="00FE4B28"/>
    <w:rsid w:val="00FF5BDF"/>
    <w:rsid w:val="00FF7E34"/>
    <w:rsid w:val="033B5A1E"/>
    <w:rsid w:val="06565F7D"/>
    <w:rsid w:val="0B2D0D87"/>
    <w:rsid w:val="0B9303BC"/>
    <w:rsid w:val="0BD669BE"/>
    <w:rsid w:val="0DA217FD"/>
    <w:rsid w:val="0E916726"/>
    <w:rsid w:val="1AE30B16"/>
    <w:rsid w:val="1C8F09B7"/>
    <w:rsid w:val="27AF3575"/>
    <w:rsid w:val="2FB21945"/>
    <w:rsid w:val="32B3582F"/>
    <w:rsid w:val="39CA6F29"/>
    <w:rsid w:val="42732498"/>
    <w:rsid w:val="474C3873"/>
    <w:rsid w:val="4916425B"/>
    <w:rsid w:val="4E76747F"/>
    <w:rsid w:val="520E6AD8"/>
    <w:rsid w:val="5E93224D"/>
    <w:rsid w:val="5EA447A6"/>
    <w:rsid w:val="62CF452C"/>
    <w:rsid w:val="67205F07"/>
    <w:rsid w:val="6D7B2BF3"/>
    <w:rsid w:val="752344B4"/>
    <w:rsid w:val="7AA83460"/>
    <w:rsid w:val="7E4C028A"/>
    <w:rsid w:val="7ED4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ascii="Calibri Light" w:hAnsi="Calibri Light"/>
      <w:sz w:val="20"/>
      <w:szCs w:val="20"/>
    </w:rPr>
  </w:style>
  <w:style w:type="paragraph" w:styleId="3">
    <w:name w:val="Balloon Text"/>
    <w:basedOn w:val="1"/>
    <w:link w:val="12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table" w:customStyle="1" w:styleId="11">
    <w:name w:val="网格型浅色1"/>
    <w:basedOn w:val="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2">
    <w:name w:val="批注框文本 字符"/>
    <w:basedOn w:val="9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DE27C-9C0F-498A-9726-FC6BCD4E8B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1289</Words>
  <Characters>1300</Characters>
  <Lines>9</Lines>
  <Paragraphs>2</Paragraphs>
  <TotalTime>3</TotalTime>
  <ScaleCrop>false</ScaleCrop>
  <LinksUpToDate>false</LinksUpToDate>
  <CharactersWithSpaces>1305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2026-05-06T09:02:00Z</dcterms:created>
  <dc:creator>sun</dc:creator>
  <cp:lastModifiedBy>Anna</cp:lastModifiedBy>
  <dcterms:modified xsi:type="dcterms:W3CDTF">2026-05-11T04:21:25Z</dcterms:modified>
  <dc:title>周丽老师简介：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eyJoZGlkIjoiNmVhZDRiYjM0MzYwNGMwZDA4NDIzNTFjOGEzNmMwODQiLCJ1c2VySWQiOiIxMzQ5ODE0ODAxIn0=</vt:lpwstr>
  </property>
  <property fmtid="{D5CDD505-2E9C-101B-9397-08002B2CF9AE}" pid="4" name="ICV">
    <vt:lpwstr>1F7B83EA576A4E5180361F9E6D84C879_12</vt:lpwstr>
  </property>
</Properties>
</file>