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E84964B">
      <w:pPr>
        <w:pStyle w:val="6"/>
        <w:rPr>
          <w:rFonts w:hint="eastAsia" w:ascii="微软雅黑" w:hAnsi="微软雅黑" w:eastAsia="微软雅黑"/>
          <w:highlight w:val="none"/>
        </w:rPr>
      </w:pPr>
    </w:p>
    <w:p w14:paraId="733F4224">
      <w:pPr>
        <w:spacing w:line="480" w:lineRule="exact"/>
        <w:jc w:val="left"/>
        <w:rPr>
          <w:rFonts w:ascii="微软雅黑" w:hAnsi="微软雅黑" w:eastAsia="微软雅黑"/>
          <w:highlight w:val="none"/>
        </w:rPr>
      </w:pPr>
    </w:p>
    <w:p w14:paraId="47247C8A">
      <w:pPr>
        <w:spacing w:line="480" w:lineRule="exact"/>
        <w:jc w:val="left"/>
        <w:rPr>
          <w:rFonts w:hint="eastAsia" w:ascii="微软雅黑" w:hAnsi="微软雅黑" w:eastAsia="微软雅黑"/>
          <w:b/>
          <w:sz w:val="32"/>
          <w:szCs w:val="32"/>
          <w:highlight w:val="none"/>
        </w:rPr>
      </w:pPr>
      <w:r>
        <w:rPr>
          <w:rFonts w:ascii="微软雅黑" w:hAnsi="微软雅黑" w:eastAsia="微软雅黑"/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3718560</wp:posOffset>
            </wp:positionH>
            <wp:positionV relativeFrom="paragraph">
              <wp:posOffset>151765</wp:posOffset>
            </wp:positionV>
            <wp:extent cx="2133600" cy="249999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sz w:val="32"/>
          <w:szCs w:val="32"/>
          <w:highlight w:val="none"/>
        </w:rPr>
        <w:t>熊能老师</w:t>
      </w:r>
    </w:p>
    <w:p w14:paraId="77F1471E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  <w:highlight w:val="none"/>
        </w:rPr>
        <w:t>资产架构、资本市场、跨境事务、税务合规</w:t>
      </w:r>
    </w:p>
    <w:p w14:paraId="3D544AB0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  <w:highlight w:val="none"/>
        </w:rPr>
        <w:t>朝曦企业家办公室西区负责人</w:t>
      </w:r>
    </w:p>
    <w:p w14:paraId="73E9D28C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  <w:highlight w:val="none"/>
        </w:rPr>
        <w:t>多家私人银行常年合作讲师</w:t>
      </w:r>
    </w:p>
    <w:p w14:paraId="39998714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曾任：领先互联网企业董秘及资本业务负责人</w:t>
      </w:r>
    </w:p>
    <w:p w14:paraId="7F587336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曾任：软件研发头部企业涉外业务负责人</w:t>
      </w:r>
    </w:p>
    <w:p w14:paraId="31D6250F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曾任：人民币基金创新投资板块负责人</w:t>
      </w:r>
    </w:p>
    <w:p w14:paraId="79A25666">
      <w:pPr>
        <w:pStyle w:val="10"/>
        <w:numPr>
          <w:ilvl w:val="0"/>
          <w:numId w:val="1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英国伯明翰大学经济学硕士</w:t>
      </w:r>
    </w:p>
    <w:p w14:paraId="6CED431F">
      <w:pPr>
        <w:spacing w:line="480" w:lineRule="exact"/>
        <w:jc w:val="left"/>
        <w:rPr>
          <w:rFonts w:hint="eastAsia" w:ascii="微软雅黑" w:hAnsi="微软雅黑" w:eastAsia="微软雅黑"/>
          <w:sz w:val="24"/>
          <w:szCs w:val="24"/>
          <w:highlight w:val="none"/>
        </w:rPr>
      </w:pPr>
    </w:p>
    <w:p w14:paraId="1CDCC598">
      <w:pPr>
        <w:spacing w:line="480" w:lineRule="exact"/>
        <w:ind w:firstLine="480" w:firstLineChars="200"/>
        <w:rPr>
          <w:rFonts w:hint="eastAsia" w:ascii="微软雅黑" w:hAnsi="微软雅黑" w:eastAsia="微软雅黑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sz w:val="24"/>
          <w:szCs w:val="24"/>
          <w:highlight w:val="none"/>
        </w:rPr>
        <w:t>资产架构专家，长期从事中外资产财富架构研究、实践与服务，对境内外架构相关的各项金融工具合规性与法税规则具有深刻理解。</w:t>
      </w:r>
    </w:p>
    <w:p w14:paraId="0870CE43">
      <w:pPr>
        <w:spacing w:line="480" w:lineRule="exact"/>
        <w:ind w:firstLine="480" w:firstLineChars="200"/>
        <w:rPr>
          <w:rFonts w:hint="eastAsia" w:ascii="微软雅黑" w:hAnsi="微软雅黑" w:eastAsia="微软雅黑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sz w:val="24"/>
          <w:szCs w:val="24"/>
          <w:highlight w:val="none"/>
        </w:rPr>
        <w:t>曾任上市公司、拟上市公司董事会秘书，期间多次向所在城市及参访城市市委书记、市长汇报工作，并随团出国做交流访问。加入朝曦企业家办公室后，先后服务近千组高净值客户，且为其提供解决方案或搭建家族企业办公室。协助金融机构落地多项代表性业务，包括数亿规模复杂需求家族信托，境内外双信托，以及多项债权、股权服务信托。</w:t>
      </w:r>
    </w:p>
    <w:p w14:paraId="047E3A69">
      <w:pPr>
        <w:spacing w:line="480" w:lineRule="exac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ascii="微软雅黑" w:hAnsi="微软雅黑" w:eastAsia="微软雅黑"/>
          <w:sz w:val="24"/>
          <w:szCs w:val="24"/>
          <w:highlight w:val="none"/>
        </w:rPr>
        <w:br w:type="textWrapping"/>
      </w:r>
      <w:r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  <w:t xml:space="preserve">部分服务机构： </w:t>
      </w:r>
    </w:p>
    <w:p w14:paraId="0A060E96">
      <w:pPr>
        <w:tabs>
          <w:tab w:val="left" w:pos="7133"/>
          <w:tab w:val="left" w:pos="8707"/>
        </w:tabs>
        <w:spacing w:line="480" w:lineRule="exact"/>
        <w:jc w:val="left"/>
        <w:rPr>
          <w:rFonts w:hint="eastAsia" w:ascii="微软雅黑" w:hAnsi="微软雅黑" w:eastAsia="微软雅黑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sz w:val="24"/>
          <w:szCs w:val="24"/>
          <w:highlight w:val="none"/>
        </w:rPr>
        <w:t>民生银行、兴业银行、中信银行、招商银行、中信保诚、中德安联、中信信托、五矿信托等</w:t>
      </w:r>
    </w:p>
    <w:p w14:paraId="35892BD3">
      <w:pPr>
        <w:tabs>
          <w:tab w:val="left" w:pos="7133"/>
          <w:tab w:val="left" w:pos="8707"/>
        </w:tabs>
        <w:spacing w:line="480" w:lineRule="exact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</w:p>
    <w:p w14:paraId="6BC23B53">
      <w:pPr>
        <w:spacing w:line="480" w:lineRule="exact"/>
        <w:ind w:right="28"/>
        <w:rPr>
          <w:rFonts w:hint="eastAsia" w:ascii="微软雅黑" w:hAnsi="微软雅黑" w:eastAsia="微软雅黑"/>
          <w:bCs/>
          <w:color w:val="003399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  <w:t>咨询培训风格</w:t>
      </w:r>
      <w:r>
        <w:rPr>
          <w:rFonts w:hint="eastAsia" w:ascii="微软雅黑" w:hAnsi="微软雅黑" w:eastAsia="微软雅黑"/>
          <w:bCs/>
          <w:color w:val="003399"/>
          <w:sz w:val="24"/>
          <w:szCs w:val="24"/>
          <w:highlight w:val="none"/>
        </w:rPr>
        <w:t>：</w:t>
      </w:r>
    </w:p>
    <w:p w14:paraId="01935D33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涵盖广泛：围绕客户及企业全生命周期的架构、业务、税务等专题，综合融会贯通</w:t>
      </w:r>
    </w:p>
    <w:p w14:paraId="6343F200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紧贴时事：及时跟踪热点时事，敏锐捕捉政策变化风向</w:t>
      </w:r>
    </w:p>
    <w:p w14:paraId="58769346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案例详实</w:t>
      </w:r>
      <w:r>
        <w:rPr>
          <w:rFonts w:ascii="微软雅黑" w:hAnsi="微软雅黑" w:eastAsia="微软雅黑"/>
          <w:b/>
          <w:bCs/>
          <w:sz w:val="24"/>
          <w:szCs w:val="24"/>
          <w:highlight w:val="none"/>
        </w:rPr>
        <w:t>：</w:t>
      </w: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基于众多真实案例、融入课程讲解，客户临场代入感强</w:t>
      </w:r>
    </w:p>
    <w:p w14:paraId="1838966E">
      <w:pPr>
        <w:pStyle w:val="10"/>
        <w:numPr>
          <w:ilvl w:val="0"/>
          <w:numId w:val="2"/>
        </w:numPr>
        <w:spacing w:line="480" w:lineRule="exact"/>
        <w:ind w:firstLineChars="0"/>
        <w:jc w:val="left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生动易懂：能将生硬的政策法条架构，以通俗的语言拆解讲述</w:t>
      </w:r>
    </w:p>
    <w:p w14:paraId="7E5CC4E2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</w:pPr>
    </w:p>
    <w:p w14:paraId="5D173A70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</w:pPr>
    </w:p>
    <w:p w14:paraId="1FE2D458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</w:pPr>
    </w:p>
    <w:p w14:paraId="79DC0E3F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  <w:t>主讲课程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365"/>
      </w:tblGrid>
      <w:tr w14:paraId="2911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263" w:type="dxa"/>
            <w:vMerge w:val="restart"/>
          </w:tcPr>
          <w:p w14:paraId="54CC255A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58907FD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0A23D53">
            <w:pPr>
              <w:spacing w:line="480" w:lineRule="exact"/>
              <w:jc w:val="both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主讲课程</w:t>
            </w:r>
          </w:p>
        </w:tc>
        <w:tc>
          <w:tcPr>
            <w:tcW w:w="7365" w:type="dxa"/>
          </w:tcPr>
          <w:p w14:paraId="5B17547F">
            <w:pPr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  <w:t>《企业全生命周期股权架构设计核心原则与误区》</w:t>
            </w:r>
          </w:p>
        </w:tc>
      </w:tr>
      <w:tr w14:paraId="6754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263" w:type="dxa"/>
            <w:vMerge w:val="continue"/>
          </w:tcPr>
          <w:p w14:paraId="248A5473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69D68FB9">
            <w:pPr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  <w:t>《高净值人士涉税常见误区及资产架构新趋势》</w:t>
            </w:r>
          </w:p>
        </w:tc>
      </w:tr>
      <w:tr w14:paraId="12C6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</w:tcPr>
          <w:p w14:paraId="1AB302CE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607F6809">
            <w:pPr>
              <w:spacing w:line="480" w:lineRule="exact"/>
              <w:rPr>
                <w:rFonts w:hint="eastAsia" w:ascii="微软雅黑" w:hAnsi="微软雅黑" w:eastAsia="微软雅黑"/>
                <w:b/>
                <w:color w:val="003399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  <w:t>《金税四期下企业主个人税务合规与“公转私”路径重塑》</w:t>
            </w:r>
          </w:p>
        </w:tc>
      </w:tr>
      <w:tr w14:paraId="7F87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</w:tcPr>
          <w:p w14:paraId="3FB79C4B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01F3C2DD">
            <w:pPr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  <w:t>《境内外投资架构的安排及税收政策适用性介绍》</w:t>
            </w:r>
          </w:p>
        </w:tc>
      </w:tr>
      <w:tr w14:paraId="4009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</w:tcPr>
          <w:p w14:paraId="642CCCF4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25BF897B">
            <w:pPr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  <w:t>《CRS环境下中国个税合规与境外收入申报》</w:t>
            </w:r>
          </w:p>
        </w:tc>
      </w:tr>
      <w:tr w14:paraId="666D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</w:tcPr>
          <w:p w14:paraId="7693933B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16842430">
            <w:pPr>
              <w:spacing w:line="480" w:lineRule="exact"/>
              <w:rPr>
                <w:rFonts w:hint="eastAsia" w:ascii="微软雅黑" w:hAnsi="微软雅黑" w:eastAsia="微软雅黑"/>
                <w:b/>
                <w:color w:val="003399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  <w:t>《家庭内部视角下的婚姻、债务与遗产风险管理》</w:t>
            </w:r>
          </w:p>
        </w:tc>
      </w:tr>
      <w:tr w14:paraId="1BF2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263" w:type="dxa"/>
            <w:vMerge w:val="continue"/>
          </w:tcPr>
          <w:p w14:paraId="3A04A440">
            <w:pPr>
              <w:spacing w:line="480" w:lineRule="exact"/>
              <w:rPr>
                <w:rFonts w:hint="eastAsia" w:ascii="微软雅黑" w:hAnsi="微软雅黑" w:eastAsia="微软雅黑"/>
                <w:b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365" w:type="dxa"/>
          </w:tcPr>
          <w:p w14:paraId="5F1DF953">
            <w:pPr>
              <w:spacing w:line="480" w:lineRule="exact"/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</w:rPr>
              <w:t>《员工股权激励方案设计与税收合规》</w:t>
            </w:r>
          </w:p>
        </w:tc>
      </w:tr>
    </w:tbl>
    <w:p w14:paraId="6E39ACC4">
      <w:pPr>
        <w:snapToGrid w:val="0"/>
        <w:spacing w:line="480" w:lineRule="exact"/>
        <w:rPr>
          <w:rFonts w:hint="eastAsia" w:ascii="微软雅黑" w:hAnsi="微软雅黑" w:eastAsia="微软雅黑" w:cs="宋体"/>
          <w:kern w:val="0"/>
          <w:sz w:val="24"/>
          <w:szCs w:val="24"/>
          <w:highlight w:val="none"/>
          <w:u w:val="dotDotDash"/>
        </w:rPr>
      </w:pPr>
      <w:bookmarkStart w:id="1" w:name="_GoBack"/>
      <w:bookmarkEnd w:id="1"/>
    </w:p>
    <w:p w14:paraId="54074537">
      <w:pPr>
        <w:spacing w:line="480" w:lineRule="exact"/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color w:val="003399"/>
          <w:sz w:val="24"/>
          <w:szCs w:val="24"/>
          <w:highlight w:val="none"/>
        </w:rPr>
        <w:t>部分培训与项目案例：</w:t>
      </w:r>
      <w:r>
        <w:rPr>
          <w:rFonts w:ascii="微软雅黑" w:hAnsi="微软雅黑" w:eastAsia="微软雅黑"/>
          <w:b/>
          <w:color w:val="003399"/>
          <w:sz w:val="24"/>
          <w:szCs w:val="24"/>
          <w:highlight w:val="none"/>
        </w:rPr>
        <w:t xml:space="preserve"> </w:t>
      </w:r>
    </w:p>
    <w:p w14:paraId="20C7D4BF">
      <w:pPr>
        <w:pStyle w:val="10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《</w:t>
      </w:r>
      <w:r>
        <w:rPr>
          <w:rFonts w:hint="eastAsia" w:ascii="微软雅黑" w:hAnsi="微软雅黑" w:eastAsia="微软雅黑"/>
          <w:sz w:val="24"/>
          <w:szCs w:val="24"/>
          <w:highlight w:val="none"/>
        </w:rPr>
        <w:t>高净值人士涉税常见误区及资产架构新趋势</w:t>
      </w: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》</w:t>
      </w:r>
    </w:p>
    <w:p w14:paraId="4106BA37">
      <w:pPr>
        <w:spacing w:line="480" w:lineRule="exact"/>
        <w:rPr>
          <w:rFonts w:hint="eastAsia" w:ascii="微软雅黑" w:hAnsi="微软雅黑" w:eastAsia="微软雅黑"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Cs/>
          <w:sz w:val="24"/>
          <w:szCs w:val="24"/>
          <w:highlight w:val="none"/>
        </w:rPr>
        <w:t>该课程主要针对高净值人群在企业经营、投融资、财富管理中的显著痛点：往往存在涉税认知误区，或给自身带来潜在税务问题。通过课程认知了解相应税务政策，并合理运用有效架构工具，其中与私人银行主要业务板块：股权、债权类服务信托结合紧密。该课程为各家私人银行长期采购，以最通俗的语言及实战经验，普及相关知识，</w:t>
      </w:r>
      <w:bookmarkStart w:id="0" w:name="OLE_LINK1"/>
      <w:r>
        <w:rPr>
          <w:rFonts w:hint="eastAsia" w:ascii="微软雅黑" w:hAnsi="微软雅黑" w:eastAsia="微软雅黑"/>
          <w:bCs/>
          <w:sz w:val="24"/>
          <w:szCs w:val="24"/>
          <w:highlight w:val="none"/>
        </w:rPr>
        <w:t>并有效植入或转化服务信托业务。</w:t>
      </w:r>
    </w:p>
    <w:p w14:paraId="529D8D21">
      <w:pPr>
        <w:spacing w:line="480" w:lineRule="exact"/>
        <w:rPr>
          <w:rFonts w:hint="eastAsia" w:ascii="微软雅黑" w:hAnsi="微软雅黑" w:eastAsia="微软雅黑"/>
          <w:bCs/>
          <w:sz w:val="24"/>
          <w:szCs w:val="24"/>
          <w:highlight w:val="none"/>
        </w:rPr>
      </w:pPr>
    </w:p>
    <w:bookmarkEnd w:id="0"/>
    <w:p w14:paraId="2637A840">
      <w:pPr>
        <w:pStyle w:val="10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《</w:t>
      </w:r>
      <w:r>
        <w:rPr>
          <w:rFonts w:hint="eastAsia" w:ascii="微软雅黑" w:hAnsi="微软雅黑" w:eastAsia="微软雅黑"/>
          <w:sz w:val="24"/>
          <w:szCs w:val="24"/>
          <w:highlight w:val="none"/>
        </w:rPr>
        <w:t>家庭内部视角下的婚姻、债务与遗产风险管理</w:t>
      </w: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》</w:t>
      </w:r>
    </w:p>
    <w:p w14:paraId="2BF73F9E">
      <w:pPr>
        <w:spacing w:line="480" w:lineRule="exact"/>
        <w:rPr>
          <w:rFonts w:hint="eastAsia" w:ascii="微软雅黑" w:hAnsi="微软雅黑" w:eastAsia="微软雅黑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sz w:val="24"/>
          <w:szCs w:val="24"/>
          <w:highlight w:val="none"/>
        </w:rPr>
        <w:t>通过故事化的综合案例，主要讲解：家企债务隔离策略-个人无限连带责任风险识别与防范措施；遗产规划与继承安排-法定继承、遗嘱继承、遗产管理人制度的利弊与实操；婚姻财富风险防范工具包-婚内财产协议、家族信托、大额保单的对比与应用。旨在运用法律与金融工具，为高净值家庭建立一道内部风险“防火墙”。其生动易懂，受到高净值人士欢迎，课后普遍思考自身的财富防守策略。</w:t>
      </w:r>
    </w:p>
    <w:p w14:paraId="7F1FD1C1">
      <w:pPr>
        <w:spacing w:line="480" w:lineRule="exact"/>
        <w:rPr>
          <w:rFonts w:hint="eastAsia" w:ascii="微软雅黑" w:hAnsi="微软雅黑" w:eastAsia="微软雅黑"/>
          <w:sz w:val="24"/>
          <w:szCs w:val="24"/>
          <w:highlight w:val="none"/>
        </w:rPr>
      </w:pPr>
    </w:p>
    <w:p w14:paraId="6459AD9B">
      <w:pPr>
        <w:pStyle w:val="10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《</w:t>
      </w:r>
      <w:r>
        <w:rPr>
          <w:rFonts w:hint="eastAsia" w:ascii="微软雅黑" w:hAnsi="微软雅黑" w:eastAsia="微软雅黑"/>
          <w:sz w:val="24"/>
          <w:szCs w:val="24"/>
          <w:highlight w:val="none"/>
        </w:rPr>
        <w:t>CRS环境下中国个税合规与境外收入申报</w:t>
      </w:r>
      <w:r>
        <w:rPr>
          <w:rFonts w:hint="eastAsia" w:ascii="微软雅黑" w:hAnsi="微软雅黑" w:eastAsia="微软雅黑"/>
          <w:b/>
          <w:bCs/>
          <w:sz w:val="24"/>
          <w:szCs w:val="24"/>
          <w:highlight w:val="none"/>
        </w:rPr>
        <w:t>》</w:t>
      </w:r>
    </w:p>
    <w:p w14:paraId="4C56CB45">
      <w:pPr>
        <w:spacing w:line="480" w:lineRule="exact"/>
        <w:rPr>
          <w:rFonts w:hint="eastAsia" w:ascii="微软雅黑" w:hAnsi="微软雅黑" w:eastAsia="微软雅黑"/>
          <w:sz w:val="24"/>
          <w:szCs w:val="24"/>
          <w:highlight w:val="none"/>
        </w:rPr>
      </w:pPr>
      <w:r>
        <w:rPr>
          <w:rFonts w:hint="eastAsia" w:ascii="微软雅黑" w:hAnsi="微软雅黑" w:eastAsia="微软雅黑"/>
          <w:sz w:val="24"/>
          <w:szCs w:val="24"/>
          <w:highlight w:val="none"/>
        </w:rPr>
        <w:t>CRS环境下个人境外收入开始从严申报后，大量高净值人群开始关注自身的境外资产安排，因此，该课程围绕：中国税务居民身份与全球申报义务判定；常见境外收入类型的税务处理：股息、利息、转让境外公司股权、境外薪资的申报方法与税率；CRS机制深度解读与案例警示：信息交换逻辑、常见交换内容及已公开稽查案例解析等内容，聚焦政策、痛点、解决方案，为客户展开完整图谱。多场课程活动后，对客户最关心的境外保险配置，给出客观准确的指导意见。</w:t>
      </w:r>
    </w:p>
    <w:p w14:paraId="5E95C8D4">
      <w:pPr>
        <w:spacing w:line="480" w:lineRule="exact"/>
        <w:rPr>
          <w:rFonts w:hint="eastAsia" w:ascii="微软雅黑" w:hAnsi="微软雅黑" w:eastAsia="微软雅黑"/>
          <w:sz w:val="24"/>
          <w:szCs w:val="24"/>
          <w:highlight w:val="none"/>
        </w:rPr>
      </w:pPr>
    </w:p>
    <w:sectPr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84D04"/>
    <w:multiLevelType w:val="singleLevel"/>
    <w:tmpl w:val="C1884D0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6051335"/>
    <w:multiLevelType w:val="multilevel"/>
    <w:tmpl w:val="06051335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2EAF284F"/>
    <w:multiLevelType w:val="multilevel"/>
    <w:tmpl w:val="2EAF284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560"/>
    <w:rsid w:val="000009D6"/>
    <w:rsid w:val="000028C2"/>
    <w:rsid w:val="00006EF8"/>
    <w:rsid w:val="00013E5C"/>
    <w:rsid w:val="00014CD1"/>
    <w:rsid w:val="00015007"/>
    <w:rsid w:val="000163BB"/>
    <w:rsid w:val="000227E3"/>
    <w:rsid w:val="00022C73"/>
    <w:rsid w:val="0002336F"/>
    <w:rsid w:val="00023B8B"/>
    <w:rsid w:val="00023D60"/>
    <w:rsid w:val="000251A1"/>
    <w:rsid w:val="00031C10"/>
    <w:rsid w:val="00031D6F"/>
    <w:rsid w:val="000329F1"/>
    <w:rsid w:val="000335C1"/>
    <w:rsid w:val="000350A5"/>
    <w:rsid w:val="00040643"/>
    <w:rsid w:val="0004687B"/>
    <w:rsid w:val="000537BE"/>
    <w:rsid w:val="00053E84"/>
    <w:rsid w:val="00056934"/>
    <w:rsid w:val="00061C12"/>
    <w:rsid w:val="00061F85"/>
    <w:rsid w:val="00065B4E"/>
    <w:rsid w:val="0006600B"/>
    <w:rsid w:val="00071859"/>
    <w:rsid w:val="00073EA2"/>
    <w:rsid w:val="000742CD"/>
    <w:rsid w:val="000758FF"/>
    <w:rsid w:val="00075D94"/>
    <w:rsid w:val="00080218"/>
    <w:rsid w:val="00083F62"/>
    <w:rsid w:val="0008502B"/>
    <w:rsid w:val="0008589C"/>
    <w:rsid w:val="00090893"/>
    <w:rsid w:val="00090C3E"/>
    <w:rsid w:val="0009246E"/>
    <w:rsid w:val="000933B7"/>
    <w:rsid w:val="000A0099"/>
    <w:rsid w:val="000A17AE"/>
    <w:rsid w:val="000A2C01"/>
    <w:rsid w:val="000A3003"/>
    <w:rsid w:val="000A61D6"/>
    <w:rsid w:val="000A6315"/>
    <w:rsid w:val="000A6C94"/>
    <w:rsid w:val="000A711D"/>
    <w:rsid w:val="000A712B"/>
    <w:rsid w:val="000A7F34"/>
    <w:rsid w:val="000B079F"/>
    <w:rsid w:val="000B42E2"/>
    <w:rsid w:val="000B59CE"/>
    <w:rsid w:val="000C1163"/>
    <w:rsid w:val="000C14CB"/>
    <w:rsid w:val="000C252E"/>
    <w:rsid w:val="000C7524"/>
    <w:rsid w:val="000C75BF"/>
    <w:rsid w:val="000D0CDE"/>
    <w:rsid w:val="000D3FA9"/>
    <w:rsid w:val="000D4DA2"/>
    <w:rsid w:val="000D5DEB"/>
    <w:rsid w:val="000D7492"/>
    <w:rsid w:val="000D7F81"/>
    <w:rsid w:val="000E0E3B"/>
    <w:rsid w:val="000E1350"/>
    <w:rsid w:val="000E69EC"/>
    <w:rsid w:val="000E7CE6"/>
    <w:rsid w:val="000F03DF"/>
    <w:rsid w:val="000F1706"/>
    <w:rsid w:val="000F19FD"/>
    <w:rsid w:val="000F3B43"/>
    <w:rsid w:val="000F4C3B"/>
    <w:rsid w:val="000F7CFE"/>
    <w:rsid w:val="001002BE"/>
    <w:rsid w:val="00103A03"/>
    <w:rsid w:val="00104919"/>
    <w:rsid w:val="0010564B"/>
    <w:rsid w:val="001063E4"/>
    <w:rsid w:val="001117E2"/>
    <w:rsid w:val="00113326"/>
    <w:rsid w:val="00114646"/>
    <w:rsid w:val="0011753C"/>
    <w:rsid w:val="00120DB1"/>
    <w:rsid w:val="00123315"/>
    <w:rsid w:val="00125C51"/>
    <w:rsid w:val="00125CEB"/>
    <w:rsid w:val="0013137F"/>
    <w:rsid w:val="00133795"/>
    <w:rsid w:val="001358AF"/>
    <w:rsid w:val="0014473C"/>
    <w:rsid w:val="001479DA"/>
    <w:rsid w:val="001563A0"/>
    <w:rsid w:val="00161309"/>
    <w:rsid w:val="001635B8"/>
    <w:rsid w:val="00164627"/>
    <w:rsid w:val="00165CCD"/>
    <w:rsid w:val="00172A27"/>
    <w:rsid w:val="00175CCC"/>
    <w:rsid w:val="00176576"/>
    <w:rsid w:val="00176BAE"/>
    <w:rsid w:val="00176BAF"/>
    <w:rsid w:val="0017722B"/>
    <w:rsid w:val="001773C0"/>
    <w:rsid w:val="001827B1"/>
    <w:rsid w:val="00184FB0"/>
    <w:rsid w:val="001913ED"/>
    <w:rsid w:val="001921C0"/>
    <w:rsid w:val="00192C11"/>
    <w:rsid w:val="00193547"/>
    <w:rsid w:val="00195902"/>
    <w:rsid w:val="00196FFD"/>
    <w:rsid w:val="001A06BE"/>
    <w:rsid w:val="001A1C90"/>
    <w:rsid w:val="001A1D2D"/>
    <w:rsid w:val="001B1C92"/>
    <w:rsid w:val="001B38D0"/>
    <w:rsid w:val="001B4F34"/>
    <w:rsid w:val="001B5909"/>
    <w:rsid w:val="001B6C9D"/>
    <w:rsid w:val="001C642B"/>
    <w:rsid w:val="001C6DE1"/>
    <w:rsid w:val="001D4F25"/>
    <w:rsid w:val="001D6D9F"/>
    <w:rsid w:val="001E1E8D"/>
    <w:rsid w:val="001E684A"/>
    <w:rsid w:val="001F21D6"/>
    <w:rsid w:val="001F2662"/>
    <w:rsid w:val="001F4F3C"/>
    <w:rsid w:val="001F5E50"/>
    <w:rsid w:val="001F7F01"/>
    <w:rsid w:val="00200AC6"/>
    <w:rsid w:val="00202495"/>
    <w:rsid w:val="00215BB8"/>
    <w:rsid w:val="0021624D"/>
    <w:rsid w:val="00217E22"/>
    <w:rsid w:val="0022157E"/>
    <w:rsid w:val="002226A5"/>
    <w:rsid w:val="002263D2"/>
    <w:rsid w:val="00231F73"/>
    <w:rsid w:val="00232866"/>
    <w:rsid w:val="00240184"/>
    <w:rsid w:val="00241976"/>
    <w:rsid w:val="00244116"/>
    <w:rsid w:val="002503C3"/>
    <w:rsid w:val="00251927"/>
    <w:rsid w:val="002535ED"/>
    <w:rsid w:val="00256131"/>
    <w:rsid w:val="00257A7F"/>
    <w:rsid w:val="00263565"/>
    <w:rsid w:val="00264734"/>
    <w:rsid w:val="00267102"/>
    <w:rsid w:val="002701AB"/>
    <w:rsid w:val="002755F1"/>
    <w:rsid w:val="00276F41"/>
    <w:rsid w:val="002807C5"/>
    <w:rsid w:val="00281E91"/>
    <w:rsid w:val="0028368C"/>
    <w:rsid w:val="00292AD7"/>
    <w:rsid w:val="0029312E"/>
    <w:rsid w:val="002964DD"/>
    <w:rsid w:val="002979EB"/>
    <w:rsid w:val="002A0508"/>
    <w:rsid w:val="002A6686"/>
    <w:rsid w:val="002B0250"/>
    <w:rsid w:val="002B21B5"/>
    <w:rsid w:val="002B2F5A"/>
    <w:rsid w:val="002B3711"/>
    <w:rsid w:val="002B712A"/>
    <w:rsid w:val="002C1198"/>
    <w:rsid w:val="002C1892"/>
    <w:rsid w:val="002C1CFA"/>
    <w:rsid w:val="002C1D6D"/>
    <w:rsid w:val="002C22AD"/>
    <w:rsid w:val="002C2635"/>
    <w:rsid w:val="002C40F6"/>
    <w:rsid w:val="002D153D"/>
    <w:rsid w:val="002D3618"/>
    <w:rsid w:val="002D5A1B"/>
    <w:rsid w:val="002D6E90"/>
    <w:rsid w:val="002E20E4"/>
    <w:rsid w:val="002E21F9"/>
    <w:rsid w:val="002E6CCF"/>
    <w:rsid w:val="002F53FA"/>
    <w:rsid w:val="002F5B99"/>
    <w:rsid w:val="00301DE4"/>
    <w:rsid w:val="00303296"/>
    <w:rsid w:val="003053B0"/>
    <w:rsid w:val="00306486"/>
    <w:rsid w:val="00310613"/>
    <w:rsid w:val="00316D9A"/>
    <w:rsid w:val="00316E3D"/>
    <w:rsid w:val="00317029"/>
    <w:rsid w:val="00320DF0"/>
    <w:rsid w:val="00323963"/>
    <w:rsid w:val="003261C8"/>
    <w:rsid w:val="003265F3"/>
    <w:rsid w:val="003319FF"/>
    <w:rsid w:val="00332909"/>
    <w:rsid w:val="00333866"/>
    <w:rsid w:val="00334290"/>
    <w:rsid w:val="0034546B"/>
    <w:rsid w:val="00347965"/>
    <w:rsid w:val="003530F3"/>
    <w:rsid w:val="003557F3"/>
    <w:rsid w:val="0035597E"/>
    <w:rsid w:val="003608CC"/>
    <w:rsid w:val="0036134D"/>
    <w:rsid w:val="00366E45"/>
    <w:rsid w:val="0036717B"/>
    <w:rsid w:val="00371D9D"/>
    <w:rsid w:val="003752AE"/>
    <w:rsid w:val="00375966"/>
    <w:rsid w:val="00376D5C"/>
    <w:rsid w:val="00377FB5"/>
    <w:rsid w:val="0038255A"/>
    <w:rsid w:val="00383425"/>
    <w:rsid w:val="00387E8F"/>
    <w:rsid w:val="00391ADA"/>
    <w:rsid w:val="00392E47"/>
    <w:rsid w:val="003A1EE7"/>
    <w:rsid w:val="003A539D"/>
    <w:rsid w:val="003A68A9"/>
    <w:rsid w:val="003A7EAD"/>
    <w:rsid w:val="003B0435"/>
    <w:rsid w:val="003B0C22"/>
    <w:rsid w:val="003B14BC"/>
    <w:rsid w:val="003C2421"/>
    <w:rsid w:val="003C4E61"/>
    <w:rsid w:val="003C5877"/>
    <w:rsid w:val="003D0561"/>
    <w:rsid w:val="003D28BA"/>
    <w:rsid w:val="003D435F"/>
    <w:rsid w:val="003D7765"/>
    <w:rsid w:val="003E1ACC"/>
    <w:rsid w:val="003F4F09"/>
    <w:rsid w:val="003F7E1E"/>
    <w:rsid w:val="004035D4"/>
    <w:rsid w:val="00403606"/>
    <w:rsid w:val="004071F7"/>
    <w:rsid w:val="0041061F"/>
    <w:rsid w:val="00410891"/>
    <w:rsid w:val="00411F98"/>
    <w:rsid w:val="004135CD"/>
    <w:rsid w:val="00415F94"/>
    <w:rsid w:val="004200F5"/>
    <w:rsid w:val="0042068B"/>
    <w:rsid w:val="00427A8B"/>
    <w:rsid w:val="00435BE0"/>
    <w:rsid w:val="004406ED"/>
    <w:rsid w:val="00440783"/>
    <w:rsid w:val="00443013"/>
    <w:rsid w:val="004436DE"/>
    <w:rsid w:val="00446607"/>
    <w:rsid w:val="00447FA9"/>
    <w:rsid w:val="00451C25"/>
    <w:rsid w:val="00453DA3"/>
    <w:rsid w:val="0045485D"/>
    <w:rsid w:val="00457128"/>
    <w:rsid w:val="004613A8"/>
    <w:rsid w:val="00466413"/>
    <w:rsid w:val="00466F5D"/>
    <w:rsid w:val="0046722C"/>
    <w:rsid w:val="0047077F"/>
    <w:rsid w:val="00476C5C"/>
    <w:rsid w:val="00481037"/>
    <w:rsid w:val="004863A6"/>
    <w:rsid w:val="00487AE6"/>
    <w:rsid w:val="00487CB9"/>
    <w:rsid w:val="0049307F"/>
    <w:rsid w:val="00496367"/>
    <w:rsid w:val="004A0E1C"/>
    <w:rsid w:val="004A5D0B"/>
    <w:rsid w:val="004A7E92"/>
    <w:rsid w:val="004B1102"/>
    <w:rsid w:val="004B617C"/>
    <w:rsid w:val="004C1861"/>
    <w:rsid w:val="004C4DF1"/>
    <w:rsid w:val="004D4183"/>
    <w:rsid w:val="004D420F"/>
    <w:rsid w:val="004F1BEB"/>
    <w:rsid w:val="004F3406"/>
    <w:rsid w:val="00503D75"/>
    <w:rsid w:val="0050519B"/>
    <w:rsid w:val="00507882"/>
    <w:rsid w:val="005104CF"/>
    <w:rsid w:val="00515961"/>
    <w:rsid w:val="005213DF"/>
    <w:rsid w:val="005221AD"/>
    <w:rsid w:val="0053002E"/>
    <w:rsid w:val="005315B8"/>
    <w:rsid w:val="00531ADB"/>
    <w:rsid w:val="005341C3"/>
    <w:rsid w:val="00535006"/>
    <w:rsid w:val="00536260"/>
    <w:rsid w:val="00536334"/>
    <w:rsid w:val="0053695D"/>
    <w:rsid w:val="00536C6D"/>
    <w:rsid w:val="00537B8E"/>
    <w:rsid w:val="0055037D"/>
    <w:rsid w:val="00550E4C"/>
    <w:rsid w:val="00564536"/>
    <w:rsid w:val="00565E98"/>
    <w:rsid w:val="00566FBE"/>
    <w:rsid w:val="00574F8C"/>
    <w:rsid w:val="00575F2A"/>
    <w:rsid w:val="0057696A"/>
    <w:rsid w:val="0058015D"/>
    <w:rsid w:val="00580A72"/>
    <w:rsid w:val="00580CBD"/>
    <w:rsid w:val="00581212"/>
    <w:rsid w:val="005825BA"/>
    <w:rsid w:val="00583062"/>
    <w:rsid w:val="00583A23"/>
    <w:rsid w:val="0058402E"/>
    <w:rsid w:val="005847FB"/>
    <w:rsid w:val="00586DDE"/>
    <w:rsid w:val="00586DF4"/>
    <w:rsid w:val="0059251F"/>
    <w:rsid w:val="005925CE"/>
    <w:rsid w:val="00597B49"/>
    <w:rsid w:val="005A1235"/>
    <w:rsid w:val="005A3951"/>
    <w:rsid w:val="005A6840"/>
    <w:rsid w:val="005B3990"/>
    <w:rsid w:val="005B5379"/>
    <w:rsid w:val="005B547D"/>
    <w:rsid w:val="005C3136"/>
    <w:rsid w:val="005C573D"/>
    <w:rsid w:val="005C7537"/>
    <w:rsid w:val="005C7C9A"/>
    <w:rsid w:val="005D11C5"/>
    <w:rsid w:val="005D3002"/>
    <w:rsid w:val="005D39FA"/>
    <w:rsid w:val="005E1778"/>
    <w:rsid w:val="005E7C1A"/>
    <w:rsid w:val="005F0B7E"/>
    <w:rsid w:val="005F0C90"/>
    <w:rsid w:val="005F2F6C"/>
    <w:rsid w:val="005F790E"/>
    <w:rsid w:val="005F7B2C"/>
    <w:rsid w:val="006018AE"/>
    <w:rsid w:val="006037D6"/>
    <w:rsid w:val="006078A0"/>
    <w:rsid w:val="006131FA"/>
    <w:rsid w:val="00616903"/>
    <w:rsid w:val="00617F73"/>
    <w:rsid w:val="0062011E"/>
    <w:rsid w:val="00622DF4"/>
    <w:rsid w:val="00623EFC"/>
    <w:rsid w:val="00624F12"/>
    <w:rsid w:val="006268AD"/>
    <w:rsid w:val="00630B93"/>
    <w:rsid w:val="006323D1"/>
    <w:rsid w:val="00633D88"/>
    <w:rsid w:val="00635039"/>
    <w:rsid w:val="006354EB"/>
    <w:rsid w:val="00643711"/>
    <w:rsid w:val="00644B59"/>
    <w:rsid w:val="00644E06"/>
    <w:rsid w:val="00644E1A"/>
    <w:rsid w:val="0064651E"/>
    <w:rsid w:val="00647F84"/>
    <w:rsid w:val="006537DE"/>
    <w:rsid w:val="006578F5"/>
    <w:rsid w:val="00660D33"/>
    <w:rsid w:val="00663629"/>
    <w:rsid w:val="006650C4"/>
    <w:rsid w:val="00672208"/>
    <w:rsid w:val="00675A1C"/>
    <w:rsid w:val="00675CFC"/>
    <w:rsid w:val="00676248"/>
    <w:rsid w:val="00686D56"/>
    <w:rsid w:val="00690894"/>
    <w:rsid w:val="00690B3E"/>
    <w:rsid w:val="00690F35"/>
    <w:rsid w:val="0069132B"/>
    <w:rsid w:val="00693AAB"/>
    <w:rsid w:val="0069450E"/>
    <w:rsid w:val="006959C0"/>
    <w:rsid w:val="006A0C51"/>
    <w:rsid w:val="006A168C"/>
    <w:rsid w:val="006A30AF"/>
    <w:rsid w:val="006A42A6"/>
    <w:rsid w:val="006A591A"/>
    <w:rsid w:val="006A68D7"/>
    <w:rsid w:val="006B0BEA"/>
    <w:rsid w:val="006B774A"/>
    <w:rsid w:val="006B777C"/>
    <w:rsid w:val="006C50AD"/>
    <w:rsid w:val="006C5CB8"/>
    <w:rsid w:val="006D1F8D"/>
    <w:rsid w:val="006D22FC"/>
    <w:rsid w:val="006D64DF"/>
    <w:rsid w:val="006D7C18"/>
    <w:rsid w:val="006E1264"/>
    <w:rsid w:val="006E25A4"/>
    <w:rsid w:val="006E289F"/>
    <w:rsid w:val="006E2EA2"/>
    <w:rsid w:val="006E6464"/>
    <w:rsid w:val="006F115E"/>
    <w:rsid w:val="006F4DEF"/>
    <w:rsid w:val="006F59B6"/>
    <w:rsid w:val="006F6720"/>
    <w:rsid w:val="00702E8C"/>
    <w:rsid w:val="00706A34"/>
    <w:rsid w:val="00711315"/>
    <w:rsid w:val="0071551B"/>
    <w:rsid w:val="007173D7"/>
    <w:rsid w:val="00723330"/>
    <w:rsid w:val="00724111"/>
    <w:rsid w:val="007249C3"/>
    <w:rsid w:val="00724B42"/>
    <w:rsid w:val="00726C9F"/>
    <w:rsid w:val="00727B1A"/>
    <w:rsid w:val="007301E8"/>
    <w:rsid w:val="0073453E"/>
    <w:rsid w:val="00737361"/>
    <w:rsid w:val="00737475"/>
    <w:rsid w:val="00737F7A"/>
    <w:rsid w:val="007409EA"/>
    <w:rsid w:val="00740AA0"/>
    <w:rsid w:val="00740CA9"/>
    <w:rsid w:val="007418D1"/>
    <w:rsid w:val="00743D7B"/>
    <w:rsid w:val="007463F0"/>
    <w:rsid w:val="00746F77"/>
    <w:rsid w:val="00747FA1"/>
    <w:rsid w:val="0075091D"/>
    <w:rsid w:val="00751F91"/>
    <w:rsid w:val="007529CE"/>
    <w:rsid w:val="00755303"/>
    <w:rsid w:val="00762C10"/>
    <w:rsid w:val="00770156"/>
    <w:rsid w:val="00770F3E"/>
    <w:rsid w:val="00772CCA"/>
    <w:rsid w:val="007739D7"/>
    <w:rsid w:val="00776F56"/>
    <w:rsid w:val="00780618"/>
    <w:rsid w:val="00782604"/>
    <w:rsid w:val="00783303"/>
    <w:rsid w:val="00785D46"/>
    <w:rsid w:val="00786BF3"/>
    <w:rsid w:val="00786C85"/>
    <w:rsid w:val="00793ADC"/>
    <w:rsid w:val="00794258"/>
    <w:rsid w:val="007A02C6"/>
    <w:rsid w:val="007A1036"/>
    <w:rsid w:val="007A3BF9"/>
    <w:rsid w:val="007A57CA"/>
    <w:rsid w:val="007A79BC"/>
    <w:rsid w:val="007B0FB2"/>
    <w:rsid w:val="007B1319"/>
    <w:rsid w:val="007B3447"/>
    <w:rsid w:val="007B3844"/>
    <w:rsid w:val="007B4747"/>
    <w:rsid w:val="007B6EB5"/>
    <w:rsid w:val="007C0249"/>
    <w:rsid w:val="007C1044"/>
    <w:rsid w:val="007C43F8"/>
    <w:rsid w:val="007C4BFE"/>
    <w:rsid w:val="007C4FCF"/>
    <w:rsid w:val="007C626E"/>
    <w:rsid w:val="007C7D98"/>
    <w:rsid w:val="007D5483"/>
    <w:rsid w:val="007E57CE"/>
    <w:rsid w:val="007F2CEF"/>
    <w:rsid w:val="007F2EDB"/>
    <w:rsid w:val="007F513C"/>
    <w:rsid w:val="007F630B"/>
    <w:rsid w:val="00802C81"/>
    <w:rsid w:val="00805619"/>
    <w:rsid w:val="0080791D"/>
    <w:rsid w:val="00812862"/>
    <w:rsid w:val="00813B76"/>
    <w:rsid w:val="00814308"/>
    <w:rsid w:val="00821BF5"/>
    <w:rsid w:val="00823599"/>
    <w:rsid w:val="008235DA"/>
    <w:rsid w:val="00823C5D"/>
    <w:rsid w:val="008242F2"/>
    <w:rsid w:val="008449D8"/>
    <w:rsid w:val="00852443"/>
    <w:rsid w:val="0085601C"/>
    <w:rsid w:val="00860D1A"/>
    <w:rsid w:val="0086515F"/>
    <w:rsid w:val="00865C08"/>
    <w:rsid w:val="0086739B"/>
    <w:rsid w:val="008678B1"/>
    <w:rsid w:val="00870EEF"/>
    <w:rsid w:val="00876FE7"/>
    <w:rsid w:val="00882EA5"/>
    <w:rsid w:val="0088348A"/>
    <w:rsid w:val="00883890"/>
    <w:rsid w:val="00884F46"/>
    <w:rsid w:val="00885CC9"/>
    <w:rsid w:val="008866C8"/>
    <w:rsid w:val="008926E9"/>
    <w:rsid w:val="00892B05"/>
    <w:rsid w:val="0089434D"/>
    <w:rsid w:val="0089472B"/>
    <w:rsid w:val="008A4A3A"/>
    <w:rsid w:val="008B2E64"/>
    <w:rsid w:val="008B32B8"/>
    <w:rsid w:val="008B4D92"/>
    <w:rsid w:val="008B4DFD"/>
    <w:rsid w:val="008B7048"/>
    <w:rsid w:val="008C3BA9"/>
    <w:rsid w:val="008C4B1A"/>
    <w:rsid w:val="008D232B"/>
    <w:rsid w:val="008D5FA0"/>
    <w:rsid w:val="008D606E"/>
    <w:rsid w:val="008E0789"/>
    <w:rsid w:val="008E17CB"/>
    <w:rsid w:val="008E22EC"/>
    <w:rsid w:val="008E2D5C"/>
    <w:rsid w:val="008F5C32"/>
    <w:rsid w:val="00903404"/>
    <w:rsid w:val="0090456B"/>
    <w:rsid w:val="0090473E"/>
    <w:rsid w:val="00906427"/>
    <w:rsid w:val="00907FE7"/>
    <w:rsid w:val="00911B03"/>
    <w:rsid w:val="009137FF"/>
    <w:rsid w:val="00913BA9"/>
    <w:rsid w:val="00916D97"/>
    <w:rsid w:val="009226F3"/>
    <w:rsid w:val="00924C60"/>
    <w:rsid w:val="00925737"/>
    <w:rsid w:val="00926596"/>
    <w:rsid w:val="00926896"/>
    <w:rsid w:val="00936782"/>
    <w:rsid w:val="00937D97"/>
    <w:rsid w:val="00941818"/>
    <w:rsid w:val="009501CA"/>
    <w:rsid w:val="0095295E"/>
    <w:rsid w:val="00957EF1"/>
    <w:rsid w:val="009654DB"/>
    <w:rsid w:val="00965840"/>
    <w:rsid w:val="00965942"/>
    <w:rsid w:val="00973923"/>
    <w:rsid w:val="00973DB0"/>
    <w:rsid w:val="00974D1D"/>
    <w:rsid w:val="0097531B"/>
    <w:rsid w:val="00975BC7"/>
    <w:rsid w:val="0098450F"/>
    <w:rsid w:val="0098725F"/>
    <w:rsid w:val="00987E00"/>
    <w:rsid w:val="00990687"/>
    <w:rsid w:val="00991424"/>
    <w:rsid w:val="00996300"/>
    <w:rsid w:val="00996533"/>
    <w:rsid w:val="009A169B"/>
    <w:rsid w:val="009A4894"/>
    <w:rsid w:val="009A632A"/>
    <w:rsid w:val="009B082C"/>
    <w:rsid w:val="009B1D5A"/>
    <w:rsid w:val="009B2D1B"/>
    <w:rsid w:val="009B5BC7"/>
    <w:rsid w:val="009C34DD"/>
    <w:rsid w:val="009C4748"/>
    <w:rsid w:val="009C4A78"/>
    <w:rsid w:val="009C6AB0"/>
    <w:rsid w:val="009D13B9"/>
    <w:rsid w:val="009D4CA9"/>
    <w:rsid w:val="009D5021"/>
    <w:rsid w:val="009D5345"/>
    <w:rsid w:val="009D5546"/>
    <w:rsid w:val="009E6DF7"/>
    <w:rsid w:val="009F55CD"/>
    <w:rsid w:val="009F6D71"/>
    <w:rsid w:val="00A002CF"/>
    <w:rsid w:val="00A0435F"/>
    <w:rsid w:val="00A04CAA"/>
    <w:rsid w:val="00A04EDB"/>
    <w:rsid w:val="00A05104"/>
    <w:rsid w:val="00A07239"/>
    <w:rsid w:val="00A07362"/>
    <w:rsid w:val="00A12752"/>
    <w:rsid w:val="00A138DA"/>
    <w:rsid w:val="00A202E8"/>
    <w:rsid w:val="00A24EC4"/>
    <w:rsid w:val="00A267F8"/>
    <w:rsid w:val="00A27B2C"/>
    <w:rsid w:val="00A32FF7"/>
    <w:rsid w:val="00A33F0C"/>
    <w:rsid w:val="00A401D5"/>
    <w:rsid w:val="00A405C9"/>
    <w:rsid w:val="00A4222C"/>
    <w:rsid w:val="00A4674D"/>
    <w:rsid w:val="00A46E9A"/>
    <w:rsid w:val="00A515A1"/>
    <w:rsid w:val="00A52EC6"/>
    <w:rsid w:val="00A57070"/>
    <w:rsid w:val="00A629C4"/>
    <w:rsid w:val="00A63BA3"/>
    <w:rsid w:val="00A63EF2"/>
    <w:rsid w:val="00A65A32"/>
    <w:rsid w:val="00A701EA"/>
    <w:rsid w:val="00A7298A"/>
    <w:rsid w:val="00A7433E"/>
    <w:rsid w:val="00A752AA"/>
    <w:rsid w:val="00A81225"/>
    <w:rsid w:val="00A82E16"/>
    <w:rsid w:val="00A83A2E"/>
    <w:rsid w:val="00A83A79"/>
    <w:rsid w:val="00A84ABF"/>
    <w:rsid w:val="00A86414"/>
    <w:rsid w:val="00A92792"/>
    <w:rsid w:val="00A93DBF"/>
    <w:rsid w:val="00AA15C6"/>
    <w:rsid w:val="00AA2B9C"/>
    <w:rsid w:val="00AA4801"/>
    <w:rsid w:val="00AB0411"/>
    <w:rsid w:val="00AB3ED3"/>
    <w:rsid w:val="00AB4B77"/>
    <w:rsid w:val="00AB5764"/>
    <w:rsid w:val="00AB79C3"/>
    <w:rsid w:val="00AC24E6"/>
    <w:rsid w:val="00AC37C9"/>
    <w:rsid w:val="00AC65DA"/>
    <w:rsid w:val="00AC7643"/>
    <w:rsid w:val="00AE2135"/>
    <w:rsid w:val="00AE29BB"/>
    <w:rsid w:val="00AF1228"/>
    <w:rsid w:val="00AF2323"/>
    <w:rsid w:val="00AF4D96"/>
    <w:rsid w:val="00B02D21"/>
    <w:rsid w:val="00B0310C"/>
    <w:rsid w:val="00B0428C"/>
    <w:rsid w:val="00B0445A"/>
    <w:rsid w:val="00B06C6A"/>
    <w:rsid w:val="00B06EAA"/>
    <w:rsid w:val="00B105C9"/>
    <w:rsid w:val="00B1348B"/>
    <w:rsid w:val="00B14BDC"/>
    <w:rsid w:val="00B155AE"/>
    <w:rsid w:val="00B16AA4"/>
    <w:rsid w:val="00B17110"/>
    <w:rsid w:val="00B22620"/>
    <w:rsid w:val="00B25FB6"/>
    <w:rsid w:val="00B26952"/>
    <w:rsid w:val="00B30A6F"/>
    <w:rsid w:val="00B36801"/>
    <w:rsid w:val="00B40681"/>
    <w:rsid w:val="00B409E0"/>
    <w:rsid w:val="00B4118E"/>
    <w:rsid w:val="00B41B75"/>
    <w:rsid w:val="00B4392F"/>
    <w:rsid w:val="00B43B3D"/>
    <w:rsid w:val="00B45D32"/>
    <w:rsid w:val="00B47A34"/>
    <w:rsid w:val="00B512DE"/>
    <w:rsid w:val="00B5207A"/>
    <w:rsid w:val="00B5279C"/>
    <w:rsid w:val="00B54537"/>
    <w:rsid w:val="00B567D6"/>
    <w:rsid w:val="00B56A27"/>
    <w:rsid w:val="00B64955"/>
    <w:rsid w:val="00B708D1"/>
    <w:rsid w:val="00B802BB"/>
    <w:rsid w:val="00B835E9"/>
    <w:rsid w:val="00B847A4"/>
    <w:rsid w:val="00B928E1"/>
    <w:rsid w:val="00B94FC8"/>
    <w:rsid w:val="00B95B5E"/>
    <w:rsid w:val="00B96C82"/>
    <w:rsid w:val="00B97E90"/>
    <w:rsid w:val="00BA5BBF"/>
    <w:rsid w:val="00BA70D3"/>
    <w:rsid w:val="00BB180C"/>
    <w:rsid w:val="00BB20FC"/>
    <w:rsid w:val="00BB69A5"/>
    <w:rsid w:val="00BC226E"/>
    <w:rsid w:val="00BC2903"/>
    <w:rsid w:val="00BC3C9D"/>
    <w:rsid w:val="00BC4258"/>
    <w:rsid w:val="00BC547E"/>
    <w:rsid w:val="00BC576A"/>
    <w:rsid w:val="00BD5B52"/>
    <w:rsid w:val="00BD66DA"/>
    <w:rsid w:val="00BD7EEC"/>
    <w:rsid w:val="00BE11B5"/>
    <w:rsid w:val="00BE1304"/>
    <w:rsid w:val="00BE3393"/>
    <w:rsid w:val="00BF14BA"/>
    <w:rsid w:val="00BF3A4D"/>
    <w:rsid w:val="00BF5FA8"/>
    <w:rsid w:val="00BF69CD"/>
    <w:rsid w:val="00C024CE"/>
    <w:rsid w:val="00C0389D"/>
    <w:rsid w:val="00C053B4"/>
    <w:rsid w:val="00C0724A"/>
    <w:rsid w:val="00C10513"/>
    <w:rsid w:val="00C1229B"/>
    <w:rsid w:val="00C148AC"/>
    <w:rsid w:val="00C15A72"/>
    <w:rsid w:val="00C15B2B"/>
    <w:rsid w:val="00C16BE7"/>
    <w:rsid w:val="00C170BC"/>
    <w:rsid w:val="00C20418"/>
    <w:rsid w:val="00C26584"/>
    <w:rsid w:val="00C27B32"/>
    <w:rsid w:val="00C321E2"/>
    <w:rsid w:val="00C35431"/>
    <w:rsid w:val="00C36FD2"/>
    <w:rsid w:val="00C37032"/>
    <w:rsid w:val="00C37F31"/>
    <w:rsid w:val="00C41CBC"/>
    <w:rsid w:val="00C42627"/>
    <w:rsid w:val="00C4281C"/>
    <w:rsid w:val="00C42A48"/>
    <w:rsid w:val="00C45F50"/>
    <w:rsid w:val="00C51805"/>
    <w:rsid w:val="00C5201C"/>
    <w:rsid w:val="00C527CD"/>
    <w:rsid w:val="00C54B0C"/>
    <w:rsid w:val="00C551F4"/>
    <w:rsid w:val="00C56246"/>
    <w:rsid w:val="00C56DE0"/>
    <w:rsid w:val="00C6078D"/>
    <w:rsid w:val="00C627DB"/>
    <w:rsid w:val="00C62D45"/>
    <w:rsid w:val="00C65364"/>
    <w:rsid w:val="00C65947"/>
    <w:rsid w:val="00C65C84"/>
    <w:rsid w:val="00C71863"/>
    <w:rsid w:val="00C74773"/>
    <w:rsid w:val="00C74C1E"/>
    <w:rsid w:val="00C76B49"/>
    <w:rsid w:val="00C800CE"/>
    <w:rsid w:val="00C8089F"/>
    <w:rsid w:val="00C815AE"/>
    <w:rsid w:val="00C87B0C"/>
    <w:rsid w:val="00C962DB"/>
    <w:rsid w:val="00C9645B"/>
    <w:rsid w:val="00CB1080"/>
    <w:rsid w:val="00CB210B"/>
    <w:rsid w:val="00CB720D"/>
    <w:rsid w:val="00CB7AC1"/>
    <w:rsid w:val="00CC0A4F"/>
    <w:rsid w:val="00CC19A0"/>
    <w:rsid w:val="00CC428E"/>
    <w:rsid w:val="00CC539D"/>
    <w:rsid w:val="00CD2BCF"/>
    <w:rsid w:val="00CE31EE"/>
    <w:rsid w:val="00CE4D05"/>
    <w:rsid w:val="00CF12DC"/>
    <w:rsid w:val="00CF1C9F"/>
    <w:rsid w:val="00CF688B"/>
    <w:rsid w:val="00D0313B"/>
    <w:rsid w:val="00D05284"/>
    <w:rsid w:val="00D10027"/>
    <w:rsid w:val="00D11C44"/>
    <w:rsid w:val="00D155C1"/>
    <w:rsid w:val="00D16B9D"/>
    <w:rsid w:val="00D222D0"/>
    <w:rsid w:val="00D22F9E"/>
    <w:rsid w:val="00D22FF6"/>
    <w:rsid w:val="00D25D57"/>
    <w:rsid w:val="00D26492"/>
    <w:rsid w:val="00D26849"/>
    <w:rsid w:val="00D32438"/>
    <w:rsid w:val="00D32B74"/>
    <w:rsid w:val="00D32DCC"/>
    <w:rsid w:val="00D3470D"/>
    <w:rsid w:val="00D368C8"/>
    <w:rsid w:val="00D3742F"/>
    <w:rsid w:val="00D41641"/>
    <w:rsid w:val="00D4689D"/>
    <w:rsid w:val="00D47C97"/>
    <w:rsid w:val="00D517DC"/>
    <w:rsid w:val="00D51C97"/>
    <w:rsid w:val="00D52AE9"/>
    <w:rsid w:val="00D53A7D"/>
    <w:rsid w:val="00D55F0F"/>
    <w:rsid w:val="00D60A9B"/>
    <w:rsid w:val="00D612B6"/>
    <w:rsid w:val="00D70409"/>
    <w:rsid w:val="00D72C76"/>
    <w:rsid w:val="00D761AA"/>
    <w:rsid w:val="00D8076B"/>
    <w:rsid w:val="00D83C62"/>
    <w:rsid w:val="00D857B9"/>
    <w:rsid w:val="00D86356"/>
    <w:rsid w:val="00D87F67"/>
    <w:rsid w:val="00D903E3"/>
    <w:rsid w:val="00D920C7"/>
    <w:rsid w:val="00D95E9B"/>
    <w:rsid w:val="00DA18AA"/>
    <w:rsid w:val="00DA3710"/>
    <w:rsid w:val="00DA4B43"/>
    <w:rsid w:val="00DA5758"/>
    <w:rsid w:val="00DA59A4"/>
    <w:rsid w:val="00DB0ADB"/>
    <w:rsid w:val="00DB2A2A"/>
    <w:rsid w:val="00DB6173"/>
    <w:rsid w:val="00DB78CE"/>
    <w:rsid w:val="00DC2923"/>
    <w:rsid w:val="00DC33E2"/>
    <w:rsid w:val="00DC3D58"/>
    <w:rsid w:val="00DC4548"/>
    <w:rsid w:val="00DC6661"/>
    <w:rsid w:val="00DD117A"/>
    <w:rsid w:val="00DD4162"/>
    <w:rsid w:val="00DD5D02"/>
    <w:rsid w:val="00DE2E17"/>
    <w:rsid w:val="00DE6369"/>
    <w:rsid w:val="00DE713E"/>
    <w:rsid w:val="00DE727B"/>
    <w:rsid w:val="00DF443E"/>
    <w:rsid w:val="00DF5391"/>
    <w:rsid w:val="00DF5DAB"/>
    <w:rsid w:val="00DF631C"/>
    <w:rsid w:val="00DF711C"/>
    <w:rsid w:val="00E009CD"/>
    <w:rsid w:val="00E04D6E"/>
    <w:rsid w:val="00E10211"/>
    <w:rsid w:val="00E10E20"/>
    <w:rsid w:val="00E129EB"/>
    <w:rsid w:val="00E12BFA"/>
    <w:rsid w:val="00E13168"/>
    <w:rsid w:val="00E17A87"/>
    <w:rsid w:val="00E17E5A"/>
    <w:rsid w:val="00E23FA4"/>
    <w:rsid w:val="00E26CEE"/>
    <w:rsid w:val="00E30F4C"/>
    <w:rsid w:val="00E31A5C"/>
    <w:rsid w:val="00E31FBA"/>
    <w:rsid w:val="00E348E3"/>
    <w:rsid w:val="00E356B9"/>
    <w:rsid w:val="00E37FC2"/>
    <w:rsid w:val="00E413D8"/>
    <w:rsid w:val="00E54A9B"/>
    <w:rsid w:val="00E57DF0"/>
    <w:rsid w:val="00E6014F"/>
    <w:rsid w:val="00E602A2"/>
    <w:rsid w:val="00E60D3B"/>
    <w:rsid w:val="00E74141"/>
    <w:rsid w:val="00E81B5F"/>
    <w:rsid w:val="00E82D37"/>
    <w:rsid w:val="00E82EC9"/>
    <w:rsid w:val="00E86620"/>
    <w:rsid w:val="00E87639"/>
    <w:rsid w:val="00E94313"/>
    <w:rsid w:val="00E95591"/>
    <w:rsid w:val="00EA217E"/>
    <w:rsid w:val="00EA2E91"/>
    <w:rsid w:val="00EA4DC4"/>
    <w:rsid w:val="00EA4DD2"/>
    <w:rsid w:val="00EA5132"/>
    <w:rsid w:val="00EA54B7"/>
    <w:rsid w:val="00EB404B"/>
    <w:rsid w:val="00EB4EF3"/>
    <w:rsid w:val="00EB72D2"/>
    <w:rsid w:val="00EB7986"/>
    <w:rsid w:val="00EC36B9"/>
    <w:rsid w:val="00EC3BA5"/>
    <w:rsid w:val="00EC5317"/>
    <w:rsid w:val="00EC7A0D"/>
    <w:rsid w:val="00EC7A29"/>
    <w:rsid w:val="00ED06DC"/>
    <w:rsid w:val="00ED46D5"/>
    <w:rsid w:val="00ED6A7B"/>
    <w:rsid w:val="00ED6C56"/>
    <w:rsid w:val="00ED72C4"/>
    <w:rsid w:val="00ED761E"/>
    <w:rsid w:val="00EE173C"/>
    <w:rsid w:val="00EE51DB"/>
    <w:rsid w:val="00EE61E4"/>
    <w:rsid w:val="00EE6202"/>
    <w:rsid w:val="00EF3B39"/>
    <w:rsid w:val="00EF57DC"/>
    <w:rsid w:val="00EF5C57"/>
    <w:rsid w:val="00EF5CC7"/>
    <w:rsid w:val="00EF761A"/>
    <w:rsid w:val="00F042A1"/>
    <w:rsid w:val="00F05565"/>
    <w:rsid w:val="00F05D23"/>
    <w:rsid w:val="00F05E32"/>
    <w:rsid w:val="00F10403"/>
    <w:rsid w:val="00F10A5C"/>
    <w:rsid w:val="00F1418C"/>
    <w:rsid w:val="00F1610F"/>
    <w:rsid w:val="00F2412C"/>
    <w:rsid w:val="00F24CF1"/>
    <w:rsid w:val="00F26526"/>
    <w:rsid w:val="00F266A4"/>
    <w:rsid w:val="00F268BE"/>
    <w:rsid w:val="00F35097"/>
    <w:rsid w:val="00F36F25"/>
    <w:rsid w:val="00F371B6"/>
    <w:rsid w:val="00F4215B"/>
    <w:rsid w:val="00F430F0"/>
    <w:rsid w:val="00F445C6"/>
    <w:rsid w:val="00F52CE0"/>
    <w:rsid w:val="00F571A5"/>
    <w:rsid w:val="00F61C9B"/>
    <w:rsid w:val="00F63234"/>
    <w:rsid w:val="00F6381B"/>
    <w:rsid w:val="00F642D3"/>
    <w:rsid w:val="00F64512"/>
    <w:rsid w:val="00F658B0"/>
    <w:rsid w:val="00F71792"/>
    <w:rsid w:val="00F74402"/>
    <w:rsid w:val="00F77059"/>
    <w:rsid w:val="00F8240B"/>
    <w:rsid w:val="00F827C7"/>
    <w:rsid w:val="00F8427C"/>
    <w:rsid w:val="00F90AC7"/>
    <w:rsid w:val="00F91AAD"/>
    <w:rsid w:val="00F93195"/>
    <w:rsid w:val="00F94EC2"/>
    <w:rsid w:val="00F95348"/>
    <w:rsid w:val="00F97841"/>
    <w:rsid w:val="00FA0126"/>
    <w:rsid w:val="00FA1B7D"/>
    <w:rsid w:val="00FA27CC"/>
    <w:rsid w:val="00FA354E"/>
    <w:rsid w:val="00FA6A69"/>
    <w:rsid w:val="00FB00E0"/>
    <w:rsid w:val="00FB7BFB"/>
    <w:rsid w:val="00FC07AF"/>
    <w:rsid w:val="00FC1BAB"/>
    <w:rsid w:val="00FC2993"/>
    <w:rsid w:val="00FC2A48"/>
    <w:rsid w:val="00FC4AB5"/>
    <w:rsid w:val="00FC7EBF"/>
    <w:rsid w:val="00FD578A"/>
    <w:rsid w:val="00FE14E7"/>
    <w:rsid w:val="00FE2C2C"/>
    <w:rsid w:val="00FE4B28"/>
    <w:rsid w:val="00FF5BDF"/>
    <w:rsid w:val="00FF7E34"/>
    <w:rsid w:val="033B5A1E"/>
    <w:rsid w:val="06565F7D"/>
    <w:rsid w:val="0B2D0D87"/>
    <w:rsid w:val="0B9303BC"/>
    <w:rsid w:val="0DA217FD"/>
    <w:rsid w:val="155D10F7"/>
    <w:rsid w:val="1AE30B16"/>
    <w:rsid w:val="1C8F09B7"/>
    <w:rsid w:val="278C0E14"/>
    <w:rsid w:val="27AF3575"/>
    <w:rsid w:val="2FB21945"/>
    <w:rsid w:val="32B3582F"/>
    <w:rsid w:val="42732498"/>
    <w:rsid w:val="4916425B"/>
    <w:rsid w:val="4E76747F"/>
    <w:rsid w:val="5E93224D"/>
    <w:rsid w:val="5EA447A6"/>
    <w:rsid w:val="62CF452C"/>
    <w:rsid w:val="67205F07"/>
    <w:rsid w:val="6D7B2BF3"/>
    <w:rsid w:val="752344B4"/>
    <w:rsid w:val="7AA83460"/>
    <w:rsid w:val="7E4C028A"/>
    <w:rsid w:val="7ED4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ascii="Calibri Light" w:hAnsi="Calibri Light"/>
      <w:sz w:val="20"/>
      <w:szCs w:val="20"/>
    </w:rPr>
  </w:style>
  <w:style w:type="paragraph" w:styleId="3">
    <w:name w:val="Balloon Text"/>
    <w:basedOn w:val="1"/>
    <w:link w:val="1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table" w:customStyle="1" w:styleId="11">
    <w:name w:val="网格型浅色1"/>
    <w:basedOn w:val="7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2">
    <w:name w:val="批注框文本 字符"/>
    <w:basedOn w:val="9"/>
    <w:link w:val="3"/>
    <w:semiHidden/>
    <w:uiPriority w:val="99"/>
    <w:rPr>
      <w:kern w:val="2"/>
      <w:sz w:val="18"/>
      <w:szCs w:val="18"/>
    </w:rPr>
  </w:style>
  <w:style w:type="paragraph" w:customStyle="1" w:styleId="13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DE27C-9C0F-498A-9726-FC6BCD4E8B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1275</Words>
  <Characters>1283</Characters>
  <Lines>9</Lines>
  <Paragraphs>2</Paragraphs>
  <TotalTime>6174</TotalTime>
  <ScaleCrop>false</ScaleCrop>
  <LinksUpToDate>false</LinksUpToDate>
  <CharactersWithSpaces>1285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2024-12-18T08:58:00Z</dcterms:created>
  <dc:creator>sun</dc:creator>
  <cp:lastModifiedBy>Anna</cp:lastModifiedBy>
  <dcterms:modified xsi:type="dcterms:W3CDTF">2026-05-11T04:13:42Z</dcterms:modified>
  <dc:title>周丽老师简介：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eyJoZGlkIjoiNmVhZDRiYjM0MzYwNGMwZDA4NDIzNTFjOGEzNmMwODQiLCJ1c2VySWQiOiIxMzQ5ODE0ODAxIn0=</vt:lpwstr>
  </property>
  <property fmtid="{D5CDD505-2E9C-101B-9397-08002B2CF9AE}" pid="4" name="ICV">
    <vt:lpwstr>F39B056A2DE1478AADE873D71137F1F8_12</vt:lpwstr>
  </property>
</Properties>
</file>