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color w:val="2D6A4F"/>
          <w:sz w:val="36"/>
          <w:szCs w:val="36"/>
        </w:rPr>
        <w:t xml:space="preserve">朝曦培训方案资料包</w:t>
      </w:r>
    </w:p>
    <w:p>
      <w:pPr>
        <w:spacing w:after="100"/>
      </w:pPr>
      <w:r>
        <w:rPr>
          <w:rFonts w:ascii="Arial" w:cs="Arial" w:eastAsia="Arial" w:hAnsi="Arial"/>
          <w:color w:val="444444"/>
          <w:sz w:val="22"/>
          <w:szCs w:val="22"/>
        </w:rPr>
        <w:t xml:space="preserve">渠道名称：________________________　　销售人员：________________________</w:t>
      </w:r>
    </w:p>
    <w:p>
      <w:pPr>
        <w:spacing w:after="400"/>
      </w:pPr>
      <w:r>
        <w:rPr>
          <w:rFonts w:ascii="Arial" w:cs="Arial" w:eastAsia="Arial" w:hAnsi="Arial"/>
          <w:color w:val="888888"/>
          <w:sz w:val="20"/>
          <w:szCs w:val="20"/>
        </w:rPr>
        <w:t xml:space="preserve">生成时间：2026/5/27 16:15:18</w:t>
      </w:r>
    </w:p>
    <w:p>
      <w:pPr>
        <w:pStyle w:val="Heading2"/>
        <w:spacing w:after="160" w:before="240"/>
      </w:pPr>
      <w:r>
        <w:rPr>
          <w:rFonts w:ascii="Arial" w:cs="Arial" w:eastAsia="Arial" w:hAnsi="Arial"/>
          <w:b/>
          <w:bCs/>
          <w:sz w:val="28"/>
          <w:szCs w:val="28"/>
        </w:rPr>
        <w:t xml:space="preserve">一、课程方案课纲目录</w:t>
      </w:r>
    </w:p>
    <w:p>
      <w:pPr>
        <w:spacing w:after="60"/>
      </w:pPr>
      <w:r>
        <w:rPr>
          <w:rFonts w:ascii="Courier New" w:cs="Courier New" w:eastAsia="Courier New" w:hAnsi="Courier New"/>
          <w:color w:val="2D6A4F"/>
          <w:sz w:val="20"/>
          <w:szCs w:val="20"/>
        </w:rPr>
        <w:t xml:space="preserve">【课程二：业务扩张期——跨境业务架构与税务全景】</w:t>
      </w:r>
    </w:p>
    <w:p>
      <w:pPr>
        <w:spacing w:after="60"/>
      </w:pPr>
      <w:r>
        <w:rPr>
          <w:rFonts w:ascii="Courier New" w:cs="Courier New" w:eastAsia="Courier New" w:hAnsi="Courier New"/>
          <w:color w:val="18181B"/>
          <w:sz w:val="20"/>
          <w:szCs w:val="20"/>
        </w:rPr>
        <w:t xml:space="preserve">▌ 单元 5：《境内外信托架构与风险隔离——给家业一道“防火墙”，让经营风险“过不来”》</w:t>
      </w:r>
    </w:p>
    <w:p>
      <w:pPr>
        <w:spacing w:after="60"/>
      </w:pPr>
      <w:r>
        <w:rPr>
          <w:rFonts w:ascii="Courier New" w:cs="Courier New" w:eastAsia="Courier New" w:hAnsi="Courier New"/>
          <w:color w:val="71717A"/>
          <w:sz w:val="20"/>
          <w:szCs w:val="20"/>
        </w:rPr>
        <w:t xml:space="preserve">  第一部分：企业主财富风险全景——债务、婚姻、继承三大威胁与资产暴露路径</w:t>
      </w:r>
    </w:p>
    <w:p>
      <w:pPr>
        <w:spacing w:after="60"/>
      </w:pPr>
      <w:r>
        <w:rPr>
          <w:rFonts w:ascii="Courier New" w:cs="Courier New" w:eastAsia="Courier New" w:hAnsi="Courier New"/>
          <w:color w:val="71717A"/>
          <w:sz w:val="20"/>
          <w:szCs w:val="20"/>
        </w:rPr>
        <w:t xml:space="preserve">  第二部分：境内家族信托架构设计——设立结构、资产注入与银行配套服务</w:t>
      </w:r>
    </w:p>
    <w:p>
      <w:pPr>
        <w:spacing w:after="60"/>
      </w:pPr>
      <w:r>
        <w:rPr>
          <w:rFonts w:ascii="Courier New" w:cs="Courier New" w:eastAsia="Courier New" w:hAnsi="Courier New"/>
          <w:color w:val="71717A"/>
          <w:sz w:val="20"/>
          <w:szCs w:val="20"/>
        </w:rPr>
        <w:t xml:space="preserve">  第三部分：离岸信托架构设计——隔离机制、管辖选择与CRS合规考量</w:t>
      </w:r>
    </w:p>
    <w:p>
      <w:pPr>
        <w:spacing w:after="60"/>
      </w:pPr>
      <w:r>
        <w:rPr>
          <w:rFonts w:ascii="Courier New" w:cs="Courier New" w:eastAsia="Courier New" w:hAnsi="Courier New"/>
          <w:color w:val="71717A"/>
          <w:sz w:val="20"/>
          <w:szCs w:val="20"/>
        </w:rPr>
        <w:t xml:space="preserve">  第四部分：信托架构的税务合规与长期维护——CRS申报、资产分配税务安排及服务延伸</w:t>
      </w:r>
    </w:p>
    <w:p>
      <w:pPr>
        <w:spacing w:after="60"/>
      </w:pPr>
      <w:r>
        <w:rPr>
          <w:rFonts w:ascii="Courier New" w:cs="Courier New" w:eastAsia="Courier New" w:hAnsi="Courier New"/>
          <w:color w:val="71717A"/>
          <w:sz w:val="20"/>
          <w:szCs w:val="20"/>
        </w:rPr>
        <w:t xml:space="preserve"/>
      </w:r>
    </w:p>
    <w:p>
      <w:pPr>
        <w:spacing w:after="60"/>
      </w:pPr>
      <w:r>
        <w:rPr>
          <w:rFonts w:ascii="Courier New" w:cs="Courier New" w:eastAsia="Courier New" w:hAnsi="Courier New"/>
          <w:color w:val="2D6A4F"/>
          <w:sz w:val="20"/>
          <w:szCs w:val="20"/>
        </w:rPr>
        <w:t xml:space="preserve">【课程二：业务扩张期——跨境业务架构与税务全景】</w:t>
      </w:r>
    </w:p>
    <w:p>
      <w:pPr>
        <w:spacing w:after="60"/>
      </w:pPr>
      <w:r>
        <w:rPr>
          <w:rFonts w:ascii="Courier New" w:cs="Courier New" w:eastAsia="Courier New" w:hAnsi="Courier New"/>
          <w:color w:val="18181B"/>
          <w:sz w:val="20"/>
          <w:szCs w:val="20"/>
        </w:rPr>
        <w:t xml:space="preserve">▌ 单元 6：《跨境并购税务合规——跨境并购，盘算清楚税再购》</w:t>
      </w:r>
    </w:p>
    <w:p>
      <w:pPr>
        <w:spacing w:after="60"/>
      </w:pPr>
      <w:r>
        <w:rPr>
          <w:rFonts w:ascii="Courier New" w:cs="Courier New" w:eastAsia="Courier New" w:hAnsi="Courier New"/>
          <w:color w:val="71717A"/>
          <w:sz w:val="20"/>
          <w:szCs w:val="20"/>
        </w:rPr>
        <w:t xml:space="preserve">  第一部分：跨境并购交易结构选择——股权收购与资产收购的税务逻辑对比</w:t>
      </w:r>
    </w:p>
    <w:p>
      <w:pPr>
        <w:spacing w:after="60"/>
      </w:pPr>
      <w:r>
        <w:rPr>
          <w:rFonts w:ascii="Courier New" w:cs="Courier New" w:eastAsia="Courier New" w:hAnsi="Courier New"/>
          <w:color w:val="71717A"/>
          <w:sz w:val="20"/>
          <w:szCs w:val="20"/>
        </w:rPr>
        <w:t xml:space="preserve">  第二部分：并购前税务尽职调查——目标公司历史税务风险与隐性负债识别</w:t>
      </w:r>
    </w:p>
    <w:p>
      <w:pPr>
        <w:spacing w:after="60"/>
      </w:pPr>
      <w:r>
        <w:rPr>
          <w:rFonts w:ascii="Courier New" w:cs="Courier New" w:eastAsia="Courier New" w:hAnsi="Courier New"/>
          <w:color w:val="71717A"/>
          <w:sz w:val="20"/>
          <w:szCs w:val="20"/>
        </w:rPr>
        <w:t xml:space="preserve">  第三部分：中间控股架构设计与退出税务规划——协定优惠与资本利得税的合法降本路径</w:t>
      </w:r>
    </w:p>
    <w:p>
      <w:pPr>
        <w:spacing w:after="60"/>
      </w:pPr>
      <w:r>
        <w:rPr>
          <w:rFonts w:ascii="Courier New" w:cs="Courier New" w:eastAsia="Courier New" w:hAnsi="Courier New"/>
          <w:color w:val="71717A"/>
          <w:sz w:val="20"/>
          <w:szCs w:val="20"/>
        </w:rPr>
        <w:t xml:space="preserve">  第四部分：并购后整合阶段的税务合规与银行服务延伸</w:t>
      </w:r>
    </w:p>
    <w:p>
      <w:pPr>
        <w:spacing w:after="60"/>
      </w:pPr>
      <w:r>
        <w:rPr>
          <w:rFonts w:ascii="Courier New" w:cs="Courier New" w:eastAsia="Courier New" w:hAnsi="Courier New"/>
          <w:color w:val="71717A"/>
          <w:sz w:val="20"/>
          <w:szCs w:val="20"/>
        </w:rPr>
        <w:t xml:space="preserve"/>
      </w:r>
    </w:p>
    <w:p>
      <w:pPr>
        <w:spacing w:after="60"/>
      </w:pPr>
      <w:r>
        <w:rPr>
          <w:rFonts w:ascii="Courier New" w:cs="Courier New" w:eastAsia="Courier New" w:hAnsi="Courier New"/>
          <w:color w:val="2D6A4F"/>
          <w:sz w:val="20"/>
          <w:szCs w:val="20"/>
        </w:rPr>
        <w:t xml:space="preserve">【课程五：家族永续期——跨境/境内家族信托、税务与治理】</w:t>
      </w:r>
    </w:p>
    <w:p>
      <w:pPr>
        <w:spacing w:after="60"/>
      </w:pPr>
      <w:r>
        <w:rPr>
          <w:rFonts w:ascii="Courier New" w:cs="Courier New" w:eastAsia="Courier New" w:hAnsi="Courier New"/>
          <w:color w:val="18181B"/>
          <w:sz w:val="20"/>
          <w:szCs w:val="20"/>
        </w:rPr>
        <w:t xml:space="preserve">▌ 单元 4：《跨境家族信托——给财富找个“靠谱管家”：信托怎么设、装什么、传给谁》</w:t>
      </w:r>
    </w:p>
    <w:p>
      <w:pPr>
        <w:spacing w:after="60"/>
      </w:pPr>
      <w:r>
        <w:rPr>
          <w:rFonts w:ascii="Courier New" w:cs="Courier New" w:eastAsia="Courier New" w:hAnsi="Courier New"/>
          <w:color w:val="71717A"/>
          <w:sz w:val="20"/>
          <w:szCs w:val="20"/>
        </w:rPr>
        <w:t xml:space="preserve">  第一部分：信托工具箱——认识境内外各类信托的功能与定位（FGT/NRT/离岸信托）</w:t>
      </w:r>
    </w:p>
    <w:p>
      <w:pPr>
        <w:spacing w:after="60"/>
      </w:pPr>
      <w:r>
        <w:rPr>
          <w:rFonts w:ascii="Courier New" w:cs="Courier New" w:eastAsia="Courier New" w:hAnsi="Courier New"/>
          <w:color w:val="71717A"/>
          <w:sz w:val="20"/>
          <w:szCs w:val="20"/>
        </w:rPr>
        <w:t xml:space="preserve">  第二部分：信托设立全流程——从方案设计到银行开户</w:t>
      </w:r>
    </w:p>
    <w:p>
      <w:pPr>
        <w:spacing w:after="60"/>
      </w:pPr>
      <w:r>
        <w:rPr>
          <w:rFonts w:ascii="Courier New" w:cs="Courier New" w:eastAsia="Courier New" w:hAnsi="Courier New"/>
          <w:color w:val="71717A"/>
          <w:sz w:val="20"/>
          <w:szCs w:val="20"/>
        </w:rPr>
        <w:t xml:space="preserve">  第三部分：资产注入实务——不同资产类型的路径与挑战</w:t>
      </w:r>
    </w:p>
    <w:p>
      <w:pPr>
        <w:spacing w:after="60"/>
      </w:pPr>
      <w:r>
        <w:rPr>
          <w:rFonts w:ascii="Courier New" w:cs="Courier New" w:eastAsia="Courier New" w:hAnsi="Courier New"/>
          <w:color w:val="71717A"/>
          <w:sz w:val="20"/>
          <w:szCs w:val="20"/>
        </w:rPr>
        <w:t xml:space="preserve">  第四部分：风险隔离的效力与边界——客户最关心的问题</w:t>
      </w:r>
    </w:p>
    <w:p>
      <w:pPr>
        <w:spacing w:after="60"/>
      </w:pPr>
      <w:r>
        <w:rPr>
          <w:rFonts w:ascii="Courier New" w:cs="Courier New" w:eastAsia="Courier New" w:hAnsi="Courier New"/>
          <w:color w:val="71717A"/>
          <w:sz w:val="20"/>
          <w:szCs w:val="20"/>
        </w:rPr>
        <w:t xml:space="preserve"/>
      </w:r>
    </w:p>
    <w:p>
      <w:pPr>
        <w:spacing w:after="60"/>
      </w:pPr>
      <w:r>
        <w:rPr>
          <w:rFonts w:ascii="Courier New" w:cs="Courier New" w:eastAsia="Courier New" w:hAnsi="Courier New"/>
          <w:color w:val="2D6A4F"/>
          <w:sz w:val="20"/>
          <w:szCs w:val="20"/>
        </w:rPr>
        <w:t xml:space="preserve">【课程五：家族永续期——跨境/境内家族信托、税务与治理】</w:t>
      </w:r>
    </w:p>
    <w:p>
      <w:pPr>
        <w:spacing w:after="60"/>
      </w:pPr>
      <w:r>
        <w:rPr>
          <w:rFonts w:ascii="Courier New" w:cs="Courier New" w:eastAsia="Courier New" w:hAnsi="Courier New"/>
          <w:color w:val="18181B"/>
          <w:sz w:val="20"/>
          <w:szCs w:val="20"/>
        </w:rPr>
        <w:t xml:space="preserve">▌ 单元 6：《身份规划税务考量——一张新身份，对“税”的影响有多大》</w:t>
      </w:r>
    </w:p>
    <w:p>
      <w:pPr>
        <w:spacing w:after="60"/>
      </w:pPr>
      <w:r>
        <w:rPr>
          <w:rFonts w:ascii="Courier New" w:cs="Courier New" w:eastAsia="Courier New" w:hAnsi="Courier New"/>
          <w:color w:val="71717A"/>
          <w:sz w:val="20"/>
          <w:szCs w:val="20"/>
        </w:rPr>
        <w:t xml:space="preserve">  第一部分：身份与税务居民——两个概念，不能混为一谈</w:t>
      </w:r>
    </w:p>
    <w:p>
      <w:pPr>
        <w:spacing w:after="60"/>
      </w:pPr>
      <w:r>
        <w:rPr>
          <w:rFonts w:ascii="Courier New" w:cs="Courier New" w:eastAsia="Courier New" w:hAnsi="Courier New"/>
          <w:color w:val="71717A"/>
          <w:sz w:val="20"/>
          <w:szCs w:val="20"/>
        </w:rPr>
        <w:t xml:space="preserve">  第二部分：主流目的地税务规则逐一拆解（新加坡/香港/美国/加拿大等）</w:t>
      </w:r>
    </w:p>
    <w:p>
      <w:pPr>
        <w:spacing w:after="60"/>
      </w:pPr>
      <w:r>
        <w:rPr>
          <w:rFonts w:ascii="Courier New" w:cs="Courier New" w:eastAsia="Courier New" w:hAnsi="Courier New"/>
          <w:color w:val="71717A"/>
          <w:sz w:val="20"/>
          <w:szCs w:val="20"/>
        </w:rPr>
        <w:t xml:space="preserve">  第三部分：登陆前财富规划——把握不可逆的时间窗口</w:t>
      </w:r>
    </w:p>
    <w:p>
      <w:pPr>
        <w:spacing w:after="60"/>
      </w:pPr>
      <w:r>
        <w:rPr>
          <w:rFonts w:ascii="Courier New" w:cs="Courier New" w:eastAsia="Courier New" w:hAnsi="Courier New"/>
          <w:color w:val="71717A"/>
          <w:sz w:val="20"/>
          <w:szCs w:val="20"/>
        </w:rPr>
        <w:t xml:space="preserve">  第四部分：综合服务切入——从身份话题到财富规划的专业转化</w:t>
      </w:r>
    </w:p>
    <w:p>
      <w:pPr>
        <w:pStyle w:val="Heading2"/>
        <w:spacing w:after="200" w:before="400"/>
      </w:pPr>
      <w:r>
        <w:rPr>
          <w:rFonts w:ascii="Arial" w:cs="Arial" w:eastAsia="Arial" w:hAnsi="Arial"/>
          <w:b/>
          <w:bCs/>
          <w:sz w:val="28"/>
          <w:szCs w:val="28"/>
        </w:rPr>
        <w:t xml:space="preserve">二、客户适配 SKU 列表（共 12 条）</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200"/>
        <w:gridCol w:w="2400"/>
      </w:tblGrid>
      <w:tr>
        <w:trPr>
          <w:tblHeader/>
        </w:trPr>
        <w:tc>
          <w:tcPr>
            <w:tcW w:type="dxa" w:w="14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产品名称</w:t>
            </w:r>
          </w:p>
        </w:tc>
        <w:tc>
          <w:tcPr>
            <w:tcW w:type="dxa" w:w="2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定义</w:t>
            </w:r>
          </w:p>
        </w:tc>
        <w:tc>
          <w:tcPr>
            <w:tcW w:type="dxa" w:w="3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主要特点和功能</w:t>
            </w:r>
          </w:p>
        </w:tc>
        <w:tc>
          <w:tcPr>
            <w:tcW w:type="dxa" w:w="24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匹配逻辑说明</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18"/>
                <w:szCs w:val="18"/>
              </w:rPr>
              <w:t xml:space="preserve">CM2335</w:t>
            </w:r>
          </w:p>
          <w:p>
            <w:r>
              <w:rPr>
                <w:rFonts w:ascii="Arial" w:cs="Arial" w:eastAsia="Arial" w:hAnsi="Arial"/>
                <w:b/>
                <w:bCs/>
                <w:sz w:val="20"/>
                <w:szCs w:val="20"/>
              </w:rPr>
              <w:t xml:space="preserve">境内-上市公司股票员工持股信托</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上市公司/员工持股平台作为委托人设立信托，用于持有和管理公司授予员工的激励股票，解决员工持股人数限制和统一管理问题的信托架构。</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统一股票管理、信托系统上持股相关信息公开可查、避免员工平台持股的工商繁琐税务风险</w:t>
            </w:r>
          </w:p>
        </w:tc>
        <w:tc>
          <w:tcPr>
            <w:tcW w:type="dxa" w:w="24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color w:val="065F46"/>
                <w:sz w:val="19"/>
                <w:szCs w:val="19"/>
              </w:rPr>
              <w:t xml:space="preserve">客户需求为员工持股计划，该产品针对上市公司员工持股信托，可统一管理员工股票，避免无序减持，并将激励与业绩考核绑定。</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18"/>
                <w:szCs w:val="18"/>
              </w:rPr>
              <w:t xml:space="preserve">CM2336</w:t>
            </w:r>
          </w:p>
          <w:p>
            <w:r>
              <w:rPr>
                <w:rFonts w:ascii="Arial" w:cs="Arial" w:eastAsia="Arial" w:hAnsi="Arial"/>
                <w:b/>
                <w:bCs/>
                <w:sz w:val="20"/>
                <w:szCs w:val="20"/>
              </w:rPr>
              <w:t xml:space="preserve">境内-拟上市公司员工持股信托</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拟上市公司作为委托人设立信托，用于持有员工激励股权，并满足监管穿透要求的信托架构。</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解决代持问题、满足IPO穿透核查、统一管理激励股权、员工更加直观查看激励份额</w:t>
            </w:r>
          </w:p>
        </w:tc>
        <w:tc>
          <w:tcPr>
            <w:tcW w:type="dxa" w:w="24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color w:val="065F46"/>
                <w:sz w:val="19"/>
                <w:szCs w:val="19"/>
              </w:rPr>
              <w:t xml:space="preserve">客户需求为员工持股计划，该产品针对拟上市公司员工持股信托，可清理代持、避免三类股东影响IPO，增强员工获得感。</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18"/>
                <w:szCs w:val="18"/>
              </w:rPr>
              <w:t xml:space="preserve">CM2337</w:t>
            </w:r>
          </w:p>
          <w:p>
            <w:r>
              <w:rPr>
                <w:rFonts w:ascii="Arial" w:cs="Arial" w:eastAsia="Arial" w:hAnsi="Arial"/>
                <w:b/>
                <w:bCs/>
                <w:sz w:val="20"/>
                <w:szCs w:val="20"/>
              </w:rPr>
              <w:t xml:space="preserve">境内-非上市公司员工持股信托</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非上市公司设立信托，通过“信托+有限合伙”平台持有员工激励股权，实现分红权与投票权分离的激励架构。</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分红权与投票权分离、法律锁定核心员工、建立长效激励机制、避免员工直接持股的麻烦、便于未来融资或上市</w:t>
            </w:r>
          </w:p>
        </w:tc>
        <w:tc>
          <w:tcPr>
            <w:tcW w:type="dxa" w:w="24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color w:val="065F46"/>
                <w:sz w:val="19"/>
                <w:szCs w:val="19"/>
              </w:rPr>
              <w:t xml:space="preserve">客户需求为员工持股计划，该产品针对非上市公司员工持股信托，可保留投票权、锁定核心员工、避免离职回购繁琐，为未来上市规范股权结构。</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18"/>
                <w:szCs w:val="18"/>
              </w:rPr>
              <w:t xml:space="preserve">Legal-2619</w:t>
            </w:r>
          </w:p>
          <w:p>
            <w:r>
              <w:rPr>
                <w:rFonts w:ascii="Arial" w:cs="Arial" w:eastAsia="Arial" w:hAnsi="Arial"/>
                <w:b/>
                <w:bCs/>
                <w:sz w:val="20"/>
                <w:szCs w:val="20"/>
              </w:rPr>
              <w:t xml:space="preserve">境内股权激励总览（拟上市公司）</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对标上市标准的拟上市公司股权激励方案设计，需符合证监会指引，清理代持，确权清晰。</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造富效应（以股价增值为核心）、上市审核重点、规范透明、吸引人才、确保股权清晰</w:t>
            </w:r>
          </w:p>
        </w:tc>
        <w:tc>
          <w:tcPr>
            <w:tcW w:type="dxa" w:w="24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color w:val="065F46"/>
                <w:sz w:val="19"/>
                <w:szCs w:val="19"/>
              </w:rPr>
              <w:t xml:space="preserve">客户需求为员工持股计划，该产品针对拟上市公司股权激励，可规范激励、清理代持、确保股权清晰，满足上市要求。</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18"/>
                <w:szCs w:val="18"/>
              </w:rPr>
              <w:t xml:space="preserve">Legal-2616</w:t>
            </w:r>
          </w:p>
          <w:p>
            <w:r>
              <w:rPr>
                <w:rFonts w:ascii="Arial" w:cs="Arial" w:eastAsia="Arial" w:hAnsi="Arial"/>
                <w:b/>
                <w:bCs/>
                <w:sz w:val="20"/>
                <w:szCs w:val="20"/>
              </w:rPr>
              <w:t xml:space="preserve">境内股权激励总览（无投资人非上市公司）</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针对无投资人的早期非上市公司，设计简单灵活的股权激励方案，通常预留期权池。</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简单灵活、无需处理复杂股东权利、成本低、人才绑定、为后续融资打基础</w:t>
            </w:r>
          </w:p>
        </w:tc>
        <w:tc>
          <w:tcPr>
            <w:tcW w:type="dxa" w:w="24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color w:val="065F46"/>
                <w:sz w:val="19"/>
                <w:szCs w:val="19"/>
              </w:rPr>
              <w:t xml:space="preserve">客户需求为员工持股计划，该产品针对无投资人非上市公司的股权激励，适合初创公司设计简单方案，为未来融资做准备。</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18"/>
                <w:szCs w:val="18"/>
              </w:rPr>
              <w:t xml:space="preserve">Legal-2617</w:t>
            </w:r>
          </w:p>
          <w:p>
            <w:r>
              <w:rPr>
                <w:rFonts w:ascii="Arial" w:cs="Arial" w:eastAsia="Arial" w:hAnsi="Arial"/>
                <w:b/>
                <w:bCs/>
                <w:sz w:val="20"/>
                <w:szCs w:val="20"/>
              </w:rPr>
              <w:t xml:space="preserve">境内股权激励总览（有投资人不盈利非上市公司）</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针对高估值但亏损的企业（如SaaS、BioTech），设计以期权为主的股权激励方案，考核指标多元化。</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不仅看利润、考核指标多元、税负递延（期权行权时纳税）、吸引人才、适应高成长企业</w:t>
            </w:r>
          </w:p>
        </w:tc>
        <w:tc>
          <w:tcPr>
            <w:tcW w:type="dxa" w:w="24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color w:val="065F46"/>
                <w:sz w:val="19"/>
                <w:szCs w:val="19"/>
              </w:rPr>
              <w:t xml:space="preserve">客户需求为员工持股计划，该产品针对有投资人不盈利非上市公司的股权激励，可设计期权或实股方案，实现递延纳税，吸引人才。</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18"/>
                <w:szCs w:val="18"/>
              </w:rPr>
              <w:t xml:space="preserve">Legal-2618</w:t>
            </w:r>
          </w:p>
          <w:p>
            <w:r>
              <w:rPr>
                <w:rFonts w:ascii="Arial" w:cs="Arial" w:eastAsia="Arial" w:hAnsi="Arial"/>
                <w:b/>
                <w:bCs/>
                <w:sz w:val="20"/>
                <w:szCs w:val="20"/>
              </w:rPr>
              <w:t xml:space="preserve">境内股权激励总览（有投资人正常盈利非上市公司）</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针对盈利稳定的成熟期非上市公司，设计实股或虚拟股激励方案，员工看重分红收益。</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分红导向、员工看重分红收益、绑定核心人才、稳定团队、支持持续发展</w:t>
            </w:r>
          </w:p>
        </w:tc>
        <w:tc>
          <w:tcPr>
            <w:tcW w:type="dxa" w:w="24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color w:val="065F46"/>
                <w:sz w:val="19"/>
                <w:szCs w:val="19"/>
              </w:rPr>
              <w:t xml:space="preserve">客户需求为员工持股计划，该产品针对有投资人正常盈利非上市公司的股权激励，可设计实股或虚拟股方案，留住人才并防止员工离职。</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18"/>
                <w:szCs w:val="18"/>
              </w:rPr>
              <w:t xml:space="preserve">Legal-2620</w:t>
            </w:r>
          </w:p>
          <w:p>
            <w:r>
              <w:rPr>
                <w:rFonts w:ascii="Arial" w:cs="Arial" w:eastAsia="Arial" w:hAnsi="Arial"/>
                <w:b/>
                <w:bCs/>
                <w:sz w:val="20"/>
                <w:szCs w:val="20"/>
              </w:rPr>
              <w:t xml:space="preserve">境内股权激励总览（一人公司）</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针对一人公司，设计不分权的虚拟股权激励方案，员工享有分红权但不享有股东身份。</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不分权（老板保持100%控制和股权）、灵活、成本可控、激励有效、避免股东纠纷</w:t>
            </w:r>
          </w:p>
        </w:tc>
        <w:tc>
          <w:tcPr>
            <w:tcW w:type="dxa" w:w="24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color w:val="065F46"/>
                <w:sz w:val="19"/>
                <w:szCs w:val="19"/>
              </w:rPr>
              <w:t xml:space="preserve">客户需求为员工持股计划，该产品针对一人公司的股权激励，可提供虚拟股权方案，避免控制权分散，让员工享受分红。</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18"/>
                <w:szCs w:val="18"/>
              </w:rPr>
              <w:t xml:space="preserve">Tax-2465</w:t>
            </w:r>
          </w:p>
          <w:p>
            <w:r>
              <w:rPr>
                <w:rFonts w:ascii="Arial" w:cs="Arial" w:eastAsia="Arial" w:hAnsi="Arial"/>
                <w:b/>
                <w:bCs/>
                <w:sz w:val="20"/>
                <w:szCs w:val="20"/>
              </w:rPr>
              <w:t xml:space="preserve">上市公司股权激励计划实施前税务咨询</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在上市公司设计股权激励计划阶段，就税务影响、激励工具选择、行权价格设定等提供专业税务咨询。</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提前规划税负、降低员工未来纳税压力、提升激励效果、避免税务陷阱、合规设计</w:t>
            </w:r>
          </w:p>
        </w:tc>
        <w:tc>
          <w:tcPr>
            <w:tcW w:type="dxa" w:w="24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color w:val="065F46"/>
                <w:sz w:val="19"/>
                <w:szCs w:val="19"/>
              </w:rPr>
              <w:t xml:space="preserve">客户需求为员工持股计划，该产品提供上市公司股权激励实施前税务咨询，可帮助选择低税负工具，避免行权时税负过高。</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18"/>
                <w:szCs w:val="18"/>
              </w:rPr>
              <w:t xml:space="preserve">Tax-2466</w:t>
            </w:r>
          </w:p>
          <w:p>
            <w:r>
              <w:rPr>
                <w:rFonts w:ascii="Arial" w:cs="Arial" w:eastAsia="Arial" w:hAnsi="Arial"/>
                <w:b/>
                <w:bCs/>
                <w:sz w:val="20"/>
                <w:szCs w:val="20"/>
              </w:rPr>
              <w:t xml:space="preserve">非上市公司股权激励计划实施前税务咨询</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在非上市公司设计股权激励计划阶段，就税务影响、激励工具选择、如何符合101号文递延条件等提供专业税务咨询。</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提前规划低税率（20%）、确保递延备案成功、优化持股架构、提升激励效果、避免税务风险</w:t>
            </w:r>
          </w:p>
        </w:tc>
        <w:tc>
          <w:tcPr>
            <w:tcW w:type="dxa" w:w="24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color w:val="065F46"/>
                <w:sz w:val="19"/>
                <w:szCs w:val="19"/>
              </w:rPr>
              <w:t xml:space="preserve">客户需求为员工持股计划，该产品提供非上市公司股权激励实施前税务咨询，可帮助符合101号文条件，实现未来按20%纳税。</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18"/>
                <w:szCs w:val="18"/>
              </w:rPr>
              <w:t xml:space="preserve">CM2348</w:t>
            </w:r>
          </w:p>
          <w:p>
            <w:r>
              <w:rPr>
                <w:rFonts w:ascii="Arial" w:cs="Arial" w:eastAsia="Arial" w:hAnsi="Arial"/>
                <w:b/>
                <w:bCs/>
                <w:sz w:val="20"/>
                <w:szCs w:val="20"/>
              </w:rPr>
              <w:t xml:space="preserve">离岸信托-EBT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在离岸地设立的信托，用于持有境外公司授予员工的期权、限制性股票等，统一管理和分配激励权益。</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全球激励（覆盖全球员工）、税务优化、统一管理、股权集中、避免直接持股的繁琐</w:t>
            </w:r>
          </w:p>
        </w:tc>
        <w:tc>
          <w:tcPr>
            <w:tcW w:type="dxa" w:w="24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color w:val="065F46"/>
                <w:sz w:val="19"/>
                <w:szCs w:val="19"/>
              </w:rPr>
              <w:t xml:space="preserve">客户需求为员工持股计划，该产品针对离岸信托EBT，可统一管理海外员工期权发放，优化税务成本，为未来上市做准备。</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18"/>
                <w:szCs w:val="18"/>
              </w:rPr>
              <w:t xml:space="preserve">Tax-2469</w:t>
            </w:r>
          </w:p>
          <w:p>
            <w:r>
              <w:rPr>
                <w:rFonts w:ascii="Arial" w:cs="Arial" w:eastAsia="Arial" w:hAnsi="Arial"/>
                <w:b/>
                <w:bCs/>
                <w:sz w:val="20"/>
                <w:szCs w:val="20"/>
              </w:rPr>
              <w:t xml:space="preserve">境外-股权激励外汇7号文备案</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根据《国家外汇管理局关于境内个人参与境外上市公司股权激励计划外汇管理有关问题的通知》（汇发〔2012〕7号），为参与境外上市公司股权激励的境内个人办理外汇登记的服务。</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合规参与境外激励、解决资金出入境、避免个人外汇违规、统一管理、保障激励收益汇回</w:t>
            </w:r>
          </w:p>
        </w:tc>
        <w:tc>
          <w:tcPr>
            <w:tcW w:type="dxa" w:w="24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color w:val="065F46"/>
                <w:sz w:val="19"/>
                <w:szCs w:val="19"/>
              </w:rPr>
              <w:t xml:space="preserve">客户需求为员工持股计划，该产品提供境外股权激励外汇7号文备案，可解决境内员工参与境外期权资金合规出境及收益汇回问题。</w:t>
            </w:r>
          </w:p>
        </w:tc>
      </w:tr>
    </w:tbl>
    <w:p>
      <w:pPr>
        <w:spacing w:before="400"/>
      </w:pPr>
      <w:r>
        <w:rPr>
          <w:rFonts w:ascii="Arial" w:cs="Arial" w:eastAsia="Arial" w:hAnsi="Arial"/>
          <w:i/>
          <w:iCs/>
          <w:color w:val="A1A1AA"/>
          <w:sz w:val="18"/>
          <w:szCs w:val="18"/>
        </w:rPr>
        <w:t xml:space="preserve">本文档由朝曦培训管理中台自动生成，如有疑问请联系产品中心。</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2026-05-27T08:15:18.547Z</dcterms:created>
  <dcterms:modified xsi:type="dcterms:W3CDTF">2026-05-27T08:15:18.547Z</dcterms:modified>
</cp:coreProperties>
</file>

<file path=docProps/custom.xml><?xml version="1.0" encoding="utf-8"?>
<Properties xmlns="http://schemas.openxmlformats.org/officeDocument/2006/custom-properties" xmlns:vt="http://schemas.openxmlformats.org/officeDocument/2006/docPropsVTypes"/>
</file>