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rPr>
          <w:rFonts w:ascii="Arial" w:cs="Arial" w:eastAsia="Arial" w:hAnsi="Arial"/>
          <w:b/>
          <w:bCs/>
          <w:color w:val="2D6A4F"/>
          <w:sz w:val="36"/>
          <w:szCs w:val="36"/>
        </w:rPr>
        <w:t xml:space="preserve">朝曦培训方案资料包</w:t>
      </w:r>
    </w:p>
    <w:p>
      <w:pPr>
        <w:spacing w:after="10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渠道名称：________________________　　销售人员：________________________</w:t>
      </w:r>
    </w:p>
    <w:p>
      <w:pPr>
        <w:spacing w:after="40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生成时间：2026/5/27 11:59:39</w:t>
      </w:r>
    </w:p>
    <w:p>
      <w:pPr>
        <w:pStyle w:val="Heading2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一、课程方案课纲目录</w:t>
      </w:r>
    </w:p>
    <w:p>
      <w:pPr>
        <w:spacing w:after="60"/>
      </w:pPr>
      <w:r>
        <w:rPr>
          <w:rFonts w:ascii="Courier New" w:cs="Courier New" w:eastAsia="Courier New" w:hAnsi="Courier New"/>
          <w:color w:val="2D6A4F"/>
          <w:sz w:val="20"/>
          <w:szCs w:val="20"/>
        </w:rPr>
        <w:t xml:space="preserve">【课程二：业务扩张期——跨境业务架构与税务全景】</w:t>
      </w:r>
    </w:p>
    <w:p>
      <w:pPr>
        <w:spacing w:after="60"/>
      </w:pPr>
      <w:r>
        <w:rPr>
          <w:rFonts w:ascii="Courier New" w:cs="Courier New" w:eastAsia="Courier New" w:hAnsi="Courier New"/>
          <w:color w:val="18181B"/>
          <w:sz w:val="20"/>
          <w:szCs w:val="20"/>
        </w:rPr>
        <w:t xml:space="preserve">▌ 单元 7：《CRS与受控外国企业规则——离岸架构是否经得起"透明时代"的考验》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第一部分：CRS全球金融账户信息交换——运作机制、中国实践与典型涉税场景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第二部分：受控外国企业（CFC）规则——认定标准、税务影响与合规应对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第三部分：外派出境员工的CRS涉税合规——税务居民身份判定与全球收入申报管理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第四部分：离岸架构透明化时代的合规升级路径——从"规避"到"规范"的战略转型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/>
      </w:r>
    </w:p>
    <w:p>
      <w:pPr>
        <w:spacing w:after="60"/>
      </w:pPr>
      <w:r>
        <w:rPr>
          <w:rFonts w:ascii="Courier New" w:cs="Courier New" w:eastAsia="Courier New" w:hAnsi="Courier New"/>
          <w:color w:val="2D6A4F"/>
          <w:sz w:val="20"/>
          <w:szCs w:val="20"/>
        </w:rPr>
        <w:t xml:space="preserve">【课程五：家族永续期——跨境/境内家族信托、税务与治理】</w:t>
      </w:r>
    </w:p>
    <w:p>
      <w:pPr>
        <w:spacing w:after="60"/>
      </w:pPr>
      <w:r>
        <w:rPr>
          <w:rFonts w:ascii="Courier New" w:cs="Courier New" w:eastAsia="Courier New" w:hAnsi="Courier New"/>
          <w:color w:val="18181B"/>
          <w:sz w:val="20"/>
          <w:szCs w:val="20"/>
        </w:rPr>
        <w:t xml:space="preserve">▌ 单元 4：《跨境家族信托——给财富找个“靠谱管家”：信托怎么设、装什么、传给谁》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第一部分：信托工具箱——认识境内外各类信托的功能与定位（FGT/NRT/离岸信托）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第二部分：信托设立全流程——从方案设计到银行开户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第三部分：资产注入实务——不同资产类型的路径与挑战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第四部分：风险隔离的效力与边界——客户最关心的问题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/>
      </w:r>
    </w:p>
    <w:p>
      <w:pPr>
        <w:spacing w:after="60"/>
      </w:pPr>
      <w:r>
        <w:rPr>
          <w:rFonts w:ascii="Courier New" w:cs="Courier New" w:eastAsia="Courier New" w:hAnsi="Courier New"/>
          <w:color w:val="2D6A4F"/>
          <w:sz w:val="20"/>
          <w:szCs w:val="20"/>
        </w:rPr>
        <w:t xml:space="preserve">【课程六：企业家投资思维——从产业经营到资产配置的范式转换】</w:t>
      </w:r>
    </w:p>
    <w:p>
      <w:pPr>
        <w:spacing w:after="60"/>
      </w:pPr>
      <w:r>
        <w:rPr>
          <w:rFonts w:ascii="Courier New" w:cs="Courier New" w:eastAsia="Courier New" w:hAnsi="Courier New"/>
          <w:color w:val="18181B"/>
          <w:sz w:val="20"/>
          <w:szCs w:val="20"/>
        </w:rPr>
        <w:t xml:space="preserve">▌ 单元 3：《框架搭建：家族财富的进攻—防守配置体系》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第一部分：股票、债券、商品、另类资产的角色分工与配置比例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第二部分：创业者特别需要的流动性缓冲区设计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第三部分：稳健策略组合的核心框架——多资产+多因子+多策略</w:t>
      </w:r>
    </w:p>
    <w:p>
      <w:pPr>
        <w:spacing w:after="60"/>
      </w:pPr>
      <w:r>
        <w:rPr>
          <w:rFonts w:ascii="Courier New" w:cs="Courier New" w:eastAsia="Courier New" w:hAnsi="Courier New"/>
          <w:color w:val="71717A"/>
          <w:sz w:val="20"/>
          <w:szCs w:val="20"/>
        </w:rPr>
        <w:t xml:space="preserve">  第四部分：如何构建家族资产的配置机器与再平衡机制</w:t>
      </w:r>
    </w:p>
    <w:p>
      <w:pPr>
        <w:pStyle w:val="Heading2"/>
        <w:spacing w:after="200" w:before="4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二、客户适配 SKU 列表（共 12 条）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3200"/>
        <w:gridCol w:w="24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产品名称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定义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主要特点和功能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A4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匹配逻辑说明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CM2343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境内-FGT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在中国境内设立的、通过特定条款设计使其符合美国税法下“委托人信托”（Grantor Trust）定义的信托，用于美籍受益人税务优化。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美税合规：信托分配美国税务居民受益人接收分配无税；资产隔离保护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客户需求为美国移民，涉及美籍子女或未来子女可能成为美籍，该产品为境内FGT，专为有美籍子女的客户设计，可筹划美国税并满足合规要求。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CM2349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离岸信托-FGT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在离岸地设立的、通过特定条款设计使其符合美国税法下“委托人信托”（Grantor Trust）定义的信托，用于美籍受益人税务优化。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美籍子女规划首选（资产增值对美籍子女“零税”传递）、避免美国遗产税/赠与税、由非美籍委托人纳税、隐私保护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客户需求为美国移民，可能涉及离岸资产传承给美籍子女，该产品为离岸FGT，可避免美国赠与税/遗产税，并满足美国税法合规。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CM2351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美国信托-ILIT信托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在美国设立的不可撤销信托，专门用于持有美国人寿保险保单，将理赔金排除在委托人遗产之外，规避美国遗产税。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规避遗产税（理赔金移出遗产税计算范围）、资产保护、定向传承、税务优化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客户移民美国后可能面临遗产税问题，该产品为美国ILIT信托，用于持有大额保单，实现理赔金免税并隔离债权人。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CM2352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美国信托-Standby信托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在美国设立的可撤销生前信托，平时资产未注入（或少量注入），配合FGT，在委托人去世后资产注入信托，避免遗嘱认证。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隐私保护、灵活可变、便于管理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客户移民美国后需规划美国资产，该产品为美国Standby信托，可避免遗嘱认证程序，保留生前控制权，适合简单有效的遗产规划。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Tax-2587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美国-登陆前美国个税咨询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针对拟移民美国（拿绿卡）的客户，在成为美国税务居民前，就个人所得税相关问题提供咨询，包括资产处置、收入时间安排等。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优化未来税负、规划资产出售时点、避免双重征税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客户准备移民美国，需提前规划全球征税问题，该产品为美国登陆前个税咨询，可帮助客户在成为税务居民前优化税务。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Tax-2588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美国-登陆前资产安排咨询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针对拟移民美国的客户，在成为美国税务居民前，就其资产（房产、股权、信托）进行架构调整和税务优化咨询。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优化资产持有结构、规避遗产税、保护资产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客户移民美国前需安排资产架构，该产品为美国登陆前资产安排咨询，侧重房产、股权等资产的持有结构及遗产税规避。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Tax-2544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美国个税年度申报-1040R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美国税务居民（公民、绿卡持有人、满足实质居住测试者）的年度个人所得税申报服务（Form 1040）。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基础合规、全球收入申报、避免罚款、申请退税、应对IRS稽查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客户成为美国税务居民后需申报全球收入，该产品为美国个税年度申报（1040R），可协助合规报税并合理抵税。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Tax-2546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美国个税年度申报-5471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美国股东（持股10%以上）申报其控制的境外公司信息（Form 5471），包括资产负债表、利润表、GILTI税计算等。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极度复杂、漏报罚款$1万起、合规应对CFC规则、计算GILTI税、避免IRS处罚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客户移民美国后若持有境外公司，需申报5471表，该产品可协助计算GILTI税并避免漏报罚款。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Tax-2549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美国个税年度申报-FINCEN114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美国纳税人（包括公民、绿卡、居民）在海外银行账户总额超过$1万时，需向FinCEN申报FBAR（FinCEN Form 114）。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反洗钱、非故意违规罚款$1万、故意违规罚款$10万或50%账户余额、刑事风险、合规必备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客户移民美国后若海外账户总额超1万美元，需申报FBAR，该产品可协助合规申报，避免漏报重罚。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Tax-2550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美国个税非税身份的规划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针对频繁往返美国或长期在美国停留的人士，规划其在美停留天数，避免成为美国税务居民的服务。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身份隔离（避免全球征税）、保护非美资产、降低税务成本、应对IRS审查、合规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客户可能频繁往返中美，需避免成为美国税务居民，该产品提供非税身份规划，利用停留天数规则等。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Tax-2591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美国-美国弃籍前咨询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放弃美国国籍或长期绿卡前，针对弃籍税（Expatriation Tax）进行筹划，计算是否为“适用弃籍者”，规划资产避免视同销售税的服务。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分手快乐、避免被IRS最后收割、规划资产视同销售、合规弃籍、降低税负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客户若未来考虑放弃美国国籍，需了解弃籍税，该产品提供弃籍前咨询，帮助规划资产并提交Form 8854。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6B7280"/>
                <w:sz w:val="18"/>
                <w:szCs w:val="18"/>
              </w:rPr>
              <w:t xml:space="preserve">Tax-2483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EB5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美国移民法规定的第五类职业移民类别，通过向美国商业企业投资并创造就业机会，获得美国绿卡。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无学历、语言、年龄要求、全家绿卡、可同时申请、无排期时快速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65F46"/>
                <w:sz w:val="19"/>
                <w:szCs w:val="19"/>
              </w:rPr>
              <w:t xml:space="preserve">客户若不符合人才类移民条件，可通过EB5投资移民获得全家绿卡，该产品可协助资金来源证明及投资合规。</w:t>
            </w:r>
          </w:p>
        </w:tc>
      </w:tr>
    </w:tbl>
    <w:p>
      <w:pPr>
        <w:spacing w:before="400"/>
      </w:pPr>
      <w:r>
        <w:rPr>
          <w:rFonts w:ascii="Arial" w:cs="Arial" w:eastAsia="Arial" w:hAnsi="Arial"/>
          <w:i/>
          <w:iCs/>
          <w:color w:val="A1A1AA"/>
          <w:sz w:val="18"/>
          <w:szCs w:val="18"/>
        </w:rPr>
        <w:t xml:space="preserve">本文档由朝曦培训管理中台自动生成，如有疑问请联系产品中心。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2026-05-27T03:59:39.724Z</dcterms:created>
  <dcterms:modified xsi:type="dcterms:W3CDTF">2026-05-27T03:59:39.724Z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