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2D6A4F"/>
          <w:sz w:val="36"/>
          <w:szCs w:val="36"/>
        </w:rPr>
        <w:t xml:space="preserve">朝曦培训方案资料包</w:t>
      </w:r>
    </w:p>
    <w:p>
      <w:pPr>
        <w:spacing w:after="100"/>
      </w:pPr>
      <w:r>
        <w:rPr>
          <w:rFonts w:ascii="Arial" w:cs="Arial" w:eastAsia="Arial" w:hAnsi="Arial"/>
          <w:color w:val="444444"/>
          <w:sz w:val="22"/>
          <w:szCs w:val="22"/>
        </w:rPr>
        <w:t xml:space="preserve">渠道名称：________________________　　销售人员：________________________</w:t>
      </w:r>
    </w:p>
    <w:p>
      <w:pPr>
        <w:spacing w:after="400"/>
      </w:pPr>
      <w:r>
        <w:rPr>
          <w:rFonts w:ascii="Arial" w:cs="Arial" w:eastAsia="Arial" w:hAnsi="Arial"/>
          <w:color w:val="888888"/>
          <w:sz w:val="20"/>
          <w:szCs w:val="20"/>
        </w:rPr>
        <w:t xml:space="preserve">生成时间：2026/5/27 15:11:57</w:t>
      </w:r>
    </w:p>
    <w:p>
      <w:pPr>
        <w:pStyle w:val="Heading2"/>
        <w:spacing w:after="160" w:before="240"/>
      </w:pPr>
      <w:r>
        <w:rPr>
          <w:rFonts w:ascii="Arial" w:cs="Arial" w:eastAsia="Arial" w:hAnsi="Arial"/>
          <w:b/>
          <w:bCs/>
          <w:sz w:val="28"/>
          <w:szCs w:val="28"/>
        </w:rPr>
        <w:t xml:space="preserve">一、课程方案课纲目录</w:t>
      </w:r>
    </w:p>
    <w:p>
      <w:pPr>
        <w:spacing w:after="60"/>
      </w:pPr>
      <w:r>
        <w:rPr>
          <w:rFonts w:ascii="Courier New" w:cs="Courier New" w:eastAsia="Courier New" w:hAnsi="Courier New"/>
          <w:color w:val="2D6A4F"/>
          <w:sz w:val="20"/>
          <w:szCs w:val="20"/>
        </w:rPr>
        <w:t xml:space="preserve">【课程二：业务扩张期——跨境业务架构与税务全景】</w:t>
      </w:r>
    </w:p>
    <w:p>
      <w:pPr>
        <w:spacing w:after="60"/>
      </w:pPr>
      <w:r>
        <w:rPr>
          <w:rFonts w:ascii="Courier New" w:cs="Courier New" w:eastAsia="Courier New" w:hAnsi="Courier New"/>
          <w:color w:val="18181B"/>
          <w:sz w:val="20"/>
          <w:szCs w:val="20"/>
        </w:rPr>
        <w:t xml:space="preserve">▌ 单元 2：《境外投资架构设计——境外税海沉浮，何以安家》</w:t>
      </w:r>
    </w:p>
    <w:p>
      <w:pPr>
        <w:spacing w:after="60"/>
      </w:pPr>
      <w:r>
        <w:rPr>
          <w:rFonts w:ascii="Courier New" w:cs="Courier New" w:eastAsia="Courier New" w:hAnsi="Courier New"/>
          <w:color w:val="71717A"/>
          <w:sz w:val="20"/>
          <w:szCs w:val="20"/>
        </w:rPr>
        <w:t xml:space="preserve">  第一部分：离岸地与中间控股公司的组合运用——BVI、开曼、香港、新加坡公司的角色与功能定位</w:t>
      </w:r>
    </w:p>
    <w:p>
      <w:pPr>
        <w:spacing w:after="60"/>
      </w:pPr>
      <w:r>
        <w:rPr>
          <w:rFonts w:ascii="Courier New" w:cs="Courier New" w:eastAsia="Courier New" w:hAnsi="Courier New"/>
          <w:color w:val="71717A"/>
          <w:sz w:val="20"/>
          <w:szCs w:val="20"/>
        </w:rPr>
        <w:t xml:space="preserve">  第二部分：税收协定网络的实战应用——股息、利息、资本利得的协定优惠税率与"受益所有人"判定</w:t>
      </w:r>
    </w:p>
    <w:p>
      <w:pPr>
        <w:spacing w:after="60"/>
      </w:pPr>
      <w:r>
        <w:rPr>
          <w:rFonts w:ascii="Courier New" w:cs="Courier New" w:eastAsia="Courier New" w:hAnsi="Courier New"/>
          <w:color w:val="71717A"/>
          <w:sz w:val="20"/>
          <w:szCs w:val="20"/>
        </w:rPr>
        <w:t xml:space="preserve">  第三部分：国内端ODI合规全流程——备案/核准的申请条件、材料准备与常见否决点分析</w:t>
      </w:r>
    </w:p>
    <w:p>
      <w:pPr>
        <w:spacing w:after="60"/>
      </w:pPr>
      <w:r>
        <w:rPr>
          <w:rFonts w:ascii="Courier New" w:cs="Courier New" w:eastAsia="Courier New" w:hAnsi="Courier New"/>
          <w:color w:val="71717A"/>
          <w:sz w:val="20"/>
          <w:szCs w:val="20"/>
        </w:rPr>
        <w:t xml:space="preserve">  第四部分：架构落地后的运营与维护——年度申报、经济实质法合规、架构持续优化建议</w:t>
      </w:r>
    </w:p>
    <w:p>
      <w:pPr>
        <w:spacing w:after="60"/>
      </w:pPr>
      <w:r>
        <w:rPr>
          <w:rFonts w:ascii="Courier New" w:cs="Courier New" w:eastAsia="Courier New" w:hAnsi="Courier New"/>
          <w:color w:val="71717A"/>
          <w:sz w:val="20"/>
          <w:szCs w:val="20"/>
        </w:rPr>
        <w:t xml:space="preserve"/>
      </w:r>
    </w:p>
    <w:p>
      <w:pPr>
        <w:spacing w:after="60"/>
      </w:pPr>
      <w:r>
        <w:rPr>
          <w:rFonts w:ascii="Courier New" w:cs="Courier New" w:eastAsia="Courier New" w:hAnsi="Courier New"/>
          <w:color w:val="2D6A4F"/>
          <w:sz w:val="20"/>
          <w:szCs w:val="20"/>
        </w:rPr>
        <w:t xml:space="preserve">【课程四：财富资本化——境外上市与跨境资本路径创新】</w:t>
      </w:r>
    </w:p>
    <w:p>
      <w:pPr>
        <w:spacing w:after="60"/>
      </w:pPr>
      <w:r>
        <w:rPr>
          <w:rFonts w:ascii="Courier New" w:cs="Courier New" w:eastAsia="Courier New" w:hAnsi="Courier New"/>
          <w:color w:val="18181B"/>
          <w:sz w:val="20"/>
          <w:szCs w:val="20"/>
        </w:rPr>
        <w:t xml:space="preserve">▌ 单元 5：《新加坡香港地区家族办公室——给财富安个新家，新港家办的设立与运营》</w:t>
      </w:r>
    </w:p>
    <w:p>
      <w:pPr>
        <w:spacing w:after="60"/>
      </w:pPr>
      <w:r>
        <w:rPr>
          <w:rFonts w:ascii="Courier New" w:cs="Courier New" w:eastAsia="Courier New" w:hAnsi="Courier New"/>
          <w:color w:val="71717A"/>
          <w:sz w:val="20"/>
          <w:szCs w:val="20"/>
        </w:rPr>
        <w:t xml:space="preserve">  第一部分：新港家族办公室的政策框架——监管要求、税务激励与两地对比</w:t>
      </w:r>
    </w:p>
    <w:p>
      <w:pPr>
        <w:spacing w:after="60"/>
      </w:pPr>
      <w:r>
        <w:rPr>
          <w:rFonts w:ascii="Courier New" w:cs="Courier New" w:eastAsia="Courier New" w:hAnsi="Courier New"/>
          <w:color w:val="71717A"/>
          <w:sz w:val="20"/>
          <w:szCs w:val="20"/>
        </w:rPr>
        <w:t xml:space="preserve">  第二部分：家族办公室的实质运营要求——雇员、投资与年度合规的核心标准</w:t>
      </w:r>
    </w:p>
    <w:p>
      <w:pPr>
        <w:spacing w:after="60"/>
      </w:pPr>
      <w:r>
        <w:rPr>
          <w:rFonts w:ascii="Courier New" w:cs="Courier New" w:eastAsia="Courier New" w:hAnsi="Courier New"/>
          <w:color w:val="71717A"/>
          <w:sz w:val="20"/>
          <w:szCs w:val="20"/>
        </w:rPr>
        <w:t xml:space="preserve">  第三部分：家族办公室与信托架构的协同设计——NRT结构与财富传承一体化方案</w:t>
      </w:r>
    </w:p>
    <w:p>
      <w:pPr>
        <w:spacing w:after="60"/>
      </w:pPr>
      <w:r>
        <w:rPr>
          <w:rFonts w:ascii="Courier New" w:cs="Courier New" w:eastAsia="Courier New" w:hAnsi="Courier New"/>
          <w:color w:val="71717A"/>
          <w:sz w:val="20"/>
          <w:szCs w:val="20"/>
        </w:rPr>
        <w:t xml:space="preserve">  第四部分：银行在家族办公室生态中的服务定位——账户托管、投资顾问与综合金融服务</w:t>
      </w:r>
    </w:p>
    <w:p>
      <w:pPr>
        <w:spacing w:after="60"/>
      </w:pPr>
      <w:r>
        <w:rPr>
          <w:rFonts w:ascii="Courier New" w:cs="Courier New" w:eastAsia="Courier New" w:hAnsi="Courier New"/>
          <w:color w:val="71717A"/>
          <w:sz w:val="20"/>
          <w:szCs w:val="20"/>
        </w:rPr>
        <w:t xml:space="preserve"/>
      </w:r>
    </w:p>
    <w:p>
      <w:pPr>
        <w:spacing w:after="60"/>
      </w:pPr>
      <w:r>
        <w:rPr>
          <w:rFonts w:ascii="Courier New" w:cs="Courier New" w:eastAsia="Courier New" w:hAnsi="Courier New"/>
          <w:color w:val="2D6A4F"/>
          <w:sz w:val="20"/>
          <w:szCs w:val="20"/>
        </w:rPr>
        <w:t xml:space="preserve">【课程五：家族永续期——跨境/境内家族信托、税务与治理】</w:t>
      </w:r>
    </w:p>
    <w:p>
      <w:pPr>
        <w:spacing w:after="60"/>
      </w:pPr>
      <w:r>
        <w:rPr>
          <w:rFonts w:ascii="Courier New" w:cs="Courier New" w:eastAsia="Courier New" w:hAnsi="Courier New"/>
          <w:color w:val="18181B"/>
          <w:sz w:val="20"/>
          <w:szCs w:val="20"/>
        </w:rPr>
        <w:t xml:space="preserve">▌ 单元 4：《跨境家族信托——给财富找个“靠谱管家”：信托怎么设、装什么、传给谁》</w:t>
      </w:r>
    </w:p>
    <w:p>
      <w:pPr>
        <w:spacing w:after="60"/>
      </w:pPr>
      <w:r>
        <w:rPr>
          <w:rFonts w:ascii="Courier New" w:cs="Courier New" w:eastAsia="Courier New" w:hAnsi="Courier New"/>
          <w:color w:val="71717A"/>
          <w:sz w:val="20"/>
          <w:szCs w:val="20"/>
        </w:rPr>
        <w:t xml:space="preserve">  第一部分：信托工具箱——认识境内外各类信托的功能与定位（FGT/NRT/离岸信托）</w:t>
      </w:r>
    </w:p>
    <w:p>
      <w:pPr>
        <w:spacing w:after="60"/>
      </w:pPr>
      <w:r>
        <w:rPr>
          <w:rFonts w:ascii="Courier New" w:cs="Courier New" w:eastAsia="Courier New" w:hAnsi="Courier New"/>
          <w:color w:val="71717A"/>
          <w:sz w:val="20"/>
          <w:szCs w:val="20"/>
        </w:rPr>
        <w:t xml:space="preserve">  第二部分：信托设立全流程——从方案设计到银行开户</w:t>
      </w:r>
    </w:p>
    <w:p>
      <w:pPr>
        <w:spacing w:after="60"/>
      </w:pPr>
      <w:r>
        <w:rPr>
          <w:rFonts w:ascii="Courier New" w:cs="Courier New" w:eastAsia="Courier New" w:hAnsi="Courier New"/>
          <w:color w:val="71717A"/>
          <w:sz w:val="20"/>
          <w:szCs w:val="20"/>
        </w:rPr>
        <w:t xml:space="preserve">  第三部分：资产注入实务——不同资产类型的路径与挑战</w:t>
      </w:r>
    </w:p>
    <w:p>
      <w:pPr>
        <w:spacing w:after="60"/>
      </w:pPr>
      <w:r>
        <w:rPr>
          <w:rFonts w:ascii="Courier New" w:cs="Courier New" w:eastAsia="Courier New" w:hAnsi="Courier New"/>
          <w:color w:val="71717A"/>
          <w:sz w:val="20"/>
          <w:szCs w:val="20"/>
        </w:rPr>
        <w:t xml:space="preserve">  第四部分：风险隔离的效力与边界——客户最关心的问题</w:t>
      </w:r>
    </w:p>
    <w:p>
      <w:pPr>
        <w:pStyle w:val="Heading2"/>
        <w:spacing w:after="200" w:before="400"/>
      </w:pPr>
      <w:r>
        <w:rPr>
          <w:rFonts w:ascii="Arial" w:cs="Arial" w:eastAsia="Arial" w:hAnsi="Arial"/>
          <w:b/>
          <w:bCs/>
          <w:sz w:val="28"/>
          <w:szCs w:val="28"/>
        </w:rPr>
        <w:t xml:space="preserve">二、客户适配 SKU 列表（共 7 条）</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400"/>
      </w:tblGrid>
      <w:tr>
        <w:trPr>
          <w:tblHeader/>
        </w:trPr>
        <w:tc>
          <w:tcPr>
            <w:tcW w:type="dxa" w:w="1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产品名称</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定义</w:t>
            </w:r>
          </w:p>
        </w:tc>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主要特点和功能</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匹配逻辑说明</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CM-2367</w:t>
            </w:r>
          </w:p>
          <w:p>
            <w:r>
              <w:rPr>
                <w:rFonts w:ascii="Arial" w:cs="Arial" w:eastAsia="Arial" w:hAnsi="Arial"/>
                <w:b/>
                <w:bCs/>
                <w:sz w:val="20"/>
                <w:szCs w:val="20"/>
              </w:rPr>
              <w:t xml:space="preserve">QFLP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允许境外资金通过结汇方式兑换为人民币，投资于中国境内股权投资市场的跨境投资通道。</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资金合规入境、结汇便利、投资一级市场、税收透明、灵活退出</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客户在美国有很多钱，想弄回香港去，QFLP是境外资金合规入境投资境内未上市企业的通道，可解决资金回流问题。</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CM2346</w:t>
            </w:r>
          </w:p>
          <w:p>
            <w:r>
              <w:rPr>
                <w:rFonts w:ascii="Arial" w:cs="Arial" w:eastAsia="Arial" w:hAnsi="Arial"/>
                <w:b/>
                <w:bCs/>
                <w:sz w:val="20"/>
                <w:szCs w:val="20"/>
              </w:rPr>
              <w:t xml:space="preserve">离岸信托-非上市资产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在离岸地（如香港、新加坡）设立的信托，用于持有境外非上市公司的股权，实现资产隔离、隐私保护和传承规划。</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隐私保护、资产隔离、税务优化、传承灵活</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客户在美国有大量资产，离岸信托可隔离风险、保护隐私，并为资产传承至香港或全球提供税务优化。</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Tax-2500</w:t>
            </w:r>
          </w:p>
          <w:p>
            <w:r>
              <w:rPr>
                <w:rFonts w:ascii="Arial" w:cs="Arial" w:eastAsia="Arial" w:hAnsi="Arial"/>
                <w:b/>
                <w:bCs/>
                <w:sz w:val="20"/>
                <w:szCs w:val="20"/>
              </w:rPr>
              <w:t xml:space="preserve">对外股权投资-ODI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中国境内企业或个人通过新设、并购等方式在境外设立或取得企业，需向发改委、商务部门、外汇管理局办理的ODI备案/核准手续。</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合规资金出境、打通境外投资通道、享受政策支持、后续资金回流、规避违规风险</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客户资金从美国转至香港可能涉及对外投资，ODI备案是合规出境资金的必要程序，确保资金流动合法。</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Tax-2502</w:t>
            </w:r>
          </w:p>
          <w:p>
            <w:r>
              <w:rPr>
                <w:rFonts w:ascii="Arial" w:cs="Arial" w:eastAsia="Arial" w:hAnsi="Arial"/>
                <w:b/>
                <w:bCs/>
                <w:sz w:val="20"/>
                <w:szCs w:val="20"/>
              </w:rPr>
              <w:t xml:space="preserve">对外股权投资-37号文备案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根据《国家外汇管理局关于境内居民通过特殊目的公司境外投融资及返程投资外汇管理有关问题的通知》（汇发〔2014〕37号），境内居民个人在设立或控制境外特殊目的公司（SPV）时，需办理的外汇登记。</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合规设立境外架构、打通返程投资通道、规避个人外汇违规、后续上市或融资便利、资金合规回流</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客户若以个人名义在境外设立公司或返程投资，37号文备案可解决个人外汇合规问题，支持资金回流。</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Tax-2431</w:t>
            </w:r>
          </w:p>
          <w:p>
            <w:r>
              <w:rPr>
                <w:rFonts w:ascii="Arial" w:cs="Arial" w:eastAsia="Arial" w:hAnsi="Arial"/>
                <w:b/>
                <w:bCs/>
                <w:sz w:val="20"/>
                <w:szCs w:val="20"/>
              </w:rPr>
              <w:t xml:space="preserve">香港公司账户</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在香港银行（如HSBC、中银香港、渣打）为香港公司开设银行账户的服务。</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贸易首选、结算方便、多币种、国际信誉、融资便利</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客户资金需在香港运作，香港公司账户可提供多币种结算和融资支持，便于资金管理和跨境交易。</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Tax-2407</w:t>
            </w:r>
          </w:p>
          <w:p>
            <w:r>
              <w:rPr>
                <w:rFonts w:ascii="Arial" w:cs="Arial" w:eastAsia="Arial" w:hAnsi="Arial"/>
                <w:b/>
                <w:bCs/>
                <w:sz w:val="20"/>
                <w:szCs w:val="20"/>
              </w:rPr>
              <w:t xml:space="preserve">家庭资产纳税义务合规复核</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对家族成员名下各类资产（境内/境外、股权/房产/金融资产）的涉税合规性进行全面梳理和风险排查的服务。</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全面排查税务风险、发现隐形雷区（如境外金融账户未申报）、应对CRS信息交换、为移民前规划提供依据、避免未来高额罚款</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客户在美国有资产，需全面了解家族税务健康状况，避免CRS信息交换风险，确保资金跨境合规。</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8"/>
                <w:szCs w:val="18"/>
              </w:rPr>
              <w:t xml:space="preserve">CM-2359</w:t>
            </w:r>
          </w:p>
          <w:p>
            <w:r>
              <w:rPr>
                <w:rFonts w:ascii="Arial" w:cs="Arial" w:eastAsia="Arial" w:hAnsi="Arial"/>
                <w:b/>
                <w:bCs/>
                <w:sz w:val="20"/>
                <w:szCs w:val="20"/>
              </w:rPr>
              <w:t xml:space="preserve">离岸大额保单-Whole Life终身寿</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在境外（如香港、新加坡、美国）发行的以美元或港币计价的分红型终身寿险，兼具身故保障和长期储蓄功能。</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美元资产配置、长期稳健收益、多币种选择、隐私保护、可更改受保人实现多代传承</w:t>
            </w:r>
          </w:p>
        </w:tc>
        <w:tc>
          <w:tcPr>
            <w:tcW w:type="dxa" w:w="24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065F46"/>
                <w:sz w:val="19"/>
                <w:szCs w:val="19"/>
              </w:rPr>
              <w:t xml:space="preserve">客户资金需配置美元资产，离岸Whole Life终身寿可提供长期稳定收益和多代传承功能，实现资产跨境保值。</w:t>
            </w:r>
          </w:p>
        </w:tc>
      </w:tr>
    </w:tbl>
    <w:p>
      <w:pPr>
        <w:spacing w:before="400"/>
      </w:pPr>
      <w:r>
        <w:rPr>
          <w:rFonts w:ascii="Arial" w:cs="Arial" w:eastAsia="Arial" w:hAnsi="Arial"/>
          <w:i/>
          <w:iCs/>
          <w:color w:val="A1A1AA"/>
          <w:sz w:val="18"/>
          <w:szCs w:val="18"/>
        </w:rPr>
        <w:t xml:space="preserve">本文档由朝曦培训管理中台自动生成，如有疑问请联系产品中心。</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2026-05-27T07:11:57.150Z</dcterms:created>
  <dcterms:modified xsi:type="dcterms:W3CDTF">2026-05-27T07:11:57.150Z</dcterms:modified>
</cp:coreProperties>
</file>

<file path=docProps/custom.xml><?xml version="1.0" encoding="utf-8"?>
<Properties xmlns="http://schemas.openxmlformats.org/officeDocument/2006/custom-properties" xmlns:vt="http://schemas.openxmlformats.org/officeDocument/2006/docPropsVTypes"/>
</file>