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rFonts w:ascii="Arial" w:cs="Arial" w:eastAsia="Arial" w:hAnsi="Arial"/>
          <w:b/>
          <w:bCs/>
          <w:color w:val="2D6A4F"/>
          <w:sz w:val="36"/>
          <w:szCs w:val="36"/>
        </w:rPr>
        <w:t xml:space="preserve">朝曦培训方案资料包</w:t>
      </w:r>
    </w:p>
    <w:p>
      <w:pPr>
        <w:spacing w:after="10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渠道名称：________________________　　销售人员：________________________</w:t>
      </w:r>
    </w:p>
    <w:p>
      <w:pPr>
        <w:spacing w:after="40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生成时间：2026/5/27 11:50:53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一、课程方案课纲目录</w:t>
      </w:r>
    </w:p>
    <w:p>
      <w:pPr>
        <w:spacing w:after="60"/>
      </w:pPr>
      <w:r>
        <w:rPr>
          <w:rFonts w:ascii="Courier New" w:cs="Courier New" w:eastAsia="Courier New" w:hAnsi="Courier New"/>
          <w:color w:val="2D6A4F"/>
          <w:sz w:val="20"/>
          <w:szCs w:val="20"/>
        </w:rPr>
        <w:t xml:space="preserve">【课程二：业务扩张期——跨境业务架构与税务全景】</w:t>
      </w:r>
    </w:p>
    <w:p>
      <w:pPr>
        <w:spacing w:after="60"/>
      </w:pPr>
      <w:r>
        <w:rPr>
          <w:rFonts w:ascii="Courier New" w:cs="Courier New" w:eastAsia="Courier New" w:hAnsi="Courier New"/>
          <w:color w:val="18181B"/>
          <w:sz w:val="20"/>
          <w:szCs w:val="20"/>
        </w:rPr>
        <w:t xml:space="preserve">▌ 单元 5：《境内外信托架构与风险隔离——给家业一道“防火墙”，让经营风险“过不来”》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第一部分：企业主财富风险全景——债务、婚姻、继承三大威胁与资产暴露路径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第二部分：境内家族信托架构设计——设立结构、资产注入与银行配套服务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第三部分：离岸信托架构设计——隔离机制、管辖选择与CRS合规考量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第四部分：信托架构的税务合规与长期维护——CRS申报、资产分配税务安排及服务延伸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/>
      </w:r>
    </w:p>
    <w:p>
      <w:pPr>
        <w:spacing w:after="60"/>
      </w:pPr>
      <w:r>
        <w:rPr>
          <w:rFonts w:ascii="Courier New" w:cs="Courier New" w:eastAsia="Courier New" w:hAnsi="Courier New"/>
          <w:color w:val="2D6A4F"/>
          <w:sz w:val="20"/>
          <w:szCs w:val="20"/>
        </w:rPr>
        <w:t xml:space="preserve">【课程五：家族永续期——跨境/境内家族信托、税务与治理】</w:t>
      </w:r>
    </w:p>
    <w:p>
      <w:pPr>
        <w:spacing w:after="60"/>
      </w:pPr>
      <w:r>
        <w:rPr>
          <w:rFonts w:ascii="Courier New" w:cs="Courier New" w:eastAsia="Courier New" w:hAnsi="Courier New"/>
          <w:color w:val="18181B"/>
          <w:sz w:val="20"/>
          <w:szCs w:val="20"/>
        </w:rPr>
        <w:t xml:space="preserve">▌ 单元 4：《跨境家族信托——给财富找个“靠谱管家”：信托怎么设、装什么、传给谁》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第一部分：信托工具箱——认识境内外各类信托的功能与定位（FGT/NRT/离岸信托）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第二部分：信托设立全流程——从方案设计到银行开户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第三部分：资产注入实务——不同资产类型的路径与挑战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第四部分：风险隔离的效力与边界——客户最关心的问题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/>
      </w:r>
    </w:p>
    <w:p>
      <w:pPr>
        <w:spacing w:after="60"/>
      </w:pPr>
      <w:r>
        <w:rPr>
          <w:rFonts w:ascii="Courier New" w:cs="Courier New" w:eastAsia="Courier New" w:hAnsi="Courier New"/>
          <w:color w:val="2D6A4F"/>
          <w:sz w:val="20"/>
          <w:szCs w:val="20"/>
        </w:rPr>
        <w:t xml:space="preserve">【课程六：企业家投资思维——从产业经营到资产配置的范式转换】</w:t>
      </w:r>
    </w:p>
    <w:p>
      <w:pPr>
        <w:spacing w:after="60"/>
      </w:pPr>
      <w:r>
        <w:rPr>
          <w:rFonts w:ascii="Courier New" w:cs="Courier New" w:eastAsia="Courier New" w:hAnsi="Courier New"/>
          <w:color w:val="18181B"/>
          <w:sz w:val="20"/>
          <w:szCs w:val="20"/>
        </w:rPr>
        <w:t xml:space="preserve">▌ 单元 3：《框架搭建：家族财富的进攻—防守配置体系》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第一部分：股票、债券、商品、另类资产的角色分工与配置比例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第二部分：创业者特别需要的流动性缓冲区设计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第三部分：稳健策略组合的核心框架——多资产+多因子+多策略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第四部分：如何构建家族资产的配置机器与再平衡机制</w:t>
      </w:r>
    </w:p>
    <w:p>
      <w:pPr>
        <w:pStyle w:val="Heading2"/>
        <w:spacing w:after="200"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二、客户适配 SKU 列表（共 10 条）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200"/>
        <w:gridCol w:w="24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定义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主要特点和功能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匹配逻辑说明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Legal-2676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境内NRT的法律文件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包含切断委托人控制权条款的信托文件，用于设立境内NRT（非居民信托）。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落地工具、税务阻断、合规文件、法律保障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客户需求提到NRT，该产品提供境内NRT法律文件，确保切断控制权和税务阻断。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Tax-2601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境内NRT的税务意见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律师或税务师出具的确认境内信托为非居民信托（Non-Grantor Trust）的税务法律意见书，用于证明信托为独立纳税实体。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税务阻断依据、证明信托独立纳税、应对IRS审查、支持NRT设立、法律背书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客户需求提到NRT，该产品提供境内NRT税务意见，证明切断控制权，确保合规。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CM2344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境内-NRT信托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在中国境内设立的，使其在加拿大税法下被视为非加拿大居民信托架构。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加拿大税合规：信托分配加拿大税务居民受益人接收分配无税；资产隔离保护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客户需求提到NRT，该产品为加拿大税务居民提供NRT信托，实现资产隔离和隐私保护。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Tax-2407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家庭资产纳税义务合规复核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对家族成员名下各类资产（境内/境外、股权/房产/金融资产）的涉税合规性进行全面梳理和风险排查的服务。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全面排查税务风险、发现隐形雷区（如境外金融账户未申报）、应对CRS信息交换、为移民前规划提供依据、避免未来高额罚款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客户需求提到CRS风险复核，该产品提供家庭资产纳税义务合规复核，全面了解税务健康状况。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Tax-2471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CRS涉税风险复核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针对个人或企业在CRS（共同申报标准）下的信息交换情况，进行涉税风险排查和合规建议的服务，协助客户CRS相关的税务应对和税务申报。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应对CRS信息交换、发现信息不对称风险、避免被税务机关质疑、合规整改、保护资产隐私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客户需求提到CRS涉税风险，该产品提供CRS涉税风险复核，排查风险并给出合规建议。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Tax-2449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加拿大-非税居民身份筹划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即使持有加拿大护照或枫叶卡，但通过切断居住联系，在税务上被认定为“非居民”，从而无需就全球收入向加拿大纳税的筹划。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彻底免税（不再对全球收入向加拿大纳税）、规划移民前资产、避免双重征税、应对CRA质疑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客户需求提到加拿大非税居民身份筹划，该产品帮助持有枫叶卡但长期居住在中国的人士筹划非税居民身份。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Tax-2408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加拿大-登陆税务筹划-资产安排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针对拟移民加拿大的客户，在成为加拿大税务居民前，对其资产进行处置、重组和信托规划，以优化未来加拿大税负的服务。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阻断未来加拿大对移民前增值征税、实现资产成本重置、利用信托隔离税务、优化未来出售资产的税负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客户需求提到加拿大登陆税务筹划，该产品为准备移民加拿大的人士提供资产安排和税务优化。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Tax-2409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加拿大-登陆税务筹划-基础合规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针对拟移民加拿大的客户，提供关于税务居民身份认定、首次登陆申报、海外资产披露等基础税务合规咨询服务。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避免因不懂税法导致的高额罚款、确保首次申报准确、建立合规记录、为未来税务规划打下基础、降低被稽查风险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客户需求提到加拿大基础合规，该产品帮助新移民了解加拿大税制并完成首次报税。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Tax-2458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T1135海外金融资产披露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加拿大税务居民如果拥有成本超过10万加币的海外金融资产（如境外银行账户、股票、信托利益），需每年申报T1135表格。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反洗钱/反避税、瞒报面临巨额罚款（每日$25起）、资金入境依据、税务居民义务、应对CRA稽查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客户需求提到T1135海外金融资产披露，该产品指导新移民合规申报海外资产，避免漏报被罚。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Tax-2493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境外涉及澳洲受益人的税务意见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针对离岸信托涉及澳大利亚受益人（税务居民）的情况，分析澳洲税务影响并出具专业税务意见的服务。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合规应对澳洲税务局（ATO）、避免高额税负、规划分配策略、信托架构合规、保护受益人利益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客户需求提到澳洲受益人税务意见，该产品为离岸信托有澳洲受益人提供税务意见，规划分配避免被追税。</w:t>
            </w:r>
          </w:p>
        </w:tc>
      </w:tr>
    </w:tbl>
    <w:p>
      <w:pPr>
        <w:spacing w:before="400"/>
      </w:pPr>
      <w:r>
        <w:rPr>
          <w:rFonts w:ascii="Arial" w:cs="Arial" w:eastAsia="Arial" w:hAnsi="Arial"/>
          <w:i/>
          <w:iCs/>
          <w:color w:val="A1A1AA"/>
          <w:sz w:val="18"/>
          <w:szCs w:val="18"/>
        </w:rPr>
        <w:t xml:space="preserve">本文档由朝曦培训管理中台自动生成，如有疑问请联系产品中心。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2026-05-27T03:50:53.489Z</dcterms:created>
  <dcterms:modified xsi:type="dcterms:W3CDTF">2026-05-27T03:50:53.489Z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