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朝曦培训方案资料包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渠道名称：________________________　　销售人员：________________________</w:t>
      </w:r>
    </w:p>
    <w:p>
      <w:pPr>
        <w:spacing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生成时间：2026/5/27 15:03:59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一、课程方案课纲目录</w:t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【课程四：财富资本化——境外上市与跨境资本路径创新】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5：《新加坡香港地区家族办公室——给财富安个新家，新港家办的设立与运营》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第一部分：新港家族办公室的政策框架——监管要求、税务激励与两地对比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第二部分：家族办公室的实质运营要求——雇员、投资与年度合规的核心标准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第三部分：家族办公室与信托架构的协同设计——NRT结构与财富传承一体化方案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第四部分：银行在家族办公室生态中的服务定位——账户托管、投资顾问与综合金融服务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【课程五：家族永续期——跨境/境内家族信托、税务与治理】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4：《跨境家族信托——给财富找个“靠谱管家”：信托怎么设、装什么、传给谁》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第一部分：信托工具箱——认识境内外各类信托的功能与定位（FGT/NRT/离岸信托）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第二部分：信托设立全流程——从方案设计到银行开户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第三部分：资产注入实务——不同资产类型的路径与挑战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第四部分：风险隔离的效力与边界——客户最关心的问题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二、客户适配 SKU 列表（共 0 条）</w:t>
      </w:r>
    </w:p>
    <w:p>
      <w:r>
        <w:rPr>
          <w:rFonts w:ascii="Arial" w:cs="Arial" w:eastAsia="Arial" w:hAnsi="Arial"/>
          <w:color w:val="A1A1AA"/>
          <w:sz w:val="20"/>
          <w:szCs w:val="20"/>
        </w:rPr>
        <w:t xml:space="preserve">暂无 SKU 匹配结果，请在课程匹配页点击「AI 匹配适配 SKU」后再下载。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A1A1AA"/>
          <w:sz w:val="18"/>
          <w:szCs w:val="18"/>
        </w:rPr>
        <w:t xml:space="preserve">本文档由朝曦培训管理中台自动生成，如有疑问请联系产品中心。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2026-05-27T07:03:59.616Z</dcterms:created>
  <dcterms:modified xsi:type="dcterms:W3CDTF">2026-05-27T07:03:59.616Z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