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rFonts w:ascii="Arial" w:cs="Arial" w:eastAsia="Arial" w:hAnsi="Arial"/>
          <w:b/>
          <w:bCs/>
          <w:color w:val="2D6A4F"/>
          <w:sz w:val="36"/>
          <w:szCs w:val="36"/>
        </w:rPr>
        <w:t xml:space="preserve">朝曦培训方案资料包</w:t>
      </w:r>
    </w:p>
    <w:p>
      <w:pPr>
        <w:spacing w:after="10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渠道名称：________________________　　销售人员：________________________</w:t>
      </w:r>
    </w:p>
    <w:p>
      <w:pPr>
        <w:spacing w:after="40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生成时间：2026/5/27 11:32:51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一、课程方案课纲目录</w:t>
      </w:r>
    </w:p>
    <w:p>
      <w:pPr>
        <w:spacing w:after="60"/>
      </w:pPr>
      <w:r>
        <w:rPr>
          <w:rFonts w:ascii="Courier New" w:cs="Courier New" w:eastAsia="Courier New" w:hAnsi="Courier New"/>
          <w:color w:val="2D6A4F"/>
          <w:sz w:val="20"/>
          <w:szCs w:val="20"/>
        </w:rPr>
        <w:t xml:space="preserve">【课程四：财富资本化——境外上市与跨境资本路径创新】</w:t>
      </w:r>
    </w:p>
    <w:p>
      <w:pPr>
        <w:spacing w:after="60"/>
      </w:pPr>
      <w:r>
        <w:rPr>
          <w:rFonts w:ascii="Courier New" w:cs="Courier New" w:eastAsia="Courier New" w:hAnsi="Courier New"/>
          <w:color w:val="18181B"/>
          <w:sz w:val="20"/>
          <w:szCs w:val="20"/>
        </w:rPr>
        <w:t xml:space="preserve">▌ 单元 5：《新加坡香港地区家族办公室——给财富安个新家，新港家办的设立与运营》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第一部分：新港家族办公室的政策框架——监管要求、税务激励与两地对比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第二部分：家族办公室的实质运营要求——雇员、投资与年度合规的核心标准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第三部分：家族办公室与信托架构的协同设计——NRT结构与财富传承一体化方案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第四部分：银行在家族办公室生态中的服务定位——账户托管、投资顾问与综合金融服务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/>
      </w:r>
    </w:p>
    <w:p>
      <w:pPr>
        <w:spacing w:after="60"/>
      </w:pPr>
      <w:r>
        <w:rPr>
          <w:rFonts w:ascii="Courier New" w:cs="Courier New" w:eastAsia="Courier New" w:hAnsi="Courier New"/>
          <w:color w:val="2D6A4F"/>
          <w:sz w:val="20"/>
          <w:szCs w:val="20"/>
        </w:rPr>
        <w:t xml:space="preserve">【课程五：家族永续期——跨境/境内家族信托、税务与治理】</w:t>
      </w:r>
    </w:p>
    <w:p>
      <w:pPr>
        <w:spacing w:after="60"/>
      </w:pPr>
      <w:r>
        <w:rPr>
          <w:rFonts w:ascii="Courier New" w:cs="Courier New" w:eastAsia="Courier New" w:hAnsi="Courier New"/>
          <w:color w:val="18181B"/>
          <w:sz w:val="20"/>
          <w:szCs w:val="20"/>
        </w:rPr>
        <w:t xml:space="preserve">▌ 单元 4：《跨境家族信托——给财富找个“靠谱管家”：信托怎么设、装什么、传给谁》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第一部分：信托工具箱——认识境内外各类信托的功能与定位（FGT/NRT/离岸信托）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第二部分：信托设立全流程——从方案设计到银行开户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第三部分：资产注入实务——不同资产类型的路径与挑战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第四部分：风险隔离的效力与边界——客户最关心的问题</w:t>
      </w:r>
    </w:p>
    <w:p>
      <w:pPr>
        <w:pStyle w:val="Heading2"/>
        <w:spacing w:after="200"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二、客户适配 SKU 列表（共 8 条）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200"/>
        <w:gridCol w:w="24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定义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主要特点和功能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匹配逻辑说明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Tax-2482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海外身份-圣基茨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通过向圣基茨可持续发展基金捐款或投资房产，获得圣基茨和尼维斯公民身份和护照的投资入籍项目，是最古老的投资入籍项目之一。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历史悠久、免签全球150+国家、无移民监、税制优越、承认双重国籍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客户明确提到‘圣基茨移民’，该产品直接对应圣基茨护照申请，满足出行便利、税务筹划等需求。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Tax-2450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海外身份-格林纳达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通过向格林纳达国家发展基金捐款或投资房产，获得格林纳达公民身份和护照的项目。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E-2签证跳板（可申请美国E-2投资者签证）、免签中国、通行全球140+国家、税务筹划（无全球征税）、资产配置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客户可能考虑加勒比护照，格林纳达与圣基茨类似，可提供E-2签证赴美等附加价值，作为备选方案。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Tax-2479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海外身份-瓦努阿图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通过向瓦努阿图国家发展基金捐款，获得瓦努阿图公民身份和护照的投资入籍项目。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快速获批（1-2个月）、免签全球100+国家、无移民监、税制优越（无所得税、遗产税）、可改名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瓦努阿图护照快速获取，适合客户对比不同护照项目，满足快速出行和税务筹划需求。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Tax-2481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海外身份-多米尼克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通过向多米尼克经济多元化基金捐款或投资房产，获得多米尼克公民身份和护照的投资入籍项目。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低成本、免签全球140+国家、无移民监、税制优越、承认双重国籍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多米尼克护照低成本，与圣基茨同属加勒比项目，客户可综合比较性价比。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Tax-2484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海外身份-马耳他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通过向马耳他国家发展基金捐款、投资房产和购买国债/股票，获得马耳他公民身份和护照的项目，是欧盟护照中较有吸引力的项目。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欧盟护照、免签美国、英国、申根国、英语国家、税制优越、承认双重国籍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马耳他护照提供欧盟身份，适合客户考虑更高含金量的护照选项，满足自由定居欧盟需求。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Tax-2407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家庭资产纳税义务合规复核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对家族成员名下各类资产（境内/境外、股权/房产/金融资产）的涉税合规性进行全面梳理和风险排查的服务。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全面排查税务风险、发现隐形雷区（如境外金融账户未申报）、应对CRS信息交换、为移民前规划提供依据、避免未来高额罚款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移民圣基茨后需梳理全球资产税务，该产品帮助客户复核家庭资产纳税义务，避免CRS风险。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Tax-2471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CRS涉税风险复核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针对个人或企业在CRS（共同申报标准）下的信息交换情况，进行涉税风险排查和合规建议的服务，协助客户CRS相关的税务应对和税务申报。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应对CRS信息交换、发现信息不对称风险、避免被税务机关质疑、合规整改、保护资产隐私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客户移民后海外账户可能面临CRS信息交换，该产品帮助排查涉税风险，确保合规。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Tax-2543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中国个税汇算清缴（境内+境外收入）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中国税务居民个人就其全球收入（含境外收入）进行年度个税汇算清缴，并进行境外税收抵免的服务。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全球征税落地、避免双重征税（抵免）、合规申报、应对CRS信息比对、高净值人群合规重点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客户获得圣基茨身份后，若仍有中国境内收入，需合规申报个税并处理境外税收抵免，该产品提供专业支持。</w:t>
            </w:r>
          </w:p>
        </w:tc>
      </w:tr>
    </w:tbl>
    <w:p>
      <w:pPr>
        <w:spacing w:before="400"/>
      </w:pPr>
      <w:r>
        <w:rPr>
          <w:rFonts w:ascii="Arial" w:cs="Arial" w:eastAsia="Arial" w:hAnsi="Arial"/>
          <w:i/>
          <w:iCs/>
          <w:color w:val="A1A1AA"/>
          <w:sz w:val="18"/>
          <w:szCs w:val="18"/>
        </w:rPr>
        <w:t xml:space="preserve">本文档由朝曦培训管理中台自动生成，如有疑问请联系产品中心。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2026-05-27T03:32:51.500Z</dcterms:created>
  <dcterms:modified xsi:type="dcterms:W3CDTF">2026-05-27T03:32:51.500Z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