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朝曦培训方案资料包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渠道名称：________________________　　销售人员：________________________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生成时间：2026/5/27 16:51:24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一、课程方案课纲目录</w:t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【课程一：企业初创与成长期——股权架构顶层设计与激励落地】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1：《企业全生命周期股权架构设计核心原则与误区》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第一部分：架构设计的核心目标与阶段论——初创期、成长期、拟上市期、上市后的不同架构目标和需解决的核心问题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第二部分：股权架构设计必须遵循的五大底层原则（控制权安全意识、税务效率预埋、融资通道预留、传承可延展性、合规基线）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第三部分：境内外控股架构的早期规划——VIE与直接持股模式的初步判断与选择逻辑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第四部分：常见架构陷阱案例解析——代持、股权平分、过早引入战略投资人等致命错误分析，如何为企业进行体检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【课程一：企业初创与成长期——股权架构顶层设计与激励落地】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8：《股权动态调整与退出设计——股权的进入和退出都从从容容》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第一部分：股权进入机制设计——增资、老股转让与关键条款安排（优先清算权/反稀释/对赌）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第二部分：股权退出路径与税务安排——回购、减持与协议退出的全景规划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第三部分：股权纠纷预防与公司治理强化——从"争"到"防"的机制设计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第四部分：展业应用——从股权调整节点到全周期财富服务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【课程二：业务扩张期——跨境业务架构与税务全景】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3：《转让定价与BEPS合规——关联交易定价，如何让各国税局都“点头”》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第一部分：转让定价基础与关联交易识别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第二部分：同期资料文档体系——主体档案、本地文档、国别报告的要求与实操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第三部分：BEPS行动计划与全球最低税率——低税率离岸架构的合规新挑战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第四部分：展业应用——跨境结算中的转让定价风险识别与服务切入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【课程二：业务扩张期——跨境业务架构与税务全景】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7：《CRS与受控外国企业规则——离岸架构是否经得起"透明时代"的考验》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第一部分：CRS全球金融账户信息交换——运作机制、中国实践与典型涉税场景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第二部分：受控外国企业（CFC）规则——认定标准、税务影响与合规应对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第三部分：外派出境员工的CRS涉税合规——税务居民身份判定与全球收入申报管理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第四部分：离岸架构透明化时代的合规升级路径——从"规避"到"规范"的战略转型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【课程三：资本成熟期——股东减持与税务合规】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1：《有限合伙平台减持——合伙架构下，减持的规则理解与税务考量》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第一部分：有限合伙平台的税制基础——穿透征税逻辑与合伙人的税务身份差异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第二部分：合伙平台减持的核心税务议题——计税基础、申报主体与地方优惠政策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第三部分：政策收紧下的合规整改路径——历史申报自查与减持前税务规划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第四部分：合伙减持客户的展业切入——税务服务联动与减持后财富管理承接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【课程三：资本成熟期——股东减持与税务合规】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3：《减持税务合规与稽查风险预防——减持后的安全落地法则》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第一部分：减持申报的合规基础——收入确认、成本核定与申报时限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第二部分：常见稽查触发场景——税务机关的数据比对逻辑与高风险特征识别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第三部分：稽查应对全流程——事前准备、事中权利行使与事后救济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第四部分：减持后的长期税务风险管理与银行服务延伸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【课程四：财富资本化——境外上市与跨境资本路径创新】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4：《新加坡香港地区投资架构——东南亚投资的最佳拍档》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第一部分：投资环境概览——新加坡、香港的外资准入与核心税制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第二部分：双层/三层架构设计——新加坡控股公司的功能与税务优化价值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第三部分：本地运营实体与转让定价——如何设定符合当地法规的关联交易定价策略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第四部分：合资架构设计与风险防范——与当地合作伙伴的股权结构、治理机制与退出安排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【课程四：财富资本化——境外上市与跨境资本路径创新】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5：《新加坡香港地区家族办公室——给财富安个新家，新港家办的设立与运营》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第一部分：新港家族办公室的政策框架——监管要求、税务激励与两地对比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第二部分：家族办公室的实质运营要求——雇员、投资与年度合规的核心标准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第三部分：家族办公室与信托架构的协同设计——NRT结构与财富传承一体化方案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第四部分：银行在家族办公室生态中的服务定位——账户托管、投资顾问与综合金融服务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【课程五：家族永续期——跨境/境内家族信托、税务与治理】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4：《跨境家族信托——给财富找个“靠谱管家”：信托怎么设、装什么、传给谁》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第一部分：信托工具箱——认识境内外各类信托的功能与定位（FGT/NRT/离岸信托）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第二部分：信托设立全流程——从方案设计到银行开户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第三部分：资产注入实务——不同资产类型的路径与挑战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第四部分：风险隔离的效力与边界——客户最关心的问题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【课程五：家族永续期——跨境/境内家族信托、税务与治理】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5：《家庭内部风险管理——婚姻、债务、继承：高净值家庭的“三道防线”》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第一部分：婚姻风险防线——财富在婚姻中的进与退（婚前协议/婚内财产分割）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第二部分：债务防线——防止外部风险穿透家庭资产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第三部分：继承防线——让财富按意愿传递给下一代（遗嘱/意定监护）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第四部分：家族内部治理初探——家族会议与家族宪章的防纷与解纷功能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color w:val="2D6A4F"/>
          <w:sz w:val="20"/>
          <w:szCs w:val="20"/>
        </w:rPr>
        <w:t xml:space="preserve">【课程五：家族永续期——跨境/境内家族信托、税务与治理】</w:t>
      </w:r>
    </w:p>
    <w:p>
      <w:pPr>
        <w:spacing w:after="60"/>
      </w:pPr>
      <w:r>
        <w:rPr>
          <w:rFonts w:ascii="Courier New" w:cs="Courier New" w:eastAsia="Courier New" w:hAnsi="Courier New"/>
          <w:color w:val="18181B"/>
          <w:sz w:val="20"/>
          <w:szCs w:val="20"/>
        </w:rPr>
        <w:t xml:space="preserve">▌ 单元 6：《身份规划税务考量——一张新身份，对“税”的影响有多大》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第一部分：身份与税务居民——两个概念，不能混为一谈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第二部分：主流目的地税务规则逐一拆解（新加坡/香港/美国/加拿大等）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第三部分：登陆前财富规划——把握不可逆的时间窗口</w:t>
      </w:r>
    </w:p>
    <w:p>
      <w:pPr>
        <w:spacing w:after="60"/>
      </w:pPr>
      <w:r>
        <w:rPr>
          <w:rFonts w:ascii="Courier New" w:cs="Courier New" w:eastAsia="Courier New" w:hAnsi="Courier New"/>
          <w:color w:val="71717A"/>
          <w:sz w:val="20"/>
          <w:szCs w:val="20"/>
        </w:rPr>
        <w:t xml:space="preserve">  第四部分：综合服务切入——从身份话题到财富规划的专业转化</w:t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二、客户适配 SKU 列表（共 0 条）</w:t>
      </w:r>
    </w:p>
    <w:p>
      <w:r>
        <w:rPr>
          <w:rFonts w:ascii="Arial" w:cs="Arial" w:eastAsia="Arial" w:hAnsi="Arial"/>
          <w:color w:val="A1A1AA"/>
          <w:sz w:val="20"/>
          <w:szCs w:val="20"/>
        </w:rPr>
        <w:t xml:space="preserve">暂无 SKU 匹配结果，请在课程匹配页点击「AI 匹配适配 SKU」后再下载。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A1A1AA"/>
          <w:sz w:val="18"/>
          <w:szCs w:val="18"/>
        </w:rPr>
        <w:t xml:space="preserve">本文档由朝曦培训管理中台自动生成，如有疑问请联系产品中心。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2026-05-27T08:51:24.885Z</dcterms:created>
  <dcterms:modified xsi:type="dcterms:W3CDTF">2026-05-27T08:51:24.885Z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