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labnest-protocol.json" ContentType="application/json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rotocolCode"/>
        <w:spacing w:before="120" w:after="20" w:line="240" w:lineRule="auto"/>
        <w:jc w:val="center"/>
      </w:pPr>
      <w:r>
        <w:rPr>
          <w:rFonts w:ascii="Times New Roman" w:hAnsi="Times New Roman" w:eastAsia="SimSun"/>
          <w:b/>
        </w:rPr>
        <w:t>PRT-XXXXXX</w:t>
      </w:r>
    </w:p>
    <w:p>
      <w:pPr>
        <w:pStyle w:val="Title"/>
        <w:spacing w:before="0" w:after="40" w:line="240" w:lineRule="auto"/>
        <w:jc w:val="center"/>
      </w:pPr>
      <w:r>
        <w:rPr>
          <w:rFonts w:ascii="Times New Roman" w:hAnsi="Times New Roman" w:eastAsia="Microsoft YaHei"/>
          <w:b/>
        </w:rPr>
        <w:t>请填写实验规程标题 / Replace with Protocol title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7393"/>
      </w:tblGrid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Protocol Title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请填写实验规程标题 / Replace with Protocol title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Availability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 （可选状态：Draft / Active / Retired / Archived）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Review stage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 （可选阶段：Draft / Ready for review / Reviewed）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Tag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Description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多体系填写模板（软件示例，不是实验操作建议）。替换标题、参数和操作。保留三张定义表的表题及表头；标识使用英文字母、数字、下划线或短横线。条件写为 volume=small；多个条件用 &amp; 连接。空条件表示通用，空量值表示待填写，不能当作零。正文以 {{参数标识}} 引用量值；不要按体系体积推算其他参数。导入后逐项核对并确认步骤。执行范围 group 表示每组分别执行，experiment 表示全实验一次；共同操作必须对各组具有一致内容和参数。复杂互斥分支、计算器及组合限制请在编辑器配置。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实验体系定义（LabNest v1）</w:t>
      </w:r>
    </w:p>
    <w:tbl>
      <w:tblPr>
        <w:tblCaption w:val="实验体系定义（LabNest v1）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维度标识</w:t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维度名称</w:t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选项标识</w:t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选项名称</w:t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volume</w:t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体积体系</w:t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small</w:t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350 µL</w:t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volume</w:t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体积体系</w:t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large</w:t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600 µL</w:t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sample</w:t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样本属性</w:t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ordinary</w:t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普通样本</w:t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sample</w:t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样本属性</w:t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fat</w:t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富脂样本</w:t>
            </w:r>
          </w:p>
        </w:tc>
      </w:tr>
    </w:tbl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体系参数定义（LabNest v1）</w:t>
      </w:r>
    </w:p>
    <w:tbl>
      <w:tblPr>
        <w:tblCaption w:val="体系参数定义（LabNest v1）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6"/>
      </w:tblGrid>
      <w:tr>
        <w:trPr>
          <w:cantSplit/>
          <w:tblHeader/>
        </w:trPr>
        <w:tc>
          <w:tcPr>
            <w:tcW w:w="1915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参数标识</w:t>
            </w:r>
          </w:p>
        </w:tc>
        <w:tc>
          <w:tcPr>
            <w:tcW w:w="1915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参数名称</w:t>
            </w:r>
          </w:p>
        </w:tc>
        <w:tc>
          <w:tcPr>
            <w:tcW w:w="1915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单位</w:t>
            </w:r>
          </w:p>
        </w:tc>
        <w:tc>
          <w:tcPr>
            <w:tcW w:w="1915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适用条件</w:t>
            </w:r>
          </w:p>
        </w:tc>
        <w:tc>
          <w:tcPr>
            <w:tcW w:w="1916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量值</w:t>
            </w:r>
          </w:p>
        </w:tc>
      </w:tr>
      <w:tr>
        <w:trPr>
          <w:cantSplit/>
        </w:trPr>
        <w:tc>
          <w:tcPr>
            <w:tcW w:w="1915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proteinase</w:t>
            </w:r>
          </w:p>
        </w:tc>
        <w:tc>
          <w:tcPr>
            <w:tcW w:w="1915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Proteinase K</w:t>
            </w:r>
          </w:p>
        </w:tc>
        <w:tc>
          <w:tcPr>
            <w:tcW w:w="1915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µL</w:t>
            </w:r>
          </w:p>
        </w:tc>
        <w:tc>
          <w:tcPr>
            <w:tcW w:w="1915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volume=small</w:t>
            </w:r>
          </w:p>
        </w:tc>
        <w:tc>
          <w:tcPr>
            <w:tcW w:w="191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50</w:t>
            </w:r>
          </w:p>
        </w:tc>
      </w:tr>
      <w:tr>
        <w:trPr>
          <w:cantSplit/>
        </w:trPr>
        <w:tc>
          <w:tcPr>
            <w:tcW w:w="1915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proteinase</w:t>
            </w:r>
          </w:p>
        </w:tc>
        <w:tc>
          <w:tcPr>
            <w:tcW w:w="1915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Proteinase K</w:t>
            </w:r>
          </w:p>
        </w:tc>
        <w:tc>
          <w:tcPr>
            <w:tcW w:w="1915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µL</w:t>
            </w:r>
          </w:p>
        </w:tc>
        <w:tc>
          <w:tcPr>
            <w:tcW w:w="1915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volume=large</w:t>
            </w:r>
          </w:p>
        </w:tc>
        <w:tc>
          <w:tcPr>
            <w:tcW w:w="1916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80</w:t>
            </w:r>
          </w:p>
        </w:tc>
      </w:tr>
      <w:tr>
        <w:trPr>
          <w:cantSplit/>
        </w:trPr>
        <w:tc>
          <w:tcPr>
            <w:tcW w:w="1915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incubation</w:t>
            </w:r>
          </w:p>
        </w:tc>
        <w:tc>
          <w:tcPr>
            <w:tcW w:w="1915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共同时间</w:t>
            </w:r>
          </w:p>
        </w:tc>
        <w:tc>
          <w:tcPr>
            <w:tcW w:w="1915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min</w:t>
            </w:r>
          </w:p>
        </w:tc>
        <w:tc>
          <w:tcPr>
            <w:tcW w:w="1915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91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10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Purpose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Background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Material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Materials</w:t>
      </w:r>
    </w:p>
    <w:tbl>
      <w:tblPr>
        <w:tblCaption w:val="Materials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200"/>
        <w:gridCol w:w="2300"/>
        <w:gridCol w:w="3076"/>
      </w:tblGrid>
      <w:tr>
        <w:trPr>
          <w:cantSplit/>
          <w:tblHeader/>
        </w:trPr>
        <w:tc>
          <w:tcPr>
            <w:tcW w:w="30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Name</w:t>
            </w:r>
          </w:p>
        </w:tc>
        <w:tc>
          <w:tcPr>
            <w:tcW w:w="12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  <w:tc>
          <w:tcPr>
            <w:tcW w:w="23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Role</w:t>
            </w:r>
          </w:p>
        </w:tc>
        <w:tc>
          <w:tcPr>
            <w:tcW w:w="3076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Notes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307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Steps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执行操作定义（LabNest v1）</w:t>
      </w:r>
    </w:p>
    <w:tbl>
      <w:tblPr>
        <w:tblCaption w:val="执行操作定义（LabNest v1）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cantSplit/>
          <w:tblHeader/>
        </w:trPr>
        <w:tc>
          <w:tcPr>
            <w:tcW w:w="136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操作标识</w:t>
            </w:r>
          </w:p>
        </w:tc>
        <w:tc>
          <w:tcPr>
            <w:tcW w:w="136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操作标题</w:t>
            </w:r>
          </w:p>
        </w:tc>
        <w:tc>
          <w:tcPr>
            <w:tcW w:w="136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正文</w:t>
            </w:r>
          </w:p>
        </w:tc>
        <w:tc>
          <w:tcPr>
            <w:tcW w:w="136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适用条件</w:t>
            </w:r>
          </w:p>
        </w:tc>
        <w:tc>
          <w:tcPr>
            <w:tcW w:w="136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引用参数（分号分隔）</w:t>
            </w:r>
          </w:p>
        </w:tc>
        <w:tc>
          <w:tcPr>
            <w:tcW w:w="136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计时参数</w:t>
            </w:r>
          </w:p>
        </w:tc>
        <w:tc>
          <w:tcPr>
            <w:tcW w:w="136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执行范围（group/experiment）</w:t>
            </w:r>
          </w:p>
        </w:tc>
      </w:tr>
      <w:tr>
        <w:trPr>
          <w:cantSplit/>
        </w:trPr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prepare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共同准备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核对样本标识与原始说明。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experiment</w:t>
            </w:r>
          </w:p>
        </w:tc>
      </w:tr>
      <w:tr>
        <w:trPr>
          <w:cantSplit/>
        </w:trPr>
        <w:tc>
          <w:tcPr>
            <w:tcW w:w="136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add</w:t>
            </w:r>
          </w:p>
        </w:tc>
        <w:tc>
          <w:tcPr>
            <w:tcW w:w="136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加入试剂</w:t>
            </w:r>
          </w:p>
        </w:tc>
        <w:tc>
          <w:tcPr>
            <w:tcW w:w="136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加入 {{proteinase}}。示例数值应以正式说明书核对。</w:t>
            </w:r>
          </w:p>
        </w:tc>
        <w:tc>
          <w:tcPr>
            <w:tcW w:w="136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36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proteinase</w:t>
            </w:r>
          </w:p>
        </w:tc>
        <w:tc>
          <w:tcPr>
            <w:tcW w:w="136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36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group</w:t>
            </w:r>
          </w:p>
        </w:tc>
      </w:tr>
      <w:tr>
        <w:trPr>
          <w:cantSplit/>
        </w:trPr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wait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共同等待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按原方案等待 {{incubation}}；计时结束后由操作者确认完成。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incubation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incubation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group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Result Templates</w:t>
      </w:r>
    </w:p>
    <w:sdt>
      <w:sdtPr>
        <w:tag w:val="labnest-template-instructions"/>
      </w:sdtPr>
      <w:sdtContent>
        <w:p>
          <w:pPr>
            <w:spacing w:before="0" w:after="60" w:line="240" w:lineRule="auto"/>
          </w:pPr>
          <w:r>
            <w:rPr>
              <w:rFonts w:ascii="Times New Roman" w:hAnsi="Times New Roman" w:eastAsia="SimSun"/>
            </w:rPr>
            <w:t/>
          </w:r>
        </w:p>
      </w:sdtContent>
    </w:sdt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result_type</w:t>
      </w:r>
    </w:p>
    <w:tbl>
      <w:tblPr>
        <w:tblCaption w:val="result_type"/>
        <w:tblDescription w:val="labnest-result-template:{&quot;result_type&quot;:&quot;result_type&quot;,&quot;templateKey&quot;:&quot;result_type&quot;,&quot;schemaVersion&quot;:1,&quot;title&quot;:&quot;result_type&quot;,&quot;instructions&quot;:[{&quot;type&quot;:&quot;paragraph&quot;,&quot;content&quot;:[{&quot;text&quot;:&quot;&quot;}]}],&quot;resultKind&quot;:&quot;observation&quot;,&quot;cardinality&quot;:&quot;per_run&quot;,&quot;fields&quot;:[],&quot;datasets&quot;:[],&quot;artifacts&quot;:[],&quot;view&quot;:{&quot;preset&quot;:&quot;generic&quot;,&quot;charts&quot;:[]}}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rPr>
          <w:cantSplit/>
          <w:tblHeader/>
        </w:trPr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Field key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Label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Type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Required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Role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Options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Min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Max</w:t>
            </w:r>
          </w:p>
        </w:tc>
      </w:tr>
      <w:tr>
        <w:trPr>
          <w:cantSplit/>
        </w:trPr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text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No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annotation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Consumption Rules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Consumption rules</w:t>
      </w:r>
    </w:p>
    <w:tbl>
      <w:tblPr>
        <w:tblCaption w:val="Consumption rules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5076"/>
        <w:gridCol w:w="1500"/>
      </w:tblGrid>
      <w:tr>
        <w:trPr>
          <w:cantSplit/>
          <w:tblHeader/>
        </w:trPr>
        <w:tc>
          <w:tcPr>
            <w:tcW w:w="30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Material</w:t>
            </w:r>
          </w:p>
        </w:tc>
        <w:tc>
          <w:tcPr>
            <w:tcW w:w="5076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Formula</w:t>
            </w:r>
          </w:p>
        </w:tc>
        <w:tc>
          <w:tcPr>
            <w:tcW w:w="15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507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sectPr>
      <w:headerReference w:type="default" r:id="rId2"/>
      <w:footerReference w:type="default" r:id="rId3"/>
      <w:pgSz w:w="11906" w:h="16838"/>
      <w:pgMar w:top="1020" w:right="1077" w:bottom="964" w:left="1077" w:header="454" w:footer="454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BFBFBF" w:space="1"/>
      </w:pBdr>
      <w:spacing w:before="0"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 xml:space="preserve">Research Use Only | 受控副本以 LabNest 中的最新版本为准 | Page </w:t>
    </w:r>
    <w:fldSimple w:instr=" PAGE ">
      <w:r>
        <w:rPr>
          <w:rFonts w:ascii="Times New Roman" w:hAnsi="Times New Roman" w:eastAsia="SimSun"/>
          <w:color w:val="666666"/>
          <w:sz w:val="16"/>
          <w:szCs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576"/>
      </w:tabs>
      <w:pBdr>
        <w:bottom w:val="single" w:sz="4" w:color="BFBFBF" w:space="1"/>
      </w:pBdr>
      <w:spacing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>PRT-XXXXXX | 请填写实验规程标题 / Replace with Protocol title</w:t>
    </w:r>
    <w:r>
      <w:tab/>
    </w:r>
    <w:r>
      <w:rPr>
        <w:rFonts w:ascii="Times New Roman" w:hAnsi="Times New Roman" w:eastAsia="SimSun"/>
        <w:color w:val="666666"/>
        <w:sz w:val="16"/>
        <w:szCs w:val="16"/>
      </w:rPr>
      <w:t>Draft | v0.4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0"/>
        <w:szCs w:val="20"/>
        <w:lang w:val="en-US" w:eastAsia="zh-CN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rPr>
      <w:rFonts w:ascii="Times New Roman" w:hAnsi="Times New Roman" w:eastAsia="SimSun"/>
      <w:sz w:val="20"/>
      <w:szCs w:val="20"/>
    </w:rPr>
  </w:style>
  <w:style w:type="paragraph" w:styleId="ProtocolCode">
    <w:name w:val="Protocol Code"/>
    <w:basedOn w:val="Normal"/>
    <w:pPr>
      <w:jc w:val="center"/>
    </w:pPr>
    <w:rPr>
      <w:rFonts w:ascii="Times New Roman" w:hAnsi="Times New Roman" w:eastAsia="SimSun"/>
      <w:b/>
      <w:sz w:val="20"/>
      <w:szCs w:val="20"/>
      <w:color w:val="222222"/>
    </w:rPr>
  </w:style>
  <w:style w:type="paragraph" w:styleId="Title">
    <w:name w:val="Title"/>
    <w:basedOn w:val="Normal"/>
    <w:pPr>
      <w:jc w:val="center"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Subtitle">
    <w:name w:val="Subtitle"/>
    <w:basedOn w:val="Normal"/>
    <w:pPr>
      <w:jc w:val="center"/>
    </w:pPr>
    <w:rPr>
      <w:rFonts w:ascii="Times New Roman" w:hAnsi="Times New Roman" w:eastAsia="SimSun"/>
      <w:i/>
      <w:sz w:val="20"/>
      <w:szCs w:val="20"/>
      <w:color w:val="666666"/>
    </w:rPr>
  </w:style>
  <w:style w:type="paragraph" w:styleId="SectionHeading">
    <w:name w:val="Section Heading"/>
    <w:basedOn w:val="Normal"/>
    <w:pPr>
      <w:keepNext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Heading2">
    <w:name w:val="Heading 2"/>
    <w:basedOn w:val="Normal"/>
    <w:pPr>
      <w:keepNext/>
    </w:pPr>
    <w:rPr>
      <w:rFonts w:ascii="Times New Roman" w:hAnsi="Times New Roman" w:eastAsia="Microsoft YaHei"/>
      <w:b/>
      <w:sz w:val="20"/>
      <w:szCs w:val="20"/>
      <w:color w:val="222222"/>
    </w:rPr>
  </w:style>
  <w:style w:type="paragraph" w:styleId="Heading3">
    <w:name w:val="Heading 3"/>
    <w:basedOn w:val="Normal"/>
    <w:pPr>
      <w:keepNext/>
    </w:pPr>
    <w:rPr>
      <w:rFonts w:ascii="Times New Roman" w:hAnsi="Times New Roman" w:eastAsia="Microsoft YaHei"/>
      <w:b/>
      <w:sz w:val="20"/>
      <w:szCs w:val="20"/>
      <w:color w:val="666666"/>
    </w:rPr>
  </w:style>
  <w:style w:type="paragraph" w:styleId="Quote">
    <w:name w:val="Quote"/>
    <w:basedOn w:val="Normal"/>
    <w:pPr>
      <w:ind w:left="360"/>
    </w:pPr>
    <w:rPr>
      <w:i/>
      <w:color w:val="666666"/>
    </w:rPr>
  </w:style>
  <w:style w:type="paragraph" w:styleId="ListBullet">
    <w:name w:val="List Bullet"/>
    <w:basedOn w:val="Normal"/>
    <w:pPr>
      <w:ind w:left="360" w:hanging="240"/>
    </w:pPr>
  </w:style>
  <w:style w:type="paragraph" w:styleId="Checklist">
    <w:name w:val="Checklist"/>
    <w:basedOn w:val="Normal"/>
    <w:pPr>
      <w:ind w:left="36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