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labnest-protocol.json" ContentType="application/json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rotocolCode"/>
        <w:spacing w:before="120" w:after="20" w:line="240" w:lineRule="auto"/>
        <w:jc w:val="center"/>
      </w:pPr>
      <w:r>
        <w:rPr>
          <w:rFonts w:ascii="Times New Roman" w:hAnsi="Times New Roman" w:eastAsia="SimSun"/>
          <w:b/>
        </w:rPr>
        <w:t>SYN-a6dfc410-c299-44fc-b93b-652f764e1054</w:t>
      </w:r>
    </w:p>
    <w:p>
      <w:pPr>
        <w:pStyle w:val="Title"/>
        <w:spacing w:before="0" w:after="40" w:line="240" w:lineRule="auto"/>
        <w:jc w:val="center"/>
      </w:pPr>
      <w:r>
        <w:rPr>
          <w:rFonts w:ascii="Times New Roman" w:hAnsi="Times New Roman" w:eastAsia="Microsoft YaHei"/>
          <w:b/>
        </w:rPr>
        <w:t>350／600 µL 合成规程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7393"/>
      </w:tblGrid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Protocol Title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SYN-a6dfc410-c299-44fc-b93b-652f764e1054 350／600 µL 合成规程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Availability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Review stage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Tag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Description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通用规程 · 全部体系（不是本次执行记录）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裂解体积：○ 350 µL；◇ 600 µL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样本性质：○ 普通样本；◇ 高脂样本</w:t>
      </w:r>
    </w:p>
    <w:tbl>
      <w:tblPr>
        <w:tblW w:w="9576" w:type="dxa"/>
        <w:tblInd w:w="120" w:type="dxa"/>
        <w:tblBorders>
          <w:top w:val="single" w:sz="6" w:color="666666" w:space="0"/>
          <w:left w:val="single" w:sz="6" w:color="666666" w:space="0"/>
          <w:bottom w:val="single" w:sz="6" w:color="666666" w:space="0"/>
          <w:right w:val="single" w:sz="6" w:color="666666" w:space="0"/>
          <w:insideH w:val="single" w:sz="6" w:color="666666" w:space="0"/>
          <w:insideV w:val="single" w:sz="6" w:color="66666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rPr>
          <w:cantSplit/>
        </w:trPr>
        <w:tc>
          <w:tcPr>
            <w:tcW w:w="9576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color w:val="666666"/>
              </w:rPr>
              <w:t>说明 / NOTE · 合成软件验收规程；非经验证的实验方法。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Purpose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  <w:color w:val="666666"/>
        </w:rPr>
        <w:t>Not recorded.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Background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  <w:b/>
        </w:rPr>
        <w:t>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10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</w:rPr>
        <w:t>11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12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13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14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15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16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17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18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19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</w:rPr>
        <w:t>21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22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25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28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  <w:b/>
        </w:rPr>
        <w:t>31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34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37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40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</w:rPr>
        <w:t>41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42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43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44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45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46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47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48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49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</w:rPr>
        <w:t>51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52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55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58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  <w:b/>
        </w:rPr>
        <w:t>61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64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67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70 · 代表性长正文用于验证中文输入、选择、保存与滚动位置。记录来源和单位，保留实验实际操作与原始数据的关联。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rPr>
          <w:cantSplit/>
          <w:tblHeader/>
        </w:trPr>
        <w:tc>
          <w:tcPr>
            <w:tcW w:w="478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记录类型</w:t>
            </w:r>
          </w:p>
        </w:tc>
        <w:tc>
          <w:tcPr>
            <w:tcW w:w="478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说明</w:t>
            </w:r>
          </w:p>
        </w:tc>
      </w:tr>
      <w:tr>
        <w:trPr>
          <w:cantSplit/>
        </w:trPr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来源</w:t>
            </w:r>
          </w:p>
        </w:tc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合成软件验收；非真实实验结论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Material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  <w:color w:val="666666"/>
        </w:rPr>
        <w:t>Not recorded.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Steps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共同准备：核对标签和记录编号。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核对样本</w:t>
      </w:r>
    </w:p>
    <w:p>
      <w:pPr>
        <w:pStyle w:val="Checklist"/>
        <w:spacing w:before="0" w:after="60" w:line="240" w:lineRule="auto"/>
      </w:pPr>
      <w:r>
        <w:rPr>
          <w:rFonts w:ascii="Times New Roman" w:hAnsi="Times New Roman" w:eastAsia="SimSun"/>
        </w:rPr>
        <w:t>☐ 标记管号</w:t>
      </w:r>
    </w:p>
    <w:p>
      <w:pPr>
        <w:pStyle w:val="Checklist"/>
        <w:spacing w:before="0" w:after="60" w:line="240" w:lineRule="auto"/>
      </w:pPr>
      <w:r>
        <w:rPr>
          <w:rFonts w:ascii="Times New Roman" w:hAnsi="Times New Roman" w:eastAsia="SimSun"/>
        </w:rPr>
        <w:t>☐ 确认原始记录时间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适用条件：通用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加入试剂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rPr>
          <w:cantSplit/>
          <w:tblHeader/>
        </w:trPr>
        <w:tc>
          <w:tcPr>
            <w:tcW w:w="478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组分</w:t>
            </w:r>
          </w:p>
        </w:tc>
        <w:tc>
          <w:tcPr>
            <w:tcW w:w="478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用量</w:t>
            </w:r>
          </w:p>
        </w:tc>
      </w:tr>
      <w:tr>
        <w:trPr>
          <w:cantSplit/>
        </w:trPr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Proteinase K</w:t>
            </w:r>
          </w:p>
        </w:tc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裂解体积：350 µL → 50 µL / 裂解体积：600 µL → 80 µL</w:t>
            </w:r>
          </w:p>
        </w:tc>
      </w:tr>
      <w:tr>
        <w:trPr>
          <w:cantSplit/>
        </w:trPr>
        <w:tc>
          <w:tcPr>
            <w:tcW w:w="4788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Ethanol</w:t>
            </w:r>
          </w:p>
        </w:tc>
        <w:tc>
          <w:tcPr>
            <w:tcW w:w="4788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裂解体积：350 µL → 200 µL / 裂解体积：600 µL → 350 µL</w:t>
            </w:r>
          </w:p>
        </w:tc>
      </w:tr>
      <w:tr>
        <w:trPr>
          <w:cantSplit/>
        </w:trPr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600 µL 体系说明〔裂解体积：600 µL〕</w:t>
            </w:r>
          </w:p>
        </w:tc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此行为条件行</w:t>
            </w:r>
          </w:p>
        </w:tc>
      </w:tr>
    </w:tbl>
    <w:p>
      <w:pPr>
        <w:spacing w:before="0" w:after="6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256532" cy="1276960"/>
            <wp:docPr id="1" name="Image 1" descr="labnest-media:{&quot;caption&quot;:&quot;中文图注 1 · 合成验收&quot;,&quot;filename&quot;:&quot;合成图片1.png&quot;,&quot;widthPercent&quot;:70,&quot;attachmentId&quot;:&quot;cmv7wm0br0002b5oslainy0ij&quot;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合成图片1.png"/>
                    <pic:cNvPicPr/>
                  </pic:nvPicPr>
                  <pic:blipFill>
                    <a:blip r:embed="rIdMedia1"/>
                    <a:stretch>
                      <a:fillRect/>
                    </a:stretch>
                  </pic:blipFill>
                  <pic:spPr>
                    <a:xfrm>
                      <a:off x="0" y="0"/>
                      <a:ext cx="4256532" cy="12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</w:rPr>
        <w:t>中文图注 1 · 合成验收</w:t>
      </w:r>
    </w:p>
    <w:p>
      <w:pPr>
        <w:spacing w:before="0" w:after="6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256532" cy="1276960"/>
            <wp:docPr id="2" name="Image 2" descr="labnest-media:{&quot;caption&quot;:&quot;中文图注 2 · 合成验收&quot;,&quot;filename&quot;:&quot;合成图片2.png&quot;,&quot;widthPercent&quot;:70,&quot;attachmentId&quot;:&quot;cmv7wm0ed0003b5osjav62b1n&quot;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合成图片2.png"/>
                    <pic:cNvPicPr/>
                  </pic:nvPicPr>
                  <pic:blipFill>
                    <a:blip r:embed="rIdMedia2"/>
                    <a:stretch>
                      <a:fillRect/>
                    </a:stretch>
                  </pic:blipFill>
                  <pic:spPr>
                    <a:xfrm>
                      <a:off x="0" y="0"/>
                      <a:ext cx="4256532" cy="12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</w:rPr>
        <w:t>中文图注 2 · 合成验收</w:t>
      </w:r>
    </w:p>
    <w:p>
      <w:pPr>
        <w:spacing w:before="0" w:after="6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256532" cy="1276960"/>
            <wp:docPr id="3" name="Image 3" descr="labnest-media:{&quot;caption&quot;:&quot;中文图注 3 · 合成验收&quot;,&quot;filename&quot;:&quot;合成图片3.png&quot;,&quot;widthPercent&quot;:70,&quot;attachmentId&quot;:&quot;cmv7wm0es0004b5osxxtvlan6&quot;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合成图片3.png"/>
                    <pic:cNvPicPr/>
                  </pic:nvPicPr>
                  <pic:blipFill>
                    <a:blip r:embed="rIdMedia3"/>
                    <a:stretch>
                      <a:fillRect/>
                    </a:stretch>
                  </pic:blipFill>
                  <pic:spPr>
                    <a:xfrm>
                      <a:off x="0" y="0"/>
                      <a:ext cx="4256532" cy="12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</w:rPr>
        <w:t>中文图注 3 · 合成验收</w:t>
      </w:r>
    </w:p>
    <w:p>
      <w:pPr>
        <w:spacing w:before="0" w:after="6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256532" cy="1276960"/>
            <wp:docPr id="4" name="Image 4" descr="labnest-media:{&quot;caption&quot;:&quot;中文图注 4 · 合成验收&quot;,&quot;filename&quot;:&quot;合成图片4.png&quot;,&quot;widthPercent&quot;:70,&quot;attachmentId&quot;:&quot;cmv7wm0gz0005b5osggyla1wc&quot;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合成图片4.png"/>
                    <pic:cNvPicPr/>
                  </pic:nvPicPr>
                  <pic:blipFill>
                    <a:blip r:embed="rIdMedia4"/>
                    <a:stretch>
                      <a:fillRect/>
                    </a:stretch>
                  </pic:blipFill>
                  <pic:spPr>
                    <a:xfrm>
                      <a:off x="0" y="0"/>
                      <a:ext cx="4256532" cy="12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</w:rPr>
        <w:t>中文图注 4 · 合成验收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独立稀释示例取母液 示例母液取液量：稀释计算器计算后确认（µL）；这是软件测试，不是试剂方案的附加用量。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适用条件：通用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孵育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孵育 10 min，计时结束后仍需人工确认。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适用条件：样本性质：高脂样本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高脂样本补充处理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仅按已确认的样本性质执行；未填写不视为普通样本。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Result Templates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  <w:color w:val="666666"/>
        </w:rPr>
        <w:t>Not recorded.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Consumption Rules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  <w:color w:val="666666"/>
        </w:rPr>
        <w:t>Not recorded.</w:t>
      </w:r>
    </w:p>
    <w:sectPr>
      <w:headerReference w:type="default" r:id="rId2"/>
      <w:footerReference w:type="default" r:id="rId3"/>
      <w:pgSz w:w="11906" w:h="16838"/>
      <w:pgMar w:top="1020" w:right="1077" w:bottom="964" w:left="1077" w:header="454" w:footer="454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color="BFBFBF" w:space="1"/>
      </w:pBdr>
      <w:spacing w:before="0"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 xml:space="preserve">Research Use Only | 受控副本以 LabNest 中的最新版本为准 | Page </w:t>
    </w:r>
    <w:fldSimple w:instr=" PAGE ">
      <w:r>
        <w:rPr>
          <w:rFonts w:ascii="Times New Roman" w:hAnsi="Times New Roman" w:eastAsia="SimSun"/>
          <w:color w:val="666666"/>
          <w:sz w:val="16"/>
          <w:szCs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tabs>
        <w:tab w:val="right" w:pos="9576"/>
      </w:tabs>
      <w:pBdr>
        <w:bottom w:val="single" w:sz="4" w:color="BFBFBF" w:space="1"/>
      </w:pBdr>
      <w:spacing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>SYN-a6dfc410-c299-44fc-b93b-652f764e1054 | 350／600 µL 合成规程</w:t>
    </w:r>
    <w:r>
      <w:tab/>
    </w:r>
    <w:r>
      <w:rPr>
        <w:rFonts w:ascii="Times New Roman" w:hAnsi="Times New Roman" w:eastAsia="SimSun"/>
        <w:color w:val="666666"/>
        <w:sz w:val="16"/>
        <w:szCs w:val="16"/>
      </w:rPr>
      <w:t>Draft | v1.0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0"/>
        <w:szCs w:val="20"/>
        <w:lang w:val="en-US" w:eastAsia="zh-CN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rPr>
      <w:rFonts w:ascii="Times New Roman" w:hAnsi="Times New Roman" w:eastAsia="SimSun"/>
      <w:sz w:val="20"/>
      <w:szCs w:val="20"/>
    </w:rPr>
  </w:style>
  <w:style w:type="paragraph" w:styleId="ProtocolCode">
    <w:name w:val="Protocol Code"/>
    <w:basedOn w:val="Normal"/>
    <w:pPr>
      <w:jc w:val="center"/>
    </w:pPr>
    <w:rPr>
      <w:rFonts w:ascii="Times New Roman" w:hAnsi="Times New Roman" w:eastAsia="SimSun"/>
      <w:b/>
      <w:sz w:val="20"/>
      <w:szCs w:val="20"/>
      <w:color w:val="222222"/>
    </w:rPr>
  </w:style>
  <w:style w:type="paragraph" w:styleId="Title">
    <w:name w:val="Title"/>
    <w:basedOn w:val="Normal"/>
    <w:pPr>
      <w:jc w:val="center"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Subtitle">
    <w:name w:val="Subtitle"/>
    <w:basedOn w:val="Normal"/>
    <w:pPr>
      <w:jc w:val="center"/>
    </w:pPr>
    <w:rPr>
      <w:rFonts w:ascii="Times New Roman" w:hAnsi="Times New Roman" w:eastAsia="SimSun"/>
      <w:i/>
      <w:sz w:val="20"/>
      <w:szCs w:val="20"/>
      <w:color w:val="666666"/>
    </w:rPr>
  </w:style>
  <w:style w:type="paragraph" w:styleId="SectionHeading">
    <w:name w:val="Section Heading"/>
    <w:basedOn w:val="Normal"/>
    <w:pPr>
      <w:keepNext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Heading2">
    <w:name w:val="Heading 2"/>
    <w:basedOn w:val="Normal"/>
    <w:pPr>
      <w:keepNext/>
    </w:pPr>
    <w:rPr>
      <w:rFonts w:ascii="Times New Roman" w:hAnsi="Times New Roman" w:eastAsia="Microsoft YaHei"/>
      <w:b/>
      <w:sz w:val="20"/>
      <w:szCs w:val="20"/>
      <w:color w:val="222222"/>
    </w:rPr>
  </w:style>
  <w:style w:type="paragraph" w:styleId="Heading3">
    <w:name w:val="Heading 3"/>
    <w:basedOn w:val="Normal"/>
    <w:pPr>
      <w:keepNext/>
    </w:pPr>
    <w:rPr>
      <w:rFonts w:ascii="Times New Roman" w:hAnsi="Times New Roman" w:eastAsia="Microsoft YaHei"/>
      <w:b/>
      <w:sz w:val="20"/>
      <w:szCs w:val="20"/>
      <w:color w:val="666666"/>
    </w:rPr>
  </w:style>
  <w:style w:type="paragraph" w:styleId="Quote">
    <w:name w:val="Quote"/>
    <w:basedOn w:val="Normal"/>
    <w:pPr>
      <w:ind w:left="360"/>
    </w:pPr>
    <w:rPr>
      <w:i/>
      <w:color w:val="666666"/>
    </w:rPr>
  </w:style>
  <w:style w:type="paragraph" w:styleId="ListBullet">
    <w:name w:val="List Bullet"/>
    <w:basedOn w:val="Normal"/>
    <w:pPr>
      <w:ind w:left="360" w:hanging="240"/>
    </w:pPr>
  </w:style>
  <w:style w:type="paragraph" w:styleId="Checklist">
    <w:name w:val="Checklist"/>
    <w:basedOn w:val="Normal"/>
    <w:pPr>
      <w:ind w:left="36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Relationship Id="rIdMedia1" Type="http://schemas.openxmlformats.org/officeDocument/2006/relationships/image" Target="media/image-1.png"/><Relationship Id="rIdMedia2" Type="http://schemas.openxmlformats.org/officeDocument/2006/relationships/image" Target="media/image-2.png"/><Relationship Id="rIdMedia3" Type="http://schemas.openxmlformats.org/officeDocument/2006/relationships/image" Target="media/image-3.png"/><Relationship Id="rIdMedia4" Type="http://schemas.openxmlformats.org/officeDocument/2006/relationships/image" Target="media/image-4.png"/></Relationships>
</file>