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labnest-protocol.json" ContentType="application/json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ProtocolCode"/>
        <w:spacing w:before="120" w:after="20" w:line="240" w:lineRule="auto"/>
        <w:jc w:val="center"/>
      </w:pPr>
      <w:r>
        <w:rPr>
          <w:rFonts w:ascii="Times New Roman" w:hAnsi="Times New Roman" w:eastAsia="SimSun"/>
          <w:b/>
        </w:rPr>
        <w:t>PRT-900901</w:t>
      </w:r>
    </w:p>
    <w:p>
      <w:pPr>
        <w:pStyle w:val="Title"/>
        <w:spacing w:before="0" w:after="40" w:line="240" w:lineRule="auto"/>
        <w:jc w:val="center"/>
      </w:pPr>
      <w:r>
        <w:rPr>
          <w:rFonts w:ascii="Times New Roman" w:hAnsi="Times New Roman" w:eastAsia="Microsoft YaHei"/>
          <w:b/>
        </w:rPr>
        <w:t>GFP 质粒瞬时转染（合成示例）</w:t>
      </w:r>
    </w:p>
    <w:p>
      <w:pPr>
        <w:pStyle w:val="Subtitle"/>
        <w:spacing w:before="0" w:after="100" w:line="240" w:lineRule="auto"/>
        <w:jc w:val="center"/>
      </w:pPr>
      <w:r>
        <w:rPr>
          <w:rFonts w:ascii="Times New Roman" w:hAnsi="Times New Roman" w:eastAsia="SimSun"/>
          <w:i/>
          <w:color w:val="666666"/>
        </w:rPr>
        <w:t>GFP plasmid transient transfection (synthetic fixture)</w:t>
      </w:r>
    </w:p>
    <w:tbl>
      <w:tblPr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7393"/>
      </w:tblGrid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Protocol Title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PRT-900901 GFP 质粒瞬时转染（合成示例）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Availability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Review stage</w:t>
            </w:r>
          </w:p>
        </w:tc>
        <w:tc>
          <w:tcPr>
            <w:tcW w:w="7393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Draft</w:t>
            </w:r>
          </w:p>
        </w:tc>
      </w:tr>
      <w:tr>
        <w:trPr>
          <w:cantSplit/>
        </w:trPr>
        <w:tc>
          <w:tcPr>
            <w:tcW w:w="218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  <w:b/>
              </w:rPr>
              <w:t>Tag</w:t>
            </w:r>
          </w:p>
        </w:tc>
        <w:tc>
          <w:tcPr>
            <w:tcW w:w="7393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AI fixture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Description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Synthetic demonstration fixture for AI-assisted import. Not a validated laboratory method.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Purpose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Transiently express a GFP reporter plasmid in adherent cells cultured in a 24-well plate.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Background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/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Material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Materials</w:t>
      </w:r>
    </w:p>
    <w:tbl>
      <w:tblPr>
        <w:tblCaption w:val="Material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200"/>
        <w:gridCol w:w="2300"/>
        <w:gridCol w:w="3076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Name</w:t>
            </w:r>
          </w:p>
        </w:tc>
        <w:tc>
          <w:tcPr>
            <w:tcW w:w="12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23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3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Notes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Opti-MEM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µL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Diluent</w:t>
            </w:r>
          </w:p>
        </w:tc>
        <w:tc>
          <w:tcPr>
            <w:tcW w:w="3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Reduced-serum medium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Lipofectamine 3000</w:t>
            </w:r>
          </w:p>
        </w:tc>
        <w:tc>
          <w:tcPr>
            <w:tcW w:w="12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µL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Transfection reagent</w:t>
            </w:r>
          </w:p>
        </w:tc>
        <w:tc>
          <w:tcPr>
            <w:tcW w:w="3076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Keep at 4 °C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P3000 reagent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µL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Enhancer</w:t>
            </w:r>
          </w:p>
        </w:tc>
        <w:tc>
          <w:tcPr>
            <w:tcW w:w="3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  <w:tr>
        <w:trPr>
          <w:cantSplit/>
        </w:trPr>
        <w:tc>
          <w:tcPr>
            <w:tcW w:w="30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GFP reporter plasmid</w:t>
            </w:r>
          </w:p>
        </w:tc>
        <w:tc>
          <w:tcPr>
            <w:tcW w:w="12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ng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DNA</w:t>
            </w:r>
          </w:p>
        </w:tc>
        <w:tc>
          <w:tcPr>
            <w:tcW w:w="3076" w:type="dxa"/>
            <w:shd w:val="clear" w:color="auto" w:fill="F2F2F2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Endotoxin-free preparation</w:t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Steps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1. Seed cells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Seed 1.0 × 10^5 cells per well in 500 µL complete medium one day before transfection, aiming for 70–90% confluence.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2. Prepare DNA mix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For each well, dilute 500 ng GFP reporter plasmid and 1 µL P3000 reagent in 25 µL Opti-MEM.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3. Prepare lipid mix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For each well, dilute 1.5 µL Lipofectamine 3000 in 25 µL Opti-MEM. Prepare 10% extra volume to cover pipetting loss.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4. Combine and add to cells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Combine the DNA mix and lipid mix, incubate 15 min at room temperature, then add 50 µL dropwise to each well. Do not vortex the complex.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5. Read out expression</w:t>
      </w:r>
    </w:p>
    <w:p>
      <w:pPr>
        <w:spacing w:before="0" w:after="60" w:line="240" w:lineRule="auto"/>
      </w:pPr>
      <w:r>
        <w:rPr>
          <w:rFonts w:ascii="Times New Roman" w:hAnsi="Times New Roman" w:eastAsia="SimSun"/>
        </w:rPr>
        <w:t>Image GFP 48 h after transfection and record the percentage of GFP-positive cells and the mean fluorescence intensity. The imaging time may be adjusted between 24 h and 72 h.</w:t>
      </w:r>
    </w:p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Result Templates</w:t>
      </w:r>
    </w:p>
    <w:sdt>
      <w:sdtPr>
        <w:tag w:val="labnest-template-instructions"/>
      </w:sdtPr>
      <w:sdtContent>
        <w:p>
          <w:pPr>
            <w:spacing w:before="0" w:after="60" w:line="240" w:lineRule="auto"/>
          </w:pPr>
          <w:r>
            <w:rPr>
              <w:rFonts w:ascii="Times New Roman" w:hAnsi="Times New Roman" w:eastAsia="SimSun"/>
            </w:rPr>
            <w:t/>
          </w:r>
        </w:p>
      </w:sdtContent>
    </w:sdt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result_type</w:t>
      </w:r>
    </w:p>
    <w:tbl>
      <w:tblPr>
        <w:tblCaption w:val="result_type"/>
        <w:tblDescription w:val="labnest-result-template:{&quot;result_type&quot;:&quot;result_type&quot;,&quot;templateKey&quot;:&quot;result_type&quot;,&quot;schemaVersion&quot;:1,&quot;title&quot;:&quot;result_type&quot;,&quot;instructions&quot;:[{&quot;type&quot;:&quot;paragraph&quot;,&quot;content&quot;:[{&quot;text&quot;:&quot;&quot;}]}],&quot;resultKind&quot;:&quot;observation&quot;,&quot;cardinality&quot;:&quot;per_run&quot;,&quot;fields&quot;:[],&quot;datasets&quot;:[],&quot;artifacts&quot;:[],&quot;view&quot;:{&quot;preset&quot;:&quot;generic&quot;,&quot;charts&quot;:[]}}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>
        <w:trPr>
          <w:cantSplit/>
          <w:tblHeader/>
        </w:trPr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Field key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Label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Type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Required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Role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Options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Min</w:t>
            </w:r>
          </w:p>
        </w:tc>
        <w:tc>
          <w:tcPr>
            <w:tcW w:w="1064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Max</w:t>
            </w:r>
          </w:p>
        </w:tc>
      </w:tr>
      <w:tr>
        <w:trPr>
          <w:cantSplit/>
        </w:trPr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text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No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>annotation</w:t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064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p>
      <w:pPr>
        <w:pStyle w:val="SectionHeading"/>
        <w:spacing w:before="16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p>
      <w:pPr>
        <w:pStyle w:val="Heading2"/>
        <w:spacing w:before="120" w:after="60" w:line="240" w:lineRule="auto"/>
        <w:keepNext/>
      </w:pPr>
      <w:r>
        <w:rPr>
          <w:rFonts w:ascii="Times New Roman" w:hAnsi="Times New Roman" w:eastAsia="Microsoft YaHei"/>
          <w:b/>
        </w:rPr>
        <w:t>Consumption rules</w:t>
      </w:r>
    </w:p>
    <w:tbl>
      <w:tblPr>
        <w:tblCaption w:val="Consumption rules"/>
        <w:tblW w:w="9576" w:type="dxa"/>
        <w:tblInd w:w="120" w:type="dxa"/>
        <w:tblBorders>
          <w:top w:val="single" w:sz="12" w:color="666666" w:space="0"/>
          <w:left w:val="none" w:sz="0" w:color="auto" w:space="0"/>
          <w:bottom w:val="single" w:sz="12" w:color="666666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5076"/>
        <w:gridCol w:w="1500"/>
      </w:tblGrid>
      <w:tr>
        <w:trPr>
          <w:cantSplit/>
          <w:tblHeader/>
        </w:trPr>
        <w:tc>
          <w:tcPr>
            <w:tcW w:w="30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Material</w:t>
            </w:r>
          </w:p>
        </w:tc>
        <w:tc>
          <w:tcPr>
            <w:tcW w:w="5076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Formula</w:t>
            </w:r>
          </w:p>
        </w:tc>
        <w:tc>
          <w:tcPr>
            <w:tcW w:w="1500" w:type="dxa"/>
            <w:tcBorders>
              <w:bottom w:val="single" w:sz="6" w:color="666666" w:space="0"/>
            </w:tcBorders>
            <w:shd w:val="clear" w:color="auto" w:fill="D9D9D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</w:rPr>
              <w:t>Unit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5076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  <w:tc>
          <w:tcPr>
            <w:tcW w:w="1500" w:type="dxa"/>
            <w:shd w:val="clear" w:color="auto" w:fill="FFFFFF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SimSun"/>
              </w:rPr>
              <w:t/>
            </w:r>
          </w:p>
        </w:tc>
      </w:tr>
    </w:tbl>
    <w:sectPr>
      <w:headerReference w:type="default" r:id="rId2"/>
      <w:footerReference w:type="default" r:id="rId3"/>
      <w:pgSz w:w="11906" w:h="16838"/>
      <w:pgMar w:top="1020" w:right="1077" w:bottom="964" w:left="1077" w:header="454" w:footer="454" w:gutter="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4" w:color="BFBFBF" w:space="1"/>
      </w:pBdr>
      <w:spacing w:before="0"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 xml:space="preserve">Research Use Only | 受控副本以 LabNest 中的最新版本为准 | Page </w:t>
    </w:r>
    <w:fldSimple w:instr=" PAGE ">
      <w:r>
        <w:rPr>
          <w:rFonts w:ascii="Times New Roman" w:hAnsi="Times New Roman" w:eastAsia="SimSun"/>
          <w:color w:val="666666"/>
          <w:sz w:val="16"/>
          <w:szCs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576"/>
      </w:tabs>
      <w:pBdr>
        <w:bottom w:val="single" w:sz="4" w:color="BFBFBF" w:space="1"/>
      </w:pBdr>
      <w:spacing w:after="0" w:line="240" w:lineRule="auto"/>
    </w:pPr>
    <w:r>
      <w:rPr>
        <w:rFonts w:ascii="Times New Roman" w:hAnsi="Times New Roman" w:eastAsia="SimSun"/>
        <w:color w:val="666666"/>
        <w:sz w:val="16"/>
        <w:szCs w:val="16"/>
      </w:rPr>
      <w:t>PRT-900901 | GFP 质粒瞬时转染（合成示例）</w:t>
    </w:r>
    <w:r>
      <w:tab/>
    </w:r>
    <w:r>
      <w:rPr>
        <w:rFonts w:ascii="Times New Roman" w:hAnsi="Times New Roman" w:eastAsia="SimSun"/>
        <w:color w:val="666666"/>
        <w:sz w:val="16"/>
        <w:szCs w:val="16"/>
      </w:rPr>
      <w:t>Draft | v0.1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0"/>
        <w:szCs w:val="20"/>
        <w:lang w:val="en-US" w:eastAsia="zh-CN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rPr>
      <w:rFonts w:ascii="Times New Roman" w:hAnsi="Times New Roman" w:eastAsia="SimSun"/>
      <w:sz w:val="20"/>
      <w:szCs w:val="20"/>
    </w:rPr>
  </w:style>
  <w:style w:type="paragraph" w:styleId="ProtocolCode">
    <w:name w:val="Protocol Code"/>
    <w:basedOn w:val="Normal"/>
    <w:pPr>
      <w:jc w:val="center"/>
    </w:pPr>
    <w:rPr>
      <w:rFonts w:ascii="Times New Roman" w:hAnsi="Times New Roman" w:eastAsia="SimSun"/>
      <w:b/>
      <w:sz w:val="20"/>
      <w:szCs w:val="20"/>
      <w:color w:val="222222"/>
    </w:rPr>
  </w:style>
  <w:style w:type="paragraph" w:styleId="Title">
    <w:name w:val="Title"/>
    <w:basedOn w:val="Normal"/>
    <w:pPr>
      <w:jc w:val="center"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Subtitle">
    <w:name w:val="Subtitle"/>
    <w:basedOn w:val="Normal"/>
    <w:pPr>
      <w:jc w:val="center"/>
    </w:pPr>
    <w:rPr>
      <w:rFonts w:ascii="Times New Roman" w:hAnsi="Times New Roman" w:eastAsia="SimSun"/>
      <w:i/>
      <w:sz w:val="20"/>
      <w:szCs w:val="20"/>
      <w:color w:val="666666"/>
    </w:rPr>
  </w:style>
  <w:style w:type="paragraph" w:styleId="SectionHeading">
    <w:name w:val="Section Heading"/>
    <w:basedOn w:val="Normal"/>
    <w:pPr>
      <w:keepNext/>
    </w:pPr>
    <w:rPr>
      <w:rFonts w:ascii="Times New Roman" w:hAnsi="Times New Roman" w:eastAsia="Microsoft YaHei"/>
      <w:b/>
      <w:sz w:val="24"/>
      <w:szCs w:val="24"/>
      <w:color w:val="222222"/>
    </w:rPr>
  </w:style>
  <w:style w:type="paragraph" w:styleId="Heading2">
    <w:name w:val="Heading 2"/>
    <w:basedOn w:val="Normal"/>
    <w:pPr>
      <w:keepNext/>
    </w:pPr>
    <w:rPr>
      <w:rFonts w:ascii="Times New Roman" w:hAnsi="Times New Roman" w:eastAsia="Microsoft YaHei"/>
      <w:b/>
      <w:sz w:val="20"/>
      <w:szCs w:val="20"/>
      <w:color w:val="222222"/>
    </w:rPr>
  </w:style>
  <w:style w:type="paragraph" w:styleId="Heading3">
    <w:name w:val="Heading 3"/>
    <w:basedOn w:val="Normal"/>
    <w:pPr>
      <w:keepNext/>
    </w:pPr>
    <w:rPr>
      <w:rFonts w:ascii="Times New Roman" w:hAnsi="Times New Roman" w:eastAsia="Microsoft YaHei"/>
      <w:b/>
      <w:sz w:val="20"/>
      <w:szCs w:val="20"/>
      <w:color w:val="666666"/>
    </w:rPr>
  </w:style>
  <w:style w:type="paragraph" w:styleId="Quote">
    <w:name w:val="Quote"/>
    <w:basedOn w:val="Normal"/>
    <w:pPr>
      <w:ind w:left="360"/>
    </w:pPr>
    <w:rPr>
      <w:i/>
      <w:color w:val="666666"/>
    </w:rPr>
  </w:style>
  <w:style w:type="paragraph" w:styleId="ListBullet">
    <w:name w:val="List Bullet"/>
    <w:basedOn w:val="Normal"/>
    <w:pPr>
      <w:ind w:left="360" w:hanging="240"/>
    </w:pPr>
  </w:style>
  <w:style w:type="paragraph" w:styleId="Checklist">
    <w:name w:val="Checklist"/>
    <w:basedOn w:val="Normal"/>
    <w:pPr>
      <w:ind w:left="360" w:hanging="2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