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AA7" w:rsidRDefault="000E00AE">
      <w:r>
        <w:rPr>
          <w:noProof/>
        </w:rPr>
        <w:drawing>
          <wp:inline distT="0" distB="0" distL="0" distR="0">
            <wp:extent cx="5943600" cy="4239321"/>
            <wp:effectExtent l="0" t="0" r="0" b="8890"/>
            <wp:docPr id="1" name="Picture 1" descr="http://blog.yhat.com/static/img/lm_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yhat.com/static/img/lm_summa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AE" w:rsidRDefault="000E00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041"/>
        <w:gridCol w:w="6483"/>
      </w:tblGrid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#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Description</w:t>
            </w:r>
          </w:p>
        </w:tc>
      </w:tr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</w:pPr>
            <w:r w:rsidRPr="000E00AE"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Residuals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The residuals are the difference between the actual values of the variable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you're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predicting and predicted values from your regression--</w:t>
            </w:r>
            <w:r w:rsidRPr="000E00AE">
              <w:rPr>
                <w:rFonts w:ascii="Consolas" w:eastAsia="Times New Roman" w:hAnsi="Consolas" w:cs="Courier New"/>
                <w:color w:val="EE5311"/>
                <w:sz w:val="21"/>
                <w:szCs w:val="21"/>
                <w:shd w:val="clear" w:color="auto" w:fill="F7F7F7"/>
              </w:rPr>
              <w:t>y - ŷ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. For most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regressions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you want your residuals to look like a normal distribution when plotted.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If our residuals are normally distributed, this indicates the mean of the difference between our predictions and the actual values is close to 0 (good) and that when we miss, we're missing both short and long of the actual</w:t>
            </w:r>
            <w:bookmarkStart w:id="0" w:name="_GoBack"/>
            <w:bookmarkEnd w:id="0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value, and the likelihood of a miss being far from the actual value gets smaller as the distance from the actual value gets larger.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Think of it like a dartboard. A good model is going to hit the bullseye some of the time (but not </w:t>
            </w:r>
            <w:proofErr w:type="spell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everytime</w:t>
            </w:r>
            <w:proofErr w:type="spell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). When it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doesn't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hit the bullseye, it's missing in all of the other buckets evenly (i.e. not just missing in the 16 bin) and it also 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lastRenderedPageBreak/>
              <w:t>misses closer to the bullseye as opposed to on the outer edges of the dartboard.</w:t>
            </w:r>
          </w:p>
        </w:tc>
      </w:tr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</w:pPr>
            <w:r w:rsidRPr="000E00AE"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  <w:lastRenderedPageBreak/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Significance Stars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The stars are shorthand for significance levels, with the number of asterisks displayed according to the p-value computed. </w:t>
            </w:r>
            <w:r w:rsidRPr="000E00AE">
              <w:rPr>
                <w:rFonts w:ascii="Consolas" w:eastAsia="Times New Roman" w:hAnsi="Consolas" w:cs="Courier New"/>
                <w:color w:val="EE5311"/>
                <w:sz w:val="21"/>
                <w:szCs w:val="21"/>
                <w:shd w:val="clear" w:color="auto" w:fill="F7F7F7"/>
              </w:rPr>
              <w:t>***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 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for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high significance and </w:t>
            </w:r>
            <w:r w:rsidRPr="000E00AE">
              <w:rPr>
                <w:rFonts w:ascii="Consolas" w:eastAsia="Times New Roman" w:hAnsi="Consolas" w:cs="Courier New"/>
                <w:color w:val="EE5311"/>
                <w:sz w:val="21"/>
                <w:szCs w:val="21"/>
                <w:shd w:val="clear" w:color="auto" w:fill="F7F7F7"/>
              </w:rPr>
              <w:t>*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 for low significance. In this case, </w:t>
            </w:r>
            <w:r w:rsidRPr="000E00AE">
              <w:rPr>
                <w:rFonts w:ascii="Consolas" w:eastAsia="Times New Roman" w:hAnsi="Consolas" w:cs="Courier New"/>
                <w:color w:val="EE5311"/>
                <w:sz w:val="21"/>
                <w:szCs w:val="21"/>
                <w:shd w:val="clear" w:color="auto" w:fill="F7F7F7"/>
              </w:rPr>
              <w:t>***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 indicates that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it's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unlikely that no relationship exists b/w heights of parents and heights of their children.</w:t>
            </w:r>
          </w:p>
        </w:tc>
      </w:tr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</w:pPr>
            <w:r w:rsidRPr="000E00AE"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 xml:space="preserve">Estimated </w:t>
            </w:r>
            <w:proofErr w:type="spellStart"/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Coeffecient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The estimated coefficient is the value of slope calculated by the regression. It might seem a little confusing that the Intercept also has a value, but just think of it as a slope that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is always multiplied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by 1. This number will obviously vary based on the magnitude of the variable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you're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inputting into the regression, but it's always good to spot check this number to make sure it seems reasonable.</w:t>
            </w:r>
          </w:p>
        </w:tc>
      </w:tr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</w:pPr>
            <w:r w:rsidRPr="000E00AE"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Standard Error of the Coefficient Estimate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Measure of the variability in the estimate for the coefficient. Lower means better but this number is relative to the value of the coefficient. As a rule of thumb,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you'd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like this value to be at least an order of magnitude less than the coefficient estimate.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  <w:t xml:space="preserve">In our example, the </w:t>
            </w:r>
            <w:proofErr w:type="spell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std</w:t>
            </w:r>
            <w:proofErr w:type="spell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error or the parent variable is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0.04 which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is 16x less than the estimate of the coefficient (or 1.6 orders of magnitude greater).</w:t>
            </w:r>
          </w:p>
        </w:tc>
      </w:tr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</w:pPr>
            <w:r w:rsidRPr="000E00AE"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t-value of the Coefficient Estimate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Score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that measures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whether or not the coefficient for this variable is meaningful for the model. You probably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won't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use this value itself, but know that it is used to calculate the p-value and the significance levels.</w:t>
            </w:r>
          </w:p>
        </w:tc>
      </w:tr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</w:pPr>
            <w:r w:rsidRPr="000E00AE"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  <w:t>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Variable p-value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Probability the variable is </w:t>
            </w:r>
            <w:r w:rsidRPr="000E00AE">
              <w:rPr>
                <w:rFonts w:ascii="Helvetica" w:eastAsia="Times New Roman" w:hAnsi="Helvetica" w:cs="Helvetica"/>
                <w:i/>
                <w:iCs/>
                <w:color w:val="313131"/>
                <w:sz w:val="23"/>
                <w:szCs w:val="23"/>
              </w:rPr>
              <w:t>NOT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 relevant. You want this number to be as small as possible. If the number is </w:t>
            </w:r>
            <w:proofErr w:type="gramStart"/>
            <w:r w:rsidRPr="000E00AE">
              <w:rPr>
                <w:rFonts w:ascii="Helvetica" w:eastAsia="Times New Roman" w:hAnsi="Helvetica" w:cs="Helvetica"/>
                <w:i/>
                <w:iCs/>
                <w:color w:val="313131"/>
                <w:sz w:val="23"/>
                <w:szCs w:val="23"/>
              </w:rPr>
              <w:t>really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 small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, </w:t>
            </w:r>
            <w:r w:rsidRPr="000E00AE">
              <w:rPr>
                <w:rFonts w:ascii="Consolas" w:eastAsia="Times New Roman" w:hAnsi="Consolas" w:cs="Courier New"/>
                <w:color w:val="EE5311"/>
                <w:sz w:val="21"/>
                <w:szCs w:val="21"/>
                <w:shd w:val="clear" w:color="auto" w:fill="F7F7F7"/>
              </w:rPr>
              <w:t>R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 will display it in scientific notation. In or example 2e-16 means that the odds that parent is meaningless is about </w:t>
            </w:r>
            <w:r w:rsidRPr="000E00AE">
              <w:rPr>
                <w:rFonts w:ascii="Helvetica" w:eastAsia="Times New Roman" w:hAnsi="Helvetica" w:cs="Helvetica"/>
                <w:color w:val="313131"/>
                <w:sz w:val="17"/>
                <w:szCs w:val="17"/>
                <w:vertAlign w:val="superscript"/>
              </w:rPr>
              <w:t>1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⁄</w:t>
            </w:r>
            <w:r w:rsidRPr="000E00AE">
              <w:rPr>
                <w:rFonts w:ascii="Helvetica" w:eastAsia="Times New Roman" w:hAnsi="Helvetica" w:cs="Helvetica"/>
                <w:color w:val="313131"/>
                <w:sz w:val="17"/>
                <w:szCs w:val="17"/>
                <w:vertAlign w:val="subscript"/>
              </w:rPr>
              <w:t>5000000000000000</w:t>
            </w:r>
          </w:p>
        </w:tc>
      </w:tr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</w:pPr>
            <w:r w:rsidRPr="000E00AE"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  <w:lastRenderedPageBreak/>
              <w:t>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Significance Legend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The more punctuation there is next to your variables, the better.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  <w:t>Blank=bad, Dots=pretty good, Stars=good, More Stars=very good</w:t>
            </w:r>
          </w:p>
        </w:tc>
      </w:tr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</w:pPr>
            <w:r w:rsidRPr="000E00AE"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  <w:t>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 xml:space="preserve">Residual </w:t>
            </w:r>
            <w:proofErr w:type="spellStart"/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Std</w:t>
            </w:r>
            <w:proofErr w:type="spellEnd"/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 xml:space="preserve"> Error / Degrees of Freedom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The Residual </w:t>
            </w:r>
            <w:proofErr w:type="spell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Std</w:t>
            </w:r>
            <w:proofErr w:type="spell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Error is just the standard deviation of your residuals.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You'd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like this number to be proportional to the quantiles of the residuals in #1. For a normal distribution, the 1st and 3rd quantiles should be 1.5 +/- the </w:t>
            </w:r>
            <w:proofErr w:type="spell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std</w:t>
            </w:r>
            <w:proofErr w:type="spell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error. 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  <w:t>The Degrees of Freedom is the difference between the number of observations included in your training sample and the number of variables used in your model (intercept counts as a variable).</w:t>
            </w:r>
          </w:p>
        </w:tc>
      </w:tr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</w:pPr>
            <w:r w:rsidRPr="000E00AE"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  <w:t>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R-squared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Metric for evaluating the goodness of fit of your model. Higher is better with 1 being the best. Corresponds with the amount of variability in what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you're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predicting that is explained by the model. In this instance, ~21% of the cause for a child's height is due to the height their parent. 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</w:r>
            <w:r w:rsidRPr="000E00AE">
              <w:rPr>
                <w:rFonts w:ascii="Helvetica" w:eastAsia="Times New Roman" w:hAnsi="Helvetica" w:cs="Helvetica"/>
                <w:color w:val="FF0000"/>
                <w:sz w:val="23"/>
                <w:szCs w:val="23"/>
              </w:rPr>
              <w:t>WARNING: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 While a high R-squared indicates good correlation, </w:t>
            </w:r>
            <w:hyperlink r:id="rId5" w:tgtFrame="_blank" w:tooltip="correlation does not imply causation on wikipedia" w:history="1">
              <w:r w:rsidRPr="000E00AE">
                <w:rPr>
                  <w:rFonts w:ascii="Helvetica" w:eastAsia="Times New Roman" w:hAnsi="Helvetica" w:cs="Helvetica"/>
                  <w:color w:val="11ACEE"/>
                  <w:sz w:val="23"/>
                  <w:szCs w:val="23"/>
                  <w:u w:val="single"/>
                </w:rPr>
                <w:t>correlation does </w:t>
              </w:r>
              <w:r w:rsidRPr="000E00AE">
                <w:rPr>
                  <w:rFonts w:ascii="Helvetica" w:eastAsia="Times New Roman" w:hAnsi="Helvetica" w:cs="Helvetica"/>
                  <w:i/>
                  <w:iCs/>
                  <w:color w:val="11ACEE"/>
                  <w:sz w:val="23"/>
                  <w:szCs w:val="23"/>
                </w:rPr>
                <w:t>not</w:t>
              </w:r>
              <w:r w:rsidRPr="000E00AE">
                <w:rPr>
                  <w:rFonts w:ascii="Helvetica" w:eastAsia="Times New Roman" w:hAnsi="Helvetica" w:cs="Helvetica"/>
                  <w:color w:val="11ACEE"/>
                  <w:sz w:val="23"/>
                  <w:szCs w:val="23"/>
                  <w:u w:val="single"/>
                </w:rPr>
                <w:t> always imply causation</w:t>
              </w:r>
            </w:hyperlink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.</w:t>
            </w:r>
          </w:p>
        </w:tc>
      </w:tr>
      <w:tr w:rsidR="000E00AE" w:rsidRPr="000E00AE" w:rsidTr="000E00AE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</w:pPr>
            <w:r w:rsidRPr="000E00AE">
              <w:rPr>
                <w:rFonts w:ascii="Georgia" w:eastAsia="Times New Roman" w:hAnsi="Georgia" w:cs="Helvetica"/>
                <w:b/>
                <w:bCs/>
                <w:color w:val="313131"/>
                <w:sz w:val="45"/>
                <w:szCs w:val="45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b/>
                <w:bCs/>
                <w:color w:val="313131"/>
                <w:sz w:val="23"/>
                <w:szCs w:val="23"/>
              </w:rPr>
              <w:t>F-statistic &amp; resulting p-value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E00AE" w:rsidRPr="000E00AE" w:rsidRDefault="000E00AE" w:rsidP="000E00AE">
            <w:pPr>
              <w:spacing w:before="300" w:after="300" w:line="240" w:lineRule="auto"/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</w:pP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Performs an </w:t>
            </w:r>
            <w:hyperlink r:id="rId6" w:history="1">
              <w:r w:rsidRPr="000E00AE">
                <w:rPr>
                  <w:rFonts w:ascii="Helvetica" w:eastAsia="Times New Roman" w:hAnsi="Helvetica" w:cs="Helvetica"/>
                  <w:color w:val="11ACEE"/>
                  <w:sz w:val="23"/>
                  <w:szCs w:val="23"/>
                  <w:u w:val="single"/>
                </w:rPr>
                <w:t>F-test</w:t>
              </w:r>
            </w:hyperlink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 on the model. This takes the parameters of our model (in our case we only have 1) and compares it to a model that has fewer parameters. In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theory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the model with more parameters should fit better. If the model with more parameters (your model) </w:t>
            </w:r>
            <w:proofErr w:type="gramStart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doesn't</w:t>
            </w:r>
            <w:proofErr w:type="gramEnd"/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 xml:space="preserve"> perform better than the model with fewer parameters, the F-test will have a high p-value (probability </w:t>
            </w:r>
            <w:r w:rsidRPr="000E00AE">
              <w:rPr>
                <w:rFonts w:ascii="Helvetica" w:eastAsia="Times New Roman" w:hAnsi="Helvetica" w:cs="Helvetica"/>
                <w:i/>
                <w:iCs/>
                <w:color w:val="313131"/>
                <w:sz w:val="23"/>
                <w:szCs w:val="23"/>
              </w:rPr>
              <w:t>NOT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t> significant boost). If the model with more parameters is better than the model with fewer parameters, you will have a lower p-value.</w:t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</w:r>
            <w:r w:rsidRPr="000E00AE">
              <w:rPr>
                <w:rFonts w:ascii="Helvetica" w:eastAsia="Times New Roman" w:hAnsi="Helvetica" w:cs="Helvetica"/>
                <w:color w:val="313131"/>
                <w:sz w:val="23"/>
                <w:szCs w:val="23"/>
              </w:rPr>
              <w:br/>
              <w:t>The DF, or degrees of freedom, pertains to how many variables are in the model. In our case there is one variable so there is one degree of freedom.</w:t>
            </w:r>
          </w:p>
        </w:tc>
      </w:tr>
    </w:tbl>
    <w:p w:rsidR="000E00AE" w:rsidRDefault="000E00AE"/>
    <w:sectPr w:rsidR="000E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AE"/>
    <w:rsid w:val="000E00AE"/>
    <w:rsid w:val="0016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17D1"/>
  <w15:chartTrackingRefBased/>
  <w15:docId w15:val="{9C90D42E-6F70-4289-95CD-6CA37364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00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00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00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F-test" TargetMode="External"/><Relationship Id="rId5" Type="http://schemas.openxmlformats.org/officeDocument/2006/relationships/hyperlink" Target="http://en.wikipedia.org/wiki/Correlation_does_not_imply_caus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Crawford</dc:creator>
  <cp:keywords/>
  <dc:description/>
  <cp:lastModifiedBy>Ann Crawford</cp:lastModifiedBy>
  <cp:revision>1</cp:revision>
  <dcterms:created xsi:type="dcterms:W3CDTF">2017-09-26T23:57:00Z</dcterms:created>
  <dcterms:modified xsi:type="dcterms:W3CDTF">2017-09-26T23:58:00Z</dcterms:modified>
</cp:coreProperties>
</file>