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77E5" w14:textId="77777777" w:rsidR="00DC4D25" w:rsidRPr="00DC4D25" w:rsidRDefault="0045532A" w:rsidP="0045532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DC4D25">
        <w:rPr>
          <w:rFonts w:asciiTheme="minorHAnsi" w:hAnsiTheme="minorHAnsi" w:cstheme="minorHAnsi"/>
          <w:color w:val="222222"/>
          <w:sz w:val="22"/>
          <w:szCs w:val="22"/>
        </w:rPr>
        <w:t xml:space="preserve">G.R. No. 190640 January 12, 2011 </w:t>
      </w:r>
    </w:p>
    <w:p w14:paraId="4CA9ACA0" w14:textId="46C96E74" w:rsidR="0045532A" w:rsidRPr="00DC4D25" w:rsidRDefault="00DC4D25" w:rsidP="0045532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DC4D25">
        <w:rPr>
          <w:rFonts w:asciiTheme="minorHAnsi" w:hAnsiTheme="minorHAnsi" w:cstheme="minorHAnsi"/>
          <w:color w:val="222222"/>
          <w:sz w:val="22"/>
          <w:szCs w:val="22"/>
        </w:rPr>
        <w:t>PEOPLE OF THE PHILIPPINES, APPELLEE, VS. LUIS PAJARIN Y DELA CRUZ AND EFREN PALLAYA Y TUVIERA, APPELLANTS.</w:t>
      </w:r>
    </w:p>
    <w:p w14:paraId="2E6BC37C" w14:textId="77777777" w:rsidR="0045532A" w:rsidRPr="00DC4D25" w:rsidRDefault="0045532A" w:rsidP="00DC4D25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DC4D25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FACTS: </w:t>
      </w:r>
    </w:p>
    <w:p w14:paraId="217A9683" w14:textId="216157A3" w:rsidR="0045532A" w:rsidRPr="00DC4D25" w:rsidRDefault="0045532A" w:rsidP="00DC4D25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DC4D25">
        <w:rPr>
          <w:rFonts w:asciiTheme="minorHAnsi" w:hAnsiTheme="minorHAnsi" w:cstheme="minorHAnsi"/>
          <w:color w:val="222222"/>
          <w:sz w:val="22"/>
          <w:szCs w:val="22"/>
        </w:rPr>
        <w:t xml:space="preserve">Luis </w:t>
      </w:r>
      <w:proofErr w:type="spellStart"/>
      <w:r w:rsidRPr="00DC4D25">
        <w:rPr>
          <w:rFonts w:asciiTheme="minorHAnsi" w:hAnsiTheme="minorHAnsi" w:cstheme="minorHAnsi"/>
          <w:color w:val="222222"/>
          <w:sz w:val="22"/>
          <w:szCs w:val="22"/>
        </w:rPr>
        <w:t>Pajarin</w:t>
      </w:r>
      <w:proofErr w:type="spellEnd"/>
      <w:r w:rsidRPr="00DC4D25">
        <w:rPr>
          <w:rFonts w:asciiTheme="minorHAnsi" w:hAnsiTheme="minorHAnsi" w:cstheme="minorHAnsi"/>
          <w:color w:val="222222"/>
          <w:sz w:val="22"/>
          <w:szCs w:val="22"/>
        </w:rPr>
        <w:t xml:space="preserve"> and Efren </w:t>
      </w:r>
      <w:proofErr w:type="spellStart"/>
      <w:r w:rsidRPr="00DC4D25">
        <w:rPr>
          <w:rFonts w:asciiTheme="minorHAnsi" w:hAnsiTheme="minorHAnsi" w:cstheme="minorHAnsi"/>
          <w:color w:val="222222"/>
          <w:sz w:val="22"/>
          <w:szCs w:val="22"/>
        </w:rPr>
        <w:t>Pallaya</w:t>
      </w:r>
      <w:proofErr w:type="spellEnd"/>
      <w:r w:rsidRPr="00DC4D25">
        <w:rPr>
          <w:rFonts w:asciiTheme="minorHAnsi" w:hAnsiTheme="minorHAnsi" w:cstheme="minorHAnsi"/>
          <w:color w:val="222222"/>
          <w:sz w:val="22"/>
          <w:szCs w:val="22"/>
        </w:rPr>
        <w:t>. were caught in a buy bust operation by the police, selling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 xml:space="preserve">shabu. Both the 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>accused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 xml:space="preserve"> denied the allegation against them. RTC found both accused guilty of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>the crime charged and imposed on them the penalty of life imprisonment and a fine of P500,000.00.CA affirmed the RTC decision.</w:t>
      </w:r>
    </w:p>
    <w:p w14:paraId="76C71F72" w14:textId="77777777" w:rsidR="0045532A" w:rsidRPr="00DC4D25" w:rsidRDefault="0045532A" w:rsidP="00DC4D25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</w:p>
    <w:p w14:paraId="392F5BDC" w14:textId="3ECDC338" w:rsidR="0045532A" w:rsidRPr="00DC4D25" w:rsidRDefault="0045532A" w:rsidP="00DC4D25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DC4D25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ISSUES: </w:t>
      </w:r>
    </w:p>
    <w:p w14:paraId="06B72719" w14:textId="60A0F65D" w:rsidR="0045532A" w:rsidRPr="00DC4D25" w:rsidRDefault="0045532A" w:rsidP="00DC4D25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DC4D25">
        <w:rPr>
          <w:rFonts w:asciiTheme="minorHAnsi" w:hAnsiTheme="minorHAnsi" w:cstheme="minorHAnsi"/>
          <w:color w:val="222222"/>
          <w:sz w:val="22"/>
          <w:szCs w:val="22"/>
        </w:rPr>
        <w:t>1. Whether or not the CA erred in not excluding the evidence of the seized shabu on the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>ground that the prosecution failed to prove their integrity by establishing the chain of custody of the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>same until they got to the trial court; and</w:t>
      </w:r>
    </w:p>
    <w:p w14:paraId="7385360C" w14:textId="2A1B0E74" w:rsidR="0045532A" w:rsidRPr="00DC4D25" w:rsidRDefault="0045532A" w:rsidP="00DC4D25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DC4D25">
        <w:rPr>
          <w:rFonts w:asciiTheme="minorHAnsi" w:hAnsiTheme="minorHAnsi" w:cstheme="minorHAnsi"/>
          <w:color w:val="222222"/>
          <w:sz w:val="22"/>
          <w:szCs w:val="22"/>
        </w:rPr>
        <w:t>2. Whether or not for this reason the CA erred in affirming their conviction.</w:t>
      </w:r>
    </w:p>
    <w:p w14:paraId="1CA69C7A" w14:textId="77777777" w:rsidR="0045532A" w:rsidRPr="00DC4D25" w:rsidRDefault="0045532A" w:rsidP="00DC4D25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</w:p>
    <w:p w14:paraId="744C1594" w14:textId="77373985" w:rsidR="0045532A" w:rsidRPr="00DC4D25" w:rsidRDefault="0045532A" w:rsidP="00DC4D25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DC4D25">
        <w:rPr>
          <w:rFonts w:asciiTheme="minorHAnsi" w:hAnsiTheme="minorHAnsi" w:cstheme="minorHAnsi"/>
          <w:b/>
          <w:bCs/>
          <w:color w:val="222222"/>
          <w:sz w:val="22"/>
          <w:szCs w:val="22"/>
        </w:rPr>
        <w:t>RULING:</w:t>
      </w:r>
    </w:p>
    <w:p w14:paraId="76ECF3A8" w14:textId="4E623F16" w:rsidR="0045532A" w:rsidRPr="00DC4D25" w:rsidRDefault="0045532A" w:rsidP="00DC4D25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DC4D25">
        <w:rPr>
          <w:rFonts w:asciiTheme="minorHAnsi" w:hAnsiTheme="minorHAnsi" w:cstheme="minorHAnsi"/>
          <w:color w:val="222222"/>
          <w:sz w:val="22"/>
          <w:szCs w:val="22"/>
        </w:rPr>
        <w:t>The Court has held in numerous cases that the failure of the police to comply with the procedure laid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>down in R.A. 9165 would not render void the seizure of the prohibited substance for as long as the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>apprehending officers give justifiable reason for their imperfect conduct1 and show that the integrity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>and evidentiary value of the confiscated items had not been compromised. The marking of captured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>items immediately after they are seized from the accused is the starting point in the custodial link.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>This step is vital because succeeding handlers of the specimens will use the markings as reference.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>Failure to place such markings paves the way for swapping, planting, and contamination of theevidence.4 These lapses seriously cast doubt on the authenticity of the corpus delicti, warranting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>acquittal on reasonable doubt.5Trial courts should order the case dismissed and the accused released from detention if on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 xml:space="preserve"> e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>xamination the supporting documents are wanting in this respect. They should not waste their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>precious time to useless exercise where the police and the prosecution fail to observe the rule of law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DC4D25">
        <w:rPr>
          <w:rFonts w:asciiTheme="minorHAnsi" w:hAnsiTheme="minorHAnsi" w:cstheme="minorHAnsi"/>
          <w:color w:val="222222"/>
          <w:sz w:val="22"/>
          <w:szCs w:val="22"/>
        </w:rPr>
        <w:t>especially in so serious offenses.</w:t>
      </w:r>
    </w:p>
    <w:p w14:paraId="2519FE5C" w14:textId="77777777" w:rsidR="00A87CA1" w:rsidRPr="00DC4D25" w:rsidRDefault="00A87CA1" w:rsidP="00DC4D25">
      <w:pPr>
        <w:jc w:val="both"/>
        <w:rPr>
          <w:rFonts w:cstheme="minorHAnsi"/>
          <w:sz w:val="24"/>
          <w:szCs w:val="24"/>
        </w:rPr>
      </w:pPr>
    </w:p>
    <w:sectPr w:rsidR="00A87CA1" w:rsidRPr="00DC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2A"/>
    <w:rsid w:val="0045532A"/>
    <w:rsid w:val="005C64FC"/>
    <w:rsid w:val="00A87CA1"/>
    <w:rsid w:val="00DC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FB36"/>
  <w15:chartTrackingRefBased/>
  <w15:docId w15:val="{F9FDA296-9EA9-4E7B-BE42-AED3D219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Airis Dale F. Lobrio</dc:creator>
  <cp:keywords/>
  <dc:description/>
  <cp:lastModifiedBy>Airis Dale F. Lobrio</cp:lastModifiedBy>
  <cp:revision>2</cp:revision>
  <dcterms:created xsi:type="dcterms:W3CDTF">2021-11-10T05:29:00Z</dcterms:created>
  <dcterms:modified xsi:type="dcterms:W3CDTF">2021-11-10T05:37:00Z</dcterms:modified>
</cp:coreProperties>
</file>