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2F4A5F"/>
          <w:sz w:val="18"/>
          <w:szCs w:val="18"/>
        </w:rPr>
        <w:t xml:space="preserve">MALL — MIKROBÜROO</w:t>
      </w:r>
    </w:p>
    <w:p>
      <w:pPr>
        <w:spacing w:after="80"/>
      </w:pPr>
      <w:r>
        <w:rPr>
          <w:rFonts w:ascii="Arial" w:cs="Arial" w:eastAsia="Arial" w:hAnsi="Arial"/>
          <w:b/>
          <w:bCs/>
          <w:color w:val="1A1A1A"/>
          <w:sz w:val="34"/>
          <w:szCs w:val="34"/>
        </w:rPr>
        <w:t xml:space="preserve">Infoturbe kord</w:t>
      </w:r>
    </w:p>
    <w:p>
      <w:pPr>
        <w:spacing w:after="150" w:before="0" w:line="288"/>
      </w:pPr>
      <w:r>
        <w:rPr>
          <w:rFonts w:ascii="Arial" w:cs="Arial" w:eastAsia="Arial" w:hAnsi="Arial"/>
          <w:color w:val="55524E"/>
          <w:sz w:val="18"/>
          <w:szCs w:val="18"/>
        </w:rPr>
        <w:t xml:space="preserve">[BÜROO NIMI] · registrikood [kood] · kinnitatud [kuupäev] · versioon [1.0]</w:t>
      </w:r>
    </w:p>
    <w:p>
      <w:pPr>
        <w:spacing w:after="150" w:before="0" w:line="288"/>
      </w:pPr>
      <w:r>
        <w:rPr>
          <w:rFonts w:ascii="Arial" w:cs="Arial" w:eastAsia="Arial" w:hAnsi="Arial"/>
          <w:color w:val="55524E"/>
          <w:sz w:val="18"/>
          <w:szCs w:val="18"/>
        </w:rPr>
        <w:t xml:space="preserve">See on mall. </w:t>
      </w:r>
      <w:r>
        <w:rPr>
          <w:rFonts w:ascii="Arial" w:cs="Arial" w:eastAsia="Arial" w:hAnsi="Arial"/>
          <w:b/>
          <w:bCs/>
          <w:color w:val="55524E"/>
          <w:sz w:val="18"/>
          <w:szCs w:val="18"/>
        </w:rPr>
        <w:t xml:space="preserve">Enne kasutamist asenda kõik oranžid [nurksulud] oma büroo andmetega ja kustuta read, mis sinu büroo kohta ei käi.</w:t>
      </w:r>
      <w:r>
        <w:rPr>
          <w:rFonts w:ascii="Arial" w:cs="Arial" w:eastAsia="Arial" w:hAnsi="Arial"/>
          <w:color w:val="55524E"/>
          <w:sz w:val="18"/>
          <w:szCs w:val="18"/>
        </w:rPr>
        <w:t xml:space="preserve"> Mall on koostatud Eesti Advokatuuri juhatuse 18.04.2023 juhise alusel infoturbe kaitsemeetmete kohta — miinimummeetmed 1–20 töötajaga büroole, kellel IT-töötajat ei ole.</w:t>
      </w:r>
    </w:p>
    <w:p>
      <w:pPr>
        <w:spacing w:after="160" w:before="360" w:line="288"/>
      </w:pPr>
      <w:r>
        <w:rPr>
          <w:rFonts w:ascii="Arial" w:cs="Arial" w:eastAsia="Arial" w:hAnsi="Arial"/>
          <w:b/>
          <w:bCs/>
          <w:color w:val="1A1A1A"/>
          <w:sz w:val="28"/>
          <w:szCs w:val="28"/>
        </w:rPr>
        <w:t xml:space="preserve">1. Ulatus, vastutus ja ülevaatus</w:t>
      </w:r>
    </w:p>
    <w:p>
      <w:pPr>
        <w:spacing w:after="150" w:before="0" w:line="288"/>
      </w:pPr>
      <w:r>
        <w:rPr>
          <w:rFonts w:ascii="Arial" w:cs="Arial" w:eastAsia="Arial" w:hAnsi="Arial"/>
          <w:color w:val="1A1A1A"/>
          <w:sz w:val="20"/>
          <w:szCs w:val="20"/>
        </w:rPr>
        <w:t xml:space="preserve">1.1. See kord kehtib </w:t>
      </w:r>
      <w:r>
        <w:rPr>
          <w:rFonts w:ascii="Arial" w:cs="Arial" w:eastAsia="Arial" w:hAnsi="Arial"/>
          <w:b/>
          <w:bCs/>
          <w:color w:val="FA5F20"/>
          <w:sz w:val="20"/>
          <w:szCs w:val="20"/>
        </w:rPr>
        <w:t xml:space="preserve">[BÜROO NIMI]</w:t>
      </w:r>
      <w:r>
        <w:rPr>
          <w:rFonts w:ascii="Arial" w:cs="Arial" w:eastAsia="Arial" w:hAnsi="Arial"/>
          <w:color w:val="1A1A1A"/>
          <w:sz w:val="20"/>
          <w:szCs w:val="20"/>
        </w:rPr>
        <w:t xml:space="preserve"> (edaspidi büroo) kõigi varade, töötajate ja koostööpartnerite kohta, kes puutuvad kokku büroo andmetega.</w:t>
      </w:r>
    </w:p>
    <w:p>
      <w:pPr>
        <w:spacing w:after="150" w:before="0" w:line="288"/>
      </w:pPr>
      <w:r>
        <w:rPr>
          <w:rFonts w:ascii="Arial" w:cs="Arial" w:eastAsia="Arial" w:hAnsi="Arial"/>
          <w:color w:val="1A1A1A"/>
          <w:sz w:val="20"/>
          <w:szCs w:val="20"/>
        </w:rPr>
        <w:t xml:space="preserve">1.2. Infoturbe eest vastutab </w:t>
      </w:r>
      <w:r>
        <w:rPr>
          <w:rFonts w:ascii="Arial" w:cs="Arial" w:eastAsia="Arial" w:hAnsi="Arial"/>
          <w:b/>
          <w:bCs/>
          <w:color w:val="FA5F20"/>
          <w:sz w:val="20"/>
          <w:szCs w:val="20"/>
        </w:rPr>
        <w:t xml:space="preserve">[NIMI, roll]</w:t>
      </w:r>
      <w:r>
        <w:rPr>
          <w:rFonts w:ascii="Arial" w:cs="Arial" w:eastAsia="Arial" w:hAnsi="Arial"/>
          <w:color w:val="1A1A1A"/>
          <w:sz w:val="20"/>
          <w:szCs w:val="20"/>
        </w:rPr>
        <w:t xml:space="preserve">. Mikrobüroos on see tavaliselt büroo pidaja. Vastutus ei ole delegeeritav IT-partnerile — teenust saab osta, vastutust mitte.</w:t>
      </w:r>
    </w:p>
    <w:p>
      <w:pPr>
        <w:spacing w:after="150" w:before="0" w:line="288"/>
      </w:pPr>
      <w:r>
        <w:rPr>
          <w:rFonts w:ascii="Arial" w:cs="Arial" w:eastAsia="Arial" w:hAnsi="Arial"/>
          <w:color w:val="1A1A1A"/>
          <w:sz w:val="20"/>
          <w:szCs w:val="20"/>
        </w:rPr>
        <w:t xml:space="preserve">1.3. Kord ja registrid vaadatakse üle vähemalt kord aastas ning alati, kui muutub oluliselt büroo tehniline keskkond, töötajate arv või teenuseosutajad. Ülevaatuse fakt ja kuupäev kantakse registrite lehele „Kalender“.</w:t>
      </w:r>
    </w:p>
    <w:p>
      <w:pPr>
        <w:spacing w:after="150" w:before="0" w:line="288"/>
      </w:pPr>
      <w:r>
        <w:rPr>
          <w:rFonts w:ascii="Arial" w:cs="Arial" w:eastAsia="Arial" w:hAnsi="Arial"/>
          <w:color w:val="1A1A1A"/>
          <w:sz w:val="20"/>
          <w:szCs w:val="20"/>
        </w:rPr>
        <w:t xml:space="preserve">1.4. Meetmete täitmist kajastab eneseanalüüs registrite failis. Staatus on „jah“, „ei“ või „ei kohaldu“; kontrollimata meede jäetakse tühjaks ja põhjendusse kirjutatakse „kontrollimata“. Tühjast kontrollitulemusest ei tehta järeldust.</w:t>
      </w:r>
    </w:p>
    <w:p>
      <w:pPr>
        <w:spacing w:after="160" w:before="360" w:line="288"/>
      </w:pPr>
      <w:r>
        <w:rPr>
          <w:rFonts w:ascii="Arial" w:cs="Arial" w:eastAsia="Arial" w:hAnsi="Arial"/>
          <w:b/>
          <w:bCs/>
          <w:color w:val="1A1A1A"/>
          <w:sz w:val="28"/>
          <w:szCs w:val="28"/>
        </w:rPr>
        <w:t xml:space="preserve">2. Andmed: klassifikatsioon, säilitamine ja hävitamine</w:t>
      </w:r>
    </w:p>
    <w:p>
      <w:pPr>
        <w:spacing w:after="150" w:before="0" w:line="288"/>
      </w:pPr>
      <w:r>
        <w:rPr>
          <w:rFonts w:ascii="Arial" w:cs="Arial" w:eastAsia="Arial" w:hAnsi="Arial"/>
          <w:color w:val="1A1A1A"/>
          <w:sz w:val="20"/>
          <w:szCs w:val="20"/>
        </w:rPr>
        <w:t xml:space="preserve">2.1. Büroo andmed klassifitseeritakse neljaks: Avalik · Büroosisene · Konfidentsiaalne · Kutsesaladus.</w:t>
      </w:r>
    </w:p>
    <w:p>
      <w:pPr>
        <w:spacing w:after="150" w:before="0" w:line="288"/>
      </w:pPr>
      <w:r>
        <w:rPr>
          <w:rFonts w:ascii="Arial" w:cs="Arial" w:eastAsia="Arial" w:hAnsi="Arial"/>
          <w:color w:val="1A1A1A"/>
          <w:sz w:val="20"/>
          <w:szCs w:val="20"/>
        </w:rPr>
        <w:t xml:space="preserve">2.2. Kutsesaladus on omaette klass, mitte konfidentsiaalse alaliik. Selle režiim tuleneb advokatuuriseadusest ja on isikuandmete kaitsest laiem: ta katab ka teabe, mis ei ole isikuandmed.</w:t>
      </w:r>
    </w:p>
    <w:p>
      <w:pPr>
        <w:spacing w:after="150" w:before="0" w:line="288"/>
      </w:pPr>
      <w:r>
        <w:rPr>
          <w:rFonts w:ascii="Arial" w:cs="Arial" w:eastAsia="Arial" w:hAnsi="Arial"/>
          <w:color w:val="1A1A1A"/>
          <w:sz w:val="20"/>
          <w:szCs w:val="20"/>
        </w:rPr>
        <w:t xml:space="preserve">2.3. Iga andmeliigi kohta on registris kirjas, kus seda hoitakse, kuhu see liigub, kui kaua seda säilitatakse, mis on tähtaja alus ja kuidas see hävitatakse.</w:t>
      </w:r>
    </w:p>
    <w:p>
      <w:pPr>
        <w:spacing w:after="150" w:before="0" w:line="288"/>
      </w:pPr>
      <w:r>
        <w:rPr>
          <w:rFonts w:ascii="Arial" w:cs="Arial" w:eastAsia="Arial" w:hAnsi="Arial"/>
          <w:color w:val="1A1A1A"/>
          <w:sz w:val="20"/>
          <w:szCs w:val="20"/>
        </w:rPr>
        <w:t xml:space="preserve">2.4. Säilitustähtaja saabumisel andmed hävitatakse või kustutatakse. Hävitamine dokumenteeritakse.</w:t>
      </w:r>
    </w:p>
    <w:p>
      <w:pPr>
        <w:spacing w:after="150" w:before="0" w:line="288"/>
      </w:pPr>
      <w:r>
        <w:rPr>
          <w:rFonts w:ascii="Arial" w:cs="Arial" w:eastAsia="Arial" w:hAnsi="Arial"/>
          <w:color w:val="1A1A1A"/>
          <w:sz w:val="20"/>
          <w:szCs w:val="20"/>
        </w:rPr>
        <w:t xml:space="preserve">2.5. Klassifikatsioon ja andmevood vaadatakse üle kord aastas või olulisel muudatusel.</w:t>
      </w:r>
    </w:p>
    <w:p>
      <w:pPr>
        <w:spacing w:after="160" w:before="360" w:line="288"/>
      </w:pPr>
      <w:r>
        <w:rPr>
          <w:rFonts w:ascii="Arial" w:cs="Arial" w:eastAsia="Arial" w:hAnsi="Arial"/>
          <w:b/>
          <w:bCs/>
          <w:color w:val="1A1A1A"/>
          <w:sz w:val="28"/>
          <w:szCs w:val="28"/>
        </w:rPr>
        <w:t xml:space="preserve">3. Varad: seadmed ja tarkvara</w:t>
      </w:r>
    </w:p>
    <w:p>
      <w:pPr>
        <w:spacing w:after="150" w:before="0" w:line="288"/>
      </w:pPr>
      <w:r>
        <w:rPr>
          <w:rFonts w:ascii="Arial" w:cs="Arial" w:eastAsia="Arial" w:hAnsi="Arial"/>
          <w:color w:val="1A1A1A"/>
          <w:sz w:val="20"/>
          <w:szCs w:val="20"/>
        </w:rPr>
        <w:t xml:space="preserve">3.1. Kõik büroo seadmed ja tarkvara on registris. Register sisaldab seadme või tarkvara nimetust, kasutajat, krüpteeringu olekut, tootja toe olemasolu ning kasutuselevõtu ja kasutuselt kõrvaldamise kuupäeva.</w:t>
      </w:r>
    </w:p>
    <w:p>
      <w:pPr>
        <w:spacing w:after="150" w:before="0" w:line="288"/>
      </w:pPr>
      <w:r>
        <w:rPr>
          <w:rFonts w:ascii="Arial" w:cs="Arial" w:eastAsia="Arial" w:hAnsi="Arial"/>
          <w:color w:val="1A1A1A"/>
          <w:sz w:val="20"/>
          <w:szCs w:val="20"/>
        </w:rPr>
        <w:t xml:space="preserve">3.2. Büroo ei kasuta tarkvara, millele tootja tugi on lõppenud. Kui see on vältimatu, dokumenteeritakse erand koos tähtajaga ja kompenseerivate meetmetega.</w:t>
      </w:r>
    </w:p>
    <w:p>
      <w:pPr>
        <w:spacing w:after="150" w:before="0" w:line="288"/>
      </w:pPr>
      <w:r>
        <w:rPr>
          <w:rFonts w:ascii="Arial" w:cs="Arial" w:eastAsia="Arial" w:hAnsi="Arial"/>
          <w:color w:val="1A1A1A"/>
          <w:sz w:val="20"/>
          <w:szCs w:val="20"/>
        </w:rPr>
        <w:t xml:space="preserve">3.3. </w:t>
      </w:r>
      <w:r>
        <w:rPr>
          <w:rFonts w:ascii="Arial" w:cs="Arial" w:eastAsia="Arial" w:hAnsi="Arial"/>
          <w:b/>
          <w:bCs/>
          <w:color w:val="1A1A1A"/>
          <w:sz w:val="20"/>
          <w:szCs w:val="20"/>
        </w:rPr>
        <w:t xml:space="preserve">Toeta operatsioonisüsteem on omaette leid, mitte seadistusviga.</w:t>
      </w:r>
      <w:r>
        <w:rPr>
          <w:rFonts w:ascii="Arial" w:cs="Arial" w:eastAsia="Arial" w:hAnsi="Arial"/>
          <w:color w:val="1A1A1A"/>
          <w:sz w:val="20"/>
          <w:szCs w:val="20"/>
        </w:rPr>
        <w:t xml:space="preserve"> Kui operatsioonisüsteemile turvapaiku enam ei väljastata, ei ole paigahalduse nõuet võimalik täita ja seade tuleb uuendada või asendada. Pahavaratõrje olemasolu seda ei korva.</w:t>
      </w:r>
    </w:p>
    <w:p>
      <w:pPr>
        <w:spacing w:after="150" w:before="0" w:line="288"/>
      </w:pPr>
      <w:r>
        <w:rPr>
          <w:rFonts w:ascii="Arial" w:cs="Arial" w:eastAsia="Arial" w:hAnsi="Arial"/>
          <w:color w:val="1A1A1A"/>
          <w:sz w:val="20"/>
          <w:szCs w:val="20"/>
        </w:rPr>
        <w:t xml:space="preserve">3.4. Volitamata seadme või tarkvara avastamisel see eemaldatakse või kantakse registrisse koos põhjendusega.</w:t>
      </w:r>
    </w:p>
    <w:p>
      <w:pPr>
        <w:spacing w:after="160" w:before="360" w:line="288"/>
      </w:pPr>
      <w:r>
        <w:rPr>
          <w:rFonts w:ascii="Arial" w:cs="Arial" w:eastAsia="Arial" w:hAnsi="Arial"/>
          <w:b/>
          <w:bCs/>
          <w:color w:val="1A1A1A"/>
          <w:sz w:val="28"/>
          <w:szCs w:val="28"/>
        </w:rPr>
        <w:t xml:space="preserve">4. Juurdepääsud, kontod ja autentimine</w:t>
      </w:r>
    </w:p>
    <w:p>
      <w:pPr>
        <w:spacing w:after="150" w:before="0" w:line="288"/>
      </w:pPr>
      <w:r>
        <w:rPr>
          <w:rFonts w:ascii="Arial" w:cs="Arial" w:eastAsia="Arial" w:hAnsi="Arial"/>
          <w:color w:val="1A1A1A"/>
          <w:sz w:val="20"/>
          <w:szCs w:val="20"/>
        </w:rPr>
        <w:t xml:space="preserve">4.1. Kõik kontod on registris: süsteem, kasutajanimi, isik, konto liik, MFA olek, juurdepääsu ulatus, avamise ja sulgemise kuupäev. Register vaadatakse üle kord kvartalis.</w:t>
      </w:r>
    </w:p>
    <w:p>
      <w:pPr>
        <w:spacing w:after="150" w:before="0" w:line="288"/>
      </w:pPr>
      <w:r>
        <w:rPr>
          <w:rFonts w:ascii="Arial" w:cs="Arial" w:eastAsia="Arial" w:hAnsi="Arial"/>
          <w:color w:val="1A1A1A"/>
          <w:sz w:val="20"/>
          <w:szCs w:val="20"/>
        </w:rPr>
        <w:t xml:space="preserve">4.2. Mitmeastmeline autentimine (MFA) on nõutud kõigil kontodel, mis pääsevad ligi büroo andmetele või vahenditele. Kui mõnel teenusel MFA-d ei ole, märgitakse see registrisse ja hinnatakse, kas teenust saab asendada.</w:t>
      </w:r>
    </w:p>
    <w:p>
      <w:pPr>
        <w:spacing w:after="150" w:before="0" w:line="288"/>
      </w:pPr>
      <w:r>
        <w:rPr>
          <w:rFonts w:ascii="Arial" w:cs="Arial" w:eastAsia="Arial" w:hAnsi="Arial"/>
          <w:color w:val="1A1A1A"/>
          <w:sz w:val="20"/>
          <w:szCs w:val="20"/>
        </w:rPr>
        <w:t xml:space="preserve">4.3. Halduskontodel on MFA nõutud alati, sealhulgas siis, kui keskkonda haldab teenuseosutaja.</w:t>
      </w:r>
    </w:p>
    <w:p>
      <w:pPr>
        <w:spacing w:after="150" w:before="0" w:line="288"/>
      </w:pPr>
      <w:r>
        <w:rPr>
          <w:rFonts w:ascii="Arial" w:cs="Arial" w:eastAsia="Arial" w:hAnsi="Arial"/>
          <w:color w:val="1A1A1A"/>
          <w:sz w:val="20"/>
          <w:szCs w:val="20"/>
        </w:rPr>
        <w:t xml:space="preserve">4.4. </w:t>
      </w:r>
      <w:r>
        <w:rPr>
          <w:rFonts w:ascii="Arial" w:cs="Arial" w:eastAsia="Arial" w:hAnsi="Arial"/>
          <w:b/>
          <w:bCs/>
          <w:color w:val="1A1A1A"/>
          <w:sz w:val="20"/>
          <w:szCs w:val="20"/>
        </w:rPr>
        <w:t xml:space="preserve">Administraatoriõigustega kasutaja kasutab kõrgendatud õiguste tegevusteks eraldi halduskontot.</w:t>
      </w:r>
      <w:r>
        <w:rPr>
          <w:rFonts w:ascii="Arial" w:cs="Arial" w:eastAsia="Arial" w:hAnsi="Arial"/>
          <w:color w:val="1A1A1A"/>
          <w:sz w:val="20"/>
          <w:szCs w:val="20"/>
        </w:rPr>
        <w:t xml:space="preserve"> Seda kontot ei kasutata e-posti lugemiseks ega internetis sirvimiseks. Üheinimese büroos tähendab see kahte kontot.</w:t>
      </w:r>
    </w:p>
    <w:p>
      <w:pPr>
        <w:spacing w:after="150" w:before="0" w:line="288"/>
      </w:pPr>
      <w:r>
        <w:rPr>
          <w:rFonts w:ascii="Arial" w:cs="Arial" w:eastAsia="Arial" w:hAnsi="Arial"/>
          <w:color w:val="1A1A1A"/>
          <w:sz w:val="20"/>
          <w:szCs w:val="20"/>
        </w:rPr>
        <w:t xml:space="preserve">4.5. Paroolid on kordumatud. MFA-ga kaitstud kontol vähemalt 8 märki, MFA-ta kontol vähemalt 14 märki. Paroolide hoidmiseks kasutatakse </w:t>
      </w:r>
      <w:r>
        <w:rPr>
          <w:rFonts w:ascii="Arial" w:cs="Arial" w:eastAsia="Arial" w:hAnsi="Arial"/>
          <w:b/>
          <w:bCs/>
          <w:color w:val="FA5F20"/>
          <w:sz w:val="20"/>
          <w:szCs w:val="20"/>
        </w:rPr>
        <w:t xml:space="preserve">[paroolihaldur]</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4.6. Passiivsed kontod suletakse hiljemalt 45 päeva pärast viimast kasutamist. Kontrolljälje säilitamiseks kontot kohe ei kustutata.</w:t>
      </w:r>
    </w:p>
    <w:p>
      <w:pPr>
        <w:spacing w:after="150" w:before="0" w:line="288"/>
      </w:pPr>
      <w:r>
        <w:rPr>
          <w:rFonts w:ascii="Arial" w:cs="Arial" w:eastAsia="Arial" w:hAnsi="Arial"/>
          <w:color w:val="1A1A1A"/>
          <w:sz w:val="20"/>
          <w:szCs w:val="20"/>
        </w:rPr>
        <w:t xml:space="preserve">4.7. Juurdepääsu andmine, muutmine ja tühistamine toimub </w:t>
      </w:r>
      <w:r>
        <w:rPr>
          <w:rFonts w:ascii="Arial" w:cs="Arial" w:eastAsia="Arial" w:hAnsi="Arial"/>
          <w:b/>
          <w:bCs/>
          <w:color w:val="FA5F20"/>
          <w:sz w:val="20"/>
          <w:szCs w:val="20"/>
        </w:rPr>
        <w:t xml:space="preserve">[kes otsustab]</w:t>
      </w:r>
      <w:r>
        <w:rPr>
          <w:rFonts w:ascii="Arial" w:cs="Arial" w:eastAsia="Arial" w:hAnsi="Arial"/>
          <w:color w:val="1A1A1A"/>
          <w:sz w:val="20"/>
          <w:szCs w:val="20"/>
        </w:rPr>
        <w:t xml:space="preserve"> otsusega ja kantakse registrisse. Lepingulise suhte lõppemisel tühistatakse juurdepääsud </w:t>
      </w:r>
      <w:r>
        <w:rPr>
          <w:rFonts w:ascii="Arial" w:cs="Arial" w:eastAsia="Arial" w:hAnsi="Arial"/>
          <w:b/>
          <w:bCs/>
          <w:color w:val="FA5F20"/>
          <w:sz w:val="20"/>
          <w:szCs w:val="20"/>
        </w:rPr>
        <w:t xml:space="preserve">[tähtaeg, soovituslikult samal tööpäeval]</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4.8. Koostööpartneritelt nõutakse võimaluse korral MFA kasutamist.</w:t>
      </w:r>
    </w:p>
    <w:p>
      <w:pPr>
        <w:spacing w:after="160" w:before="360" w:line="288"/>
      </w:pPr>
      <w:r>
        <w:rPr>
          <w:rFonts w:ascii="Arial" w:cs="Arial" w:eastAsia="Arial" w:hAnsi="Arial"/>
          <w:b/>
          <w:bCs/>
          <w:color w:val="1A1A1A"/>
          <w:sz w:val="28"/>
          <w:szCs w:val="28"/>
        </w:rPr>
        <w:t xml:space="preserve">5. Tehnilised baasmeetmed</w:t>
      </w:r>
    </w:p>
    <w:p>
      <w:pPr>
        <w:spacing w:after="150" w:before="0" w:line="288"/>
      </w:pPr>
      <w:r>
        <w:rPr>
          <w:rFonts w:ascii="Arial" w:cs="Arial" w:eastAsia="Arial" w:hAnsi="Arial"/>
          <w:color w:val="1A1A1A"/>
          <w:sz w:val="20"/>
          <w:szCs w:val="20"/>
        </w:rPr>
        <w:t xml:space="preserve">Need on meetmed, mis peavad olema igal seadmel. Iga rea kohta on registris mõõdetud väärtus ja kontrollimise kuupäev — mitte sõna „korras“.</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4100"/>
        <w:gridCol w:w="2600"/>
      </w:tblGrid>
      <w:tr>
        <w:trPr>
          <w:tblHeader/>
        </w:trPr>
        <w:tc>
          <w:tcPr>
            <w:tcW w:type="dxa" w:w="26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Meede</w:t>
            </w:r>
          </w:p>
        </w:tc>
        <w:tc>
          <w:tcPr>
            <w:tcW w:type="dxa" w:w="41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Nõue</w:t>
            </w:r>
          </w:p>
        </w:tc>
        <w:tc>
          <w:tcPr>
            <w:tcW w:type="dxa" w:w="26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Kontrollitud</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Kettakrüpteering</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Kõigil lõppseadmetel, mis sisaldavad konfidentsiaalset teavet või kutsesaladust. Eelistatud on kogu ketta krüpteering, mitte ainult kasutatud ruum.</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Krüpteeringu taastevõti</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Vähemalt kaks koopiat, millest kumbki ei ole samas seadmes ega selle seadmega sünkroonivas pilves. Võtit ei kirjutata ühtegi registrisse.</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Käivituseelne autentimine</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Kui seade on kaasaskantav, kasutatakse PIN-i või paroolifraasi lisaks seadme kiibile.</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Automaatne paigahaldus</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Operatsioonisüsteem ja rakendused uuenevad automaatselt, vähemalt igakuiselt. Rakenduste pool vajab eraldi mehhanismi — operatsioonisüsteemi uuendaja seda ei kata.</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Pahavaratõrje</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Juurutatud kõigil seadmetel, reaalajakaitse sees, signatuurid uuenevad automaatselt.</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Hostipõhine tulemüür</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Sees kõigil profiilidel, sissetulev ühendus vaikimisi blokeeritud.</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Automaatkäivituse keeld</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Eemaldatavate andmekandjate automaatkäivitus on poliitikaga keelatud. Operatsioonisüsteemi vaikekäitumine ei ole tõend.</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Andmekandja skaneerimine</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Välise andmekandja ühendamisel toimub automaatne pahavarakontroll.</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Ekraanilukk</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Automaatne lukustus [X] minuti järel, avamiseks nõutakse parooli.</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Kaugjuurdepääs</w:t>
            </w:r>
          </w:p>
        </w:tc>
        <w:tc>
          <w:tcPr>
            <w:tcW w:type="dxa" w:w="4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Kaugtöölaud on välja lülitatud, kui seda ei vajata. Kui seda kasutatakse, on MFA nõutud.</w:t>
            </w:r>
          </w:p>
        </w:tc>
        <w:tc>
          <w:tcPr>
            <w:tcW w:type="dxa" w:w="2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bl>
    <w:p>
      <w:pPr>
        <w:spacing w:after="160" w:before="360" w:line="288"/>
      </w:pPr>
      <w:r>
        <w:rPr>
          <w:rFonts w:ascii="Arial" w:cs="Arial" w:eastAsia="Arial" w:hAnsi="Arial"/>
          <w:b/>
          <w:bCs/>
          <w:color w:val="1A1A1A"/>
          <w:sz w:val="28"/>
          <w:szCs w:val="28"/>
        </w:rPr>
        <w:t xml:space="preserve">6. Elektrooniliste vahendite ja interneti kasutamine</w:t>
      </w:r>
    </w:p>
    <w:p>
      <w:pPr>
        <w:spacing w:after="150" w:before="0" w:line="288"/>
      </w:pPr>
      <w:r>
        <w:rPr>
          <w:rFonts w:ascii="Arial" w:cs="Arial" w:eastAsia="Arial" w:hAnsi="Arial"/>
          <w:i/>
          <w:iCs/>
          <w:color w:val="55524E"/>
          <w:sz w:val="18"/>
          <w:szCs w:val="18"/>
        </w:rPr>
        <w:t xml:space="preserve">Advokatuuri eraldi juhend. Reeglid, mis juhivad käitumist — tehnika üksi neid ei asenda.</w:t>
      </w:r>
    </w:p>
    <w:p>
      <w:pPr>
        <w:spacing w:after="150" w:before="0" w:line="288"/>
      </w:pPr>
      <w:r>
        <w:rPr>
          <w:rFonts w:ascii="Arial" w:cs="Arial" w:eastAsia="Arial" w:hAnsi="Arial"/>
          <w:color w:val="1A1A1A"/>
          <w:sz w:val="20"/>
          <w:szCs w:val="20"/>
        </w:rPr>
        <w:t xml:space="preserve">6.1. Büroo andmeid töödeldakse ainult büroo kontodel ja seadmetel. Erameili büroo andmete töötlemiseks ei kasutata.</w:t>
      </w:r>
    </w:p>
    <w:p>
      <w:pPr>
        <w:spacing w:after="150" w:before="0" w:line="288"/>
      </w:pPr>
      <w:r>
        <w:rPr>
          <w:rFonts w:ascii="Arial" w:cs="Arial" w:eastAsia="Arial" w:hAnsi="Arial"/>
          <w:color w:val="1A1A1A"/>
          <w:sz w:val="20"/>
          <w:szCs w:val="20"/>
        </w:rPr>
        <w:t xml:space="preserve">6.2. Kutsesaladusega kaitstud materjali ei saadeta krüpteerimata kanalis. Krüpteerimiseks kasutatakse </w:t>
      </w:r>
      <w:r>
        <w:rPr>
          <w:rFonts w:ascii="Arial" w:cs="Arial" w:eastAsia="Arial" w:hAnsi="Arial"/>
          <w:b/>
          <w:bCs/>
          <w:color w:val="FA5F20"/>
          <w:sz w:val="20"/>
          <w:szCs w:val="20"/>
        </w:rPr>
        <w:t xml:space="preserve">[vahend, nt DigiDoc]</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6.3. Avalikus WiFi-võrgus ei tööta büroo andmetega ilma </w:t>
      </w:r>
      <w:r>
        <w:rPr>
          <w:rFonts w:ascii="Arial" w:cs="Arial" w:eastAsia="Arial" w:hAnsi="Arial"/>
          <w:b/>
          <w:bCs/>
          <w:color w:val="FA5F20"/>
          <w:sz w:val="20"/>
          <w:szCs w:val="20"/>
        </w:rPr>
        <w:t xml:space="preserve">[VPN või mobiilne jagamine]</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6.4. Seadet ei jäeta järelevalveta lukustamata. Avalikus ruumis töötamisel arvestatakse, et ekraan on nähtav.</w:t>
      </w:r>
    </w:p>
    <w:p>
      <w:pPr>
        <w:spacing w:after="150" w:before="0" w:line="288"/>
      </w:pPr>
      <w:r>
        <w:rPr>
          <w:rFonts w:ascii="Arial" w:cs="Arial" w:eastAsia="Arial" w:hAnsi="Arial"/>
          <w:color w:val="1A1A1A"/>
          <w:sz w:val="20"/>
          <w:szCs w:val="20"/>
        </w:rPr>
        <w:t xml:space="preserve">6.5. Isiklikuks otstarbeks kasutamine on lubatud </w:t>
      </w:r>
      <w:r>
        <w:rPr>
          <w:rFonts w:ascii="Arial" w:cs="Arial" w:eastAsia="Arial" w:hAnsi="Arial"/>
          <w:b/>
          <w:bCs/>
          <w:color w:val="FA5F20"/>
          <w:sz w:val="20"/>
          <w:szCs w:val="20"/>
        </w:rPr>
        <w:t xml:space="preserve">[ulatus]</w:t>
      </w:r>
      <w:r>
        <w:rPr>
          <w:rFonts w:ascii="Arial" w:cs="Arial" w:eastAsia="Arial" w:hAnsi="Arial"/>
          <w:color w:val="1A1A1A"/>
          <w:sz w:val="20"/>
          <w:szCs w:val="20"/>
        </w:rPr>
        <w:t xml:space="preserve"> ja ei tohi ohustada büroo andmeid.</w:t>
      </w:r>
    </w:p>
    <w:p>
      <w:pPr>
        <w:spacing w:after="150" w:before="0" w:line="288"/>
      </w:pPr>
      <w:r>
        <w:rPr>
          <w:rFonts w:ascii="Arial" w:cs="Arial" w:eastAsia="Arial" w:hAnsi="Arial"/>
          <w:color w:val="1A1A1A"/>
          <w:sz w:val="20"/>
          <w:szCs w:val="20"/>
        </w:rPr>
        <w:t xml:space="preserve">6.6. Tundmatuid manuseid ja linke ei avata. Kahtluse korral teatatakse </w:t>
      </w:r>
      <w:r>
        <w:rPr>
          <w:rFonts w:ascii="Arial" w:cs="Arial" w:eastAsia="Arial" w:hAnsi="Arial"/>
          <w:b/>
          <w:bCs/>
          <w:color w:val="FA5F20"/>
          <w:sz w:val="20"/>
          <w:szCs w:val="20"/>
        </w:rPr>
        <w:t xml:space="preserve">[vastutajale]</w:t>
      </w:r>
      <w:r>
        <w:rPr>
          <w:rFonts w:ascii="Arial" w:cs="Arial" w:eastAsia="Arial" w:hAnsi="Arial"/>
          <w:color w:val="1A1A1A"/>
          <w:sz w:val="20"/>
          <w:szCs w:val="20"/>
        </w:rPr>
        <w:t xml:space="preserve"> ka siis, kui midagi veel ei juhtunud.</w:t>
      </w:r>
    </w:p>
    <w:p>
      <w:pPr>
        <w:spacing w:after="160" w:before="360" w:line="288"/>
      </w:pPr>
      <w:r>
        <w:rPr>
          <w:rFonts w:ascii="Arial" w:cs="Arial" w:eastAsia="Arial" w:hAnsi="Arial"/>
          <w:b/>
          <w:bCs/>
          <w:color w:val="1A1A1A"/>
          <w:sz w:val="28"/>
          <w:szCs w:val="28"/>
        </w:rPr>
        <w:t xml:space="preserve">7. Kliendi asja materjalide hoidmine ja üleandmine</w:t>
      </w:r>
    </w:p>
    <w:p>
      <w:pPr>
        <w:spacing w:after="150" w:before="0" w:line="288"/>
      </w:pPr>
      <w:r>
        <w:rPr>
          <w:rFonts w:ascii="Arial" w:cs="Arial" w:eastAsia="Arial" w:hAnsi="Arial"/>
          <w:i/>
          <w:iCs/>
          <w:color w:val="55524E"/>
          <w:sz w:val="18"/>
          <w:szCs w:val="18"/>
        </w:rPr>
        <w:t xml:space="preserve">Advokatuuri eraldi juhend.</w:t>
      </w:r>
    </w:p>
    <w:p>
      <w:pPr>
        <w:spacing w:after="150" w:before="0" w:line="288"/>
      </w:pPr>
      <w:r>
        <w:rPr>
          <w:rFonts w:ascii="Arial" w:cs="Arial" w:eastAsia="Arial" w:hAnsi="Arial"/>
          <w:color w:val="1A1A1A"/>
          <w:sz w:val="20"/>
          <w:szCs w:val="20"/>
        </w:rPr>
        <w:t xml:space="preserve">7.1. Kliendi asja materjalid hoitakse </w:t>
      </w:r>
      <w:r>
        <w:rPr>
          <w:rFonts w:ascii="Arial" w:cs="Arial" w:eastAsia="Arial" w:hAnsi="Arial"/>
          <w:b/>
          <w:bCs/>
          <w:color w:val="FA5F20"/>
          <w:sz w:val="20"/>
          <w:szCs w:val="20"/>
        </w:rPr>
        <w:t xml:space="preserve">[asukoht]</w:t>
      </w:r>
      <w:r>
        <w:rPr>
          <w:rFonts w:ascii="Arial" w:cs="Arial" w:eastAsia="Arial" w:hAnsi="Arial"/>
          <w:color w:val="1A1A1A"/>
          <w:sz w:val="20"/>
          <w:szCs w:val="20"/>
        </w:rPr>
        <w:t xml:space="preserve"> ja on kättesaadavad ainult </w:t>
      </w:r>
      <w:r>
        <w:rPr>
          <w:rFonts w:ascii="Arial" w:cs="Arial" w:eastAsia="Arial" w:hAnsi="Arial"/>
          <w:b/>
          <w:bCs/>
          <w:color w:val="FA5F20"/>
          <w:sz w:val="20"/>
          <w:szCs w:val="20"/>
        </w:rPr>
        <w:t xml:space="preserve">[kes]</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7.2. Materjale säilitatakse </w:t>
      </w:r>
      <w:r>
        <w:rPr>
          <w:rFonts w:ascii="Arial" w:cs="Arial" w:eastAsia="Arial" w:hAnsi="Arial"/>
          <w:b/>
          <w:bCs/>
          <w:color w:val="FA5F20"/>
          <w:sz w:val="20"/>
          <w:szCs w:val="20"/>
        </w:rPr>
        <w:t xml:space="preserve">[tähtaeg]</w:t>
      </w:r>
      <w:r>
        <w:rPr>
          <w:rFonts w:ascii="Arial" w:cs="Arial" w:eastAsia="Arial" w:hAnsi="Arial"/>
          <w:color w:val="1A1A1A"/>
          <w:sz w:val="20"/>
          <w:szCs w:val="20"/>
        </w:rPr>
        <w:t xml:space="preserve"> alates </w:t>
      </w:r>
      <w:r>
        <w:rPr>
          <w:rFonts w:ascii="Arial" w:cs="Arial" w:eastAsia="Arial" w:hAnsi="Arial"/>
          <w:b/>
          <w:bCs/>
          <w:color w:val="FA5F20"/>
          <w:sz w:val="20"/>
          <w:szCs w:val="20"/>
        </w:rPr>
        <w:t xml:space="preserve">[alguspunkt]</w:t>
      </w:r>
      <w:r>
        <w:rPr>
          <w:rFonts w:ascii="Arial" w:cs="Arial" w:eastAsia="Arial" w:hAnsi="Arial"/>
          <w:color w:val="1A1A1A"/>
          <w:sz w:val="20"/>
          <w:szCs w:val="20"/>
        </w:rPr>
        <w:t xml:space="preserve">. Tähtaja alus on </w:t>
      </w:r>
      <w:r>
        <w:rPr>
          <w:rFonts w:ascii="Arial" w:cs="Arial" w:eastAsia="Arial" w:hAnsi="Arial"/>
          <w:b/>
          <w:bCs/>
          <w:color w:val="FA5F20"/>
          <w:sz w:val="20"/>
          <w:szCs w:val="20"/>
        </w:rPr>
        <w:t xml:space="preserve">[kliendileping / advokatuuri juhend / seadus]</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7.3. Kliendi nõudel antakse materjalid üle </w:t>
      </w:r>
      <w:r>
        <w:rPr>
          <w:rFonts w:ascii="Arial" w:cs="Arial" w:eastAsia="Arial" w:hAnsi="Arial"/>
          <w:b/>
          <w:bCs/>
          <w:color w:val="FA5F20"/>
          <w:sz w:val="20"/>
          <w:szCs w:val="20"/>
        </w:rPr>
        <w:t xml:space="preserve">[vorm ja tähtaeg]</w:t>
      </w:r>
      <w:r>
        <w:rPr>
          <w:rFonts w:ascii="Arial" w:cs="Arial" w:eastAsia="Arial" w:hAnsi="Arial"/>
          <w:color w:val="1A1A1A"/>
          <w:sz w:val="20"/>
          <w:szCs w:val="20"/>
        </w:rPr>
        <w:t xml:space="preserve">. Üleandmine dokumenteeritakse.</w:t>
      </w:r>
    </w:p>
    <w:p>
      <w:pPr>
        <w:spacing w:after="150" w:before="0" w:line="288"/>
      </w:pPr>
      <w:r>
        <w:rPr>
          <w:rFonts w:ascii="Arial" w:cs="Arial" w:eastAsia="Arial" w:hAnsi="Arial"/>
          <w:color w:val="1A1A1A"/>
          <w:sz w:val="20"/>
          <w:szCs w:val="20"/>
        </w:rPr>
        <w:t xml:space="preserve">7.4. Paberkandjal materjalid hoitakse </w:t>
      </w:r>
      <w:r>
        <w:rPr>
          <w:rFonts w:ascii="Arial" w:cs="Arial" w:eastAsia="Arial" w:hAnsi="Arial"/>
          <w:b/>
          <w:bCs/>
          <w:color w:val="FA5F20"/>
          <w:sz w:val="20"/>
          <w:szCs w:val="20"/>
        </w:rPr>
        <w:t xml:space="preserve">[lukustatav koht]</w:t>
      </w:r>
      <w:r>
        <w:rPr>
          <w:rFonts w:ascii="Arial" w:cs="Arial" w:eastAsia="Arial" w:hAnsi="Arial"/>
          <w:color w:val="1A1A1A"/>
          <w:sz w:val="20"/>
          <w:szCs w:val="20"/>
        </w:rPr>
        <w:t xml:space="preserve">. Hävitamine toimub </w:t>
      </w:r>
      <w:r>
        <w:rPr>
          <w:rFonts w:ascii="Arial" w:cs="Arial" w:eastAsia="Arial" w:hAnsi="Arial"/>
          <w:b/>
          <w:bCs/>
          <w:color w:val="FA5F20"/>
          <w:sz w:val="20"/>
          <w:szCs w:val="20"/>
        </w:rPr>
        <w:t xml:space="preserve">[viis, nt dokumendipurustaja]</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7.5. Säilitustähtaja möödumisel materjalid hävitatakse ja hävitamine kantakse registrisse.</w:t>
      </w:r>
    </w:p>
    <w:p>
      <w:pPr>
        <w:spacing w:after="160" w:before="360" w:line="288"/>
      </w:pPr>
      <w:r>
        <w:rPr>
          <w:rFonts w:ascii="Arial" w:cs="Arial" w:eastAsia="Arial" w:hAnsi="Arial"/>
          <w:b/>
          <w:bCs/>
          <w:color w:val="1A1A1A"/>
          <w:sz w:val="28"/>
          <w:szCs w:val="28"/>
        </w:rPr>
        <w:t xml:space="preserve">8. Tehisintellekti kasutamine</w:t>
      </w:r>
    </w:p>
    <w:p>
      <w:pPr>
        <w:spacing w:after="150" w:before="0" w:line="288"/>
      </w:pPr>
      <w:r>
        <w:rPr>
          <w:rFonts w:ascii="Arial" w:cs="Arial" w:eastAsia="Arial" w:hAnsi="Arial"/>
          <w:color w:val="1A1A1A"/>
          <w:sz w:val="20"/>
          <w:szCs w:val="20"/>
        </w:rPr>
        <w:t xml:space="preserve">8.1. Tehisintellekti tööriistu kasutatakse ainult nendena, mis on registris lehel „Teenuseosutajad“, ja ainult selles ulatuses, mis seal kirjas.</w:t>
      </w:r>
    </w:p>
    <w:p>
      <w:pPr>
        <w:spacing w:after="150" w:before="0" w:line="288"/>
      </w:pPr>
      <w:r>
        <w:rPr>
          <w:rFonts w:ascii="Arial" w:cs="Arial" w:eastAsia="Arial" w:hAnsi="Arial"/>
          <w:color w:val="1A1A1A"/>
          <w:sz w:val="20"/>
          <w:szCs w:val="20"/>
        </w:rPr>
        <w:t xml:space="preserve">8.2. </w:t>
      </w:r>
      <w:r>
        <w:rPr>
          <w:rFonts w:ascii="Arial" w:cs="Arial" w:eastAsia="Arial" w:hAnsi="Arial"/>
          <w:b/>
          <w:bCs/>
          <w:color w:val="1A1A1A"/>
          <w:sz w:val="20"/>
          <w:szCs w:val="20"/>
        </w:rPr>
        <w:t xml:space="preserve">Kutsesaladusega kaitstud teavet ei sisestata tööriista, mille puhul ei ole lepinguliselt tagatud, et sisendit ei kasutata mudelite treenimiseks ja et allandmetöötlejate ring on teada.</w:t>
      </w:r>
      <w:r>
        <w:rPr>
          <w:rFonts w:ascii="Arial" w:cs="Arial" w:eastAsia="Arial" w:hAnsi="Arial"/>
          <w:color w:val="1A1A1A"/>
          <w:sz w:val="20"/>
          <w:szCs w:val="20"/>
        </w:rPr>
        <w:t xml:space="preserve"> Teenuseosutaja ühepoolne avalik lubadus ei ole lepinguline kohustus.</w:t>
      </w:r>
    </w:p>
    <w:p>
      <w:pPr>
        <w:spacing w:after="150" w:before="0" w:line="288"/>
      </w:pPr>
      <w:r>
        <w:rPr>
          <w:rFonts w:ascii="Arial" w:cs="Arial" w:eastAsia="Arial" w:hAnsi="Arial"/>
          <w:color w:val="1A1A1A"/>
          <w:sz w:val="20"/>
          <w:szCs w:val="20"/>
        </w:rPr>
        <w:t xml:space="preserve">8.3. Enne tööriista kasutuselevõttu hinnatakse: kes on andmetöötleja, kus andmeid töödeldakse, kas on andmetöötlusleping, kas see täidab IKÜM artikli 28 lõike 3 punkti a nõuet, kas allandmetöötlejate üle on vetoõigus, ja kas sisendit kasutatakse treenimiseks.</w:t>
      </w:r>
    </w:p>
    <w:p>
      <w:pPr>
        <w:spacing w:after="150" w:before="0" w:line="288"/>
      </w:pPr>
      <w:r>
        <w:rPr>
          <w:rFonts w:ascii="Arial" w:cs="Arial" w:eastAsia="Arial" w:hAnsi="Arial"/>
          <w:color w:val="1A1A1A"/>
          <w:sz w:val="20"/>
          <w:szCs w:val="20"/>
        </w:rPr>
        <w:t xml:space="preserve">8.4. Tehisintellekti väljund on tooraine, mitte tulemus. Vastutus sisu õigsuse eest jääb advokaadile.</w:t>
      </w:r>
    </w:p>
    <w:p>
      <w:pPr>
        <w:spacing w:after="150" w:before="0" w:line="288"/>
      </w:pPr>
      <w:r>
        <w:rPr>
          <w:rFonts w:ascii="Arial" w:cs="Arial" w:eastAsia="Arial" w:hAnsi="Arial"/>
          <w:color w:val="1A1A1A"/>
          <w:sz w:val="20"/>
          <w:szCs w:val="20"/>
        </w:rPr>
        <w:t xml:space="preserve">8.5. Kui tööriista kasutatakse kliendi asjas, </w:t>
      </w:r>
      <w:r>
        <w:rPr>
          <w:rFonts w:ascii="Arial" w:cs="Arial" w:eastAsia="Arial" w:hAnsi="Arial"/>
          <w:b/>
          <w:bCs/>
          <w:color w:val="FA5F20"/>
          <w:sz w:val="20"/>
          <w:szCs w:val="20"/>
        </w:rPr>
        <w:t xml:space="preserve">[kas ja kuidas klienti teavitatakse]</w:t>
      </w:r>
      <w:r>
        <w:rPr>
          <w:rFonts w:ascii="Arial" w:cs="Arial" w:eastAsia="Arial" w:hAnsi="Arial"/>
          <w:color w:val="1A1A1A"/>
          <w:sz w:val="20"/>
          <w:szCs w:val="20"/>
        </w:rPr>
        <w:t xml:space="preserve">.</w:t>
      </w:r>
    </w:p>
    <w:p>
      <w:pPr>
        <w:spacing w:after="160" w:before="360" w:line="288"/>
      </w:pPr>
      <w:r>
        <w:rPr>
          <w:rFonts w:ascii="Arial" w:cs="Arial" w:eastAsia="Arial" w:hAnsi="Arial"/>
          <w:b/>
          <w:bCs/>
          <w:color w:val="1A1A1A"/>
          <w:sz w:val="28"/>
          <w:szCs w:val="28"/>
        </w:rPr>
        <w:t xml:space="preserve">9. Talitluspidevus: varundus ja taaste</w:t>
      </w:r>
    </w:p>
    <w:p>
      <w:pPr>
        <w:spacing w:after="150" w:before="0" w:line="288"/>
      </w:pPr>
      <w:r>
        <w:rPr>
          <w:rFonts w:ascii="Arial" w:cs="Arial" w:eastAsia="Arial" w:hAnsi="Arial"/>
          <w:color w:val="1A1A1A"/>
          <w:sz w:val="20"/>
          <w:szCs w:val="20"/>
        </w:rPr>
        <w:t xml:space="preserve">9.1. Büroo andmeid varundatakse </w:t>
      </w:r>
      <w:r>
        <w:rPr>
          <w:rFonts w:ascii="Arial" w:cs="Arial" w:eastAsia="Arial" w:hAnsi="Arial"/>
          <w:b/>
          <w:bCs/>
          <w:color w:val="FA5F20"/>
          <w:sz w:val="20"/>
          <w:szCs w:val="20"/>
        </w:rPr>
        <w:t xml:space="preserve">[sagedus]</w:t>
      </w:r>
      <w:r>
        <w:rPr>
          <w:rFonts w:ascii="Arial" w:cs="Arial" w:eastAsia="Arial" w:hAnsi="Arial"/>
          <w:color w:val="1A1A1A"/>
          <w:sz w:val="20"/>
          <w:szCs w:val="20"/>
        </w:rPr>
        <w:t xml:space="preserve"> </w:t>
      </w:r>
      <w:r>
        <w:rPr>
          <w:rFonts w:ascii="Arial" w:cs="Arial" w:eastAsia="Arial" w:hAnsi="Arial"/>
          <w:b/>
          <w:bCs/>
          <w:color w:val="FA5F20"/>
          <w:sz w:val="20"/>
          <w:szCs w:val="20"/>
        </w:rPr>
        <w:t xml:space="preserve">[kuhu]</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9.2. </w:t>
      </w:r>
      <w:r>
        <w:rPr>
          <w:rFonts w:ascii="Arial" w:cs="Arial" w:eastAsia="Arial" w:hAnsi="Arial"/>
          <w:b/>
          <w:bCs/>
          <w:color w:val="1A1A1A"/>
          <w:sz w:val="20"/>
          <w:szCs w:val="20"/>
        </w:rPr>
        <w:t xml:space="preserve">Vähemalt üks varukoopia asub sihtkohas, mis ei ole püsivalt võrgus.</w:t>
      </w:r>
      <w:r>
        <w:rPr>
          <w:rFonts w:ascii="Arial" w:cs="Arial" w:eastAsia="Arial" w:hAnsi="Arial"/>
          <w:color w:val="1A1A1A"/>
          <w:sz w:val="20"/>
          <w:szCs w:val="20"/>
        </w:rPr>
        <w:t xml:space="preserve"> Pilvesünkroniseerimine ei ole varundus: sünk levitab ka kustutamist ja rikkumist. Versiooniajalugu leevendab seda, aga ei asenda võrguühenduseta koopiat.</w:t>
      </w:r>
    </w:p>
    <w:p>
      <w:pPr>
        <w:spacing w:after="150" w:before="0" w:line="288"/>
      </w:pPr>
      <w:r>
        <w:rPr>
          <w:rFonts w:ascii="Arial" w:cs="Arial" w:eastAsia="Arial" w:hAnsi="Arial"/>
          <w:color w:val="1A1A1A"/>
          <w:sz w:val="20"/>
          <w:szCs w:val="20"/>
        </w:rPr>
        <w:t xml:space="preserve">9.3. Varukoopiaid kaitstakse samaväärselt algandmetega — krüpteeritult ja piiratud juurdepääsuga.</w:t>
      </w:r>
    </w:p>
    <w:p>
      <w:pPr>
        <w:spacing w:after="150" w:before="0" w:line="288"/>
      </w:pPr>
      <w:r>
        <w:rPr>
          <w:rFonts w:ascii="Arial" w:cs="Arial" w:eastAsia="Arial" w:hAnsi="Arial"/>
          <w:color w:val="1A1A1A"/>
          <w:sz w:val="20"/>
          <w:szCs w:val="20"/>
        </w:rPr>
        <w:t xml:space="preserve">9.4. Taastamist testitakse </w:t>
      </w:r>
      <w:r>
        <w:rPr>
          <w:rFonts w:ascii="Arial" w:cs="Arial" w:eastAsia="Arial" w:hAnsi="Arial"/>
          <w:b/>
          <w:bCs/>
          <w:color w:val="FA5F20"/>
          <w:sz w:val="20"/>
          <w:szCs w:val="20"/>
        </w:rPr>
        <w:t xml:space="preserve">[sagedus, soovituslikult kord kvartalis]</w:t>
      </w:r>
      <w:r>
        <w:rPr>
          <w:rFonts w:ascii="Arial" w:cs="Arial" w:eastAsia="Arial" w:hAnsi="Arial"/>
          <w:color w:val="1A1A1A"/>
          <w:sz w:val="20"/>
          <w:szCs w:val="20"/>
        </w:rPr>
        <w:t xml:space="preserve">: varukoopiast avatakse vähemalt üks fail. Testimata varukoopia ei ole varukoopia.</w:t>
      </w:r>
    </w:p>
    <w:p>
      <w:pPr>
        <w:spacing w:after="150" w:before="0" w:line="288"/>
      </w:pPr>
      <w:r>
        <w:rPr>
          <w:rFonts w:ascii="Arial" w:cs="Arial" w:eastAsia="Arial" w:hAnsi="Arial"/>
          <w:color w:val="1A1A1A"/>
          <w:sz w:val="20"/>
          <w:szCs w:val="20"/>
        </w:rPr>
        <w:t xml:space="preserve">9.5. Taastetegevused on kirjeldatud: </w:t>
      </w:r>
      <w:r>
        <w:rPr>
          <w:rFonts w:ascii="Arial" w:cs="Arial" w:eastAsia="Arial" w:hAnsi="Arial"/>
          <w:b/>
          <w:bCs/>
          <w:color w:val="FA5F20"/>
          <w:sz w:val="20"/>
          <w:szCs w:val="20"/>
        </w:rPr>
        <w:t xml:space="preserve">[kes teeb, mis järjekorras, kui kaua tohib taastamine võtta]</w:t>
      </w:r>
      <w:r>
        <w:rPr>
          <w:rFonts w:ascii="Arial" w:cs="Arial" w:eastAsia="Arial" w:hAnsi="Arial"/>
          <w:color w:val="1A1A1A"/>
          <w:sz w:val="20"/>
          <w:szCs w:val="20"/>
        </w:rPr>
        <w:t xml:space="preserve">.</w:t>
      </w:r>
    </w:p>
    <w:p>
      <w:pPr>
        <w:spacing w:after="160" w:before="360" w:line="288"/>
      </w:pPr>
      <w:r>
        <w:rPr>
          <w:rFonts w:ascii="Arial" w:cs="Arial" w:eastAsia="Arial" w:hAnsi="Arial"/>
          <w:b/>
          <w:bCs/>
          <w:color w:val="1A1A1A"/>
          <w:sz w:val="28"/>
          <w:szCs w:val="28"/>
        </w:rPr>
        <w:t xml:space="preserve">10. Intsidendid</w:t>
      </w:r>
    </w:p>
    <w:p>
      <w:pPr>
        <w:spacing w:after="150" w:before="0" w:line="288"/>
      </w:pPr>
      <w:r>
        <w:rPr>
          <w:rFonts w:ascii="Arial" w:cs="Arial" w:eastAsia="Arial" w:hAnsi="Arial"/>
          <w:color w:val="1A1A1A"/>
          <w:sz w:val="20"/>
          <w:szCs w:val="20"/>
        </w:rPr>
        <w:t xml:space="preserve">10.1. Intsidentide eest vastutab </w:t>
      </w:r>
      <w:r>
        <w:rPr>
          <w:rFonts w:ascii="Arial" w:cs="Arial" w:eastAsia="Arial" w:hAnsi="Arial"/>
          <w:b/>
          <w:bCs/>
          <w:color w:val="FA5F20"/>
          <w:sz w:val="20"/>
          <w:szCs w:val="20"/>
        </w:rPr>
        <w:t xml:space="preserve">[NIMI]</w:t>
      </w:r>
      <w:r>
        <w:rPr>
          <w:rFonts w:ascii="Arial" w:cs="Arial" w:eastAsia="Arial" w:hAnsi="Arial"/>
          <w:color w:val="1A1A1A"/>
          <w:sz w:val="20"/>
          <w:szCs w:val="20"/>
        </w:rPr>
        <w:t xml:space="preserve">. Tema puudumisel </w:t>
      </w:r>
      <w:r>
        <w:rPr>
          <w:rFonts w:ascii="Arial" w:cs="Arial" w:eastAsia="Arial" w:hAnsi="Arial"/>
          <w:b/>
          <w:bCs/>
          <w:color w:val="FA5F20"/>
          <w:sz w:val="20"/>
          <w:szCs w:val="20"/>
        </w:rPr>
        <w:t xml:space="preserve">[asendaja]</w:t>
      </w:r>
      <w:r>
        <w:rPr>
          <w:rFonts w:ascii="Arial" w:cs="Arial" w:eastAsia="Arial" w:hAnsi="Arial"/>
          <w:color w:val="1A1A1A"/>
          <w:sz w:val="20"/>
          <w:szCs w:val="20"/>
        </w:rPr>
        <w:t xml:space="preserve">.</w:t>
      </w:r>
    </w:p>
    <w:p>
      <w:pPr>
        <w:spacing w:after="150" w:before="0" w:line="288"/>
      </w:pPr>
      <w:r>
        <w:rPr>
          <w:rFonts w:ascii="Arial" w:cs="Arial" w:eastAsia="Arial" w:hAnsi="Arial"/>
          <w:color w:val="1A1A1A"/>
          <w:sz w:val="20"/>
          <w:szCs w:val="20"/>
        </w:rPr>
        <w:t xml:space="preserve">10.2. Intsidendist teatab igaüks, kes selle avastab, viivitamata punktis 10.1 nimetatud isikule — ka siis, kui kahju ei ole veel tekkinud ja ka siis, kui teataja ise võis selle põhjustada.</w:t>
      </w:r>
    </w:p>
    <w:p>
      <w:pPr>
        <w:spacing w:after="150" w:before="0" w:line="288"/>
      </w:pPr>
      <w:r>
        <w:rPr>
          <w:rFonts w:ascii="Arial" w:cs="Arial" w:eastAsia="Arial" w:hAnsi="Arial"/>
          <w:color w:val="1A1A1A"/>
          <w:sz w:val="20"/>
          <w:szCs w:val="20"/>
        </w:rPr>
        <w:t xml:space="preserve">10.3. Iga intsident kantakse registrisse: mis juhtus, millal avastati, mis andmeid see puudutas, mis olid esmased sammud, keda teavitati, millal lahendati.</w:t>
      </w:r>
    </w:p>
    <w:p>
      <w:pPr>
        <w:spacing w:after="150" w:before="0" w:line="288"/>
      </w:pPr>
      <w:r>
        <w:rPr>
          <w:rFonts w:ascii="Arial" w:cs="Arial" w:eastAsia="Arial" w:hAnsi="Arial"/>
          <w:color w:val="1A1A1A"/>
          <w:sz w:val="20"/>
          <w:szCs w:val="20"/>
        </w:rPr>
        <w:t xml:space="preserve">10.4. Teavitatavad osapooled ja tähtajad on registris eraldi nimekirjana. See nimekiri täidetakse ette, mitte intsidendi ajal.</w:t>
      </w:r>
    </w:p>
    <w:p>
      <w:pPr>
        <w:spacing w:after="150" w:before="0" w:line="288"/>
      </w:pPr>
      <w:r>
        <w:rPr>
          <w:rFonts w:ascii="Arial" w:cs="Arial" w:eastAsia="Arial" w:hAnsi="Arial"/>
          <w:color w:val="1A1A1A"/>
          <w:sz w:val="20"/>
          <w:szCs w:val="20"/>
        </w:rPr>
        <w:t xml:space="preserve">10.5. Pärast lahendamist kirjutatakse välja, mis reegel või seadistus selle tagajärjel muutus. Intsident, millest midagi ei muutunud, on pooleli.</w:t>
      </w:r>
    </w:p>
    <w:p>
      <w:pPr>
        <w:spacing w:after="160" w:before="360" w:line="288"/>
      </w:pPr>
      <w:r>
        <w:rPr>
          <w:rFonts w:ascii="Arial" w:cs="Arial" w:eastAsia="Arial" w:hAnsi="Arial"/>
          <w:b/>
          <w:bCs/>
          <w:color w:val="1A1A1A"/>
          <w:sz w:val="28"/>
          <w:szCs w:val="28"/>
        </w:rPr>
        <w:t xml:space="preserve">11. Turvateadlikkus ja koolitus</w:t>
      </w:r>
    </w:p>
    <w:p>
      <w:pPr>
        <w:spacing w:after="150" w:before="0" w:line="288"/>
      </w:pPr>
      <w:r>
        <w:rPr>
          <w:rFonts w:ascii="Arial" w:cs="Arial" w:eastAsia="Arial" w:hAnsi="Arial"/>
          <w:color w:val="1A1A1A"/>
          <w:sz w:val="20"/>
          <w:szCs w:val="20"/>
        </w:rPr>
        <w:t xml:space="preserve">11.1. Turvateadlikkuse koolitus toimub vähemalt kord aastas ja kantakse registrisse. Üheinimese büroos on see enesetäiendus — kirjalik kirje loeb ikka.</w:t>
      </w:r>
    </w:p>
    <w:p>
      <w:pPr>
        <w:spacing w:after="150" w:before="0" w:line="288"/>
      </w:pPr>
      <w:r>
        <w:rPr>
          <w:rFonts w:ascii="Arial" w:cs="Arial" w:eastAsia="Arial" w:hAnsi="Arial"/>
          <w:color w:val="1A1A1A"/>
          <w:sz w:val="20"/>
          <w:szCs w:val="20"/>
        </w:rPr>
        <w:t xml:space="preserve">11.2. Teemad: manipuleerimisrünnakute äratundmine, turvaline autentimine, andmete käsitlemine, tahtmatu andmelekke vältimine, intsidendi tuvastamine ja teavitamine, aegunud turbega vara märkamine, ebaturvalised kanalid, rollipõhine koolitus.</w:t>
      </w:r>
    </w:p>
    <w:p>
      <w:pPr>
        <w:spacing w:after="150" w:before="0" w:line="288"/>
      </w:pPr>
      <w:r>
        <w:rPr>
          <w:rFonts w:ascii="Arial" w:cs="Arial" w:eastAsia="Arial" w:hAnsi="Arial"/>
          <w:color w:val="1A1A1A"/>
          <w:sz w:val="20"/>
          <w:szCs w:val="20"/>
        </w:rPr>
        <w:t xml:space="preserve">11.3. Uus töötaja või koostööpartner tutvub selle korraga enne juurdepääsu saamist ja kinnitab seda kirjalikult.</w:t>
      </w:r>
    </w:p>
    <w:p>
      <w:pPr>
        <w:spacing w:after="160" w:before="360" w:line="288"/>
      </w:pPr>
      <w:r>
        <w:rPr>
          <w:rFonts w:ascii="Arial" w:cs="Arial" w:eastAsia="Arial" w:hAnsi="Arial"/>
          <w:b/>
          <w:bCs/>
          <w:color w:val="1A1A1A"/>
          <w:sz w:val="28"/>
          <w:szCs w:val="28"/>
        </w:rPr>
        <w:t xml:space="preserve">12. Ülevaatus ja jääkriskid</w:t>
      </w:r>
    </w:p>
    <w:p>
      <w:pPr>
        <w:spacing w:after="150" w:before="0" w:line="288"/>
      </w:pPr>
      <w:r>
        <w:rPr>
          <w:rFonts w:ascii="Arial" w:cs="Arial" w:eastAsia="Arial" w:hAnsi="Arial"/>
          <w:color w:val="1A1A1A"/>
          <w:sz w:val="20"/>
          <w:szCs w:val="20"/>
        </w:rPr>
        <w:t xml:space="preserve">12.1. Jääkrisk on teadlikult alles jäetud risk. Iga jääkrisk kirjutatakse välja koos põhjusega, miks seda ei maandata, ja kuupäevaga, mil otsus üle vaadatakse.</w:t>
      </w:r>
    </w:p>
    <w:p>
      <w:pPr>
        <w:spacing w:after="150" w:before="0" w:line="288"/>
      </w:pPr>
      <w:r>
        <w:rPr>
          <w:rFonts w:ascii="Arial" w:cs="Arial" w:eastAsia="Arial" w:hAnsi="Arial"/>
          <w:color w:val="1A1A1A"/>
          <w:sz w:val="20"/>
          <w:szCs w:val="20"/>
        </w:rPr>
        <w:t xml:space="preserve">12.2. Teadlikult dokumenteeritud jääkrisk on auditis oluliselt parem kui märkamata puudus. Vahe „me ei teadnud“ ja „me otsustasime nii, järgmistel põhjustel“ vahel on kogu vahe.</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3200"/>
        <w:gridCol w:w="2400"/>
        <w:gridCol w:w="1500"/>
      </w:tblGrid>
      <w:tr>
        <w:trPr>
          <w:tblHeader/>
        </w:trPr>
        <w:tc>
          <w:tcPr>
            <w:tcW w:type="dxa" w:w="22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Jääkrisk</w:t>
            </w:r>
          </w:p>
        </w:tc>
        <w:tc>
          <w:tcPr>
            <w:tcW w:type="dxa" w:w="32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Miks alles jäetud</w:t>
            </w:r>
          </w:p>
        </w:tc>
        <w:tc>
          <w:tcPr>
            <w:tcW w:type="dxa" w:w="24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Kompenseeriv meede</w:t>
            </w:r>
          </w:p>
        </w:tc>
        <w:tc>
          <w:tcPr>
            <w:tcW w:type="dxa" w:w="15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Üle vaadata</w:t>
            </w:r>
          </w:p>
        </w:tc>
      </w:tr>
      <w:tr>
        <w:trPr>
          <w:tblHeader w:val="false"/>
        </w:trPr>
        <w:tc>
          <w:tcPr>
            <w:tcW w:type="dxa" w:w="22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[risk]</w:t>
            </w:r>
          </w:p>
        </w:tc>
        <w:tc>
          <w:tcPr>
            <w:tcW w:type="dxa" w:w="32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[põhjendus]</w:t>
            </w:r>
          </w:p>
        </w:tc>
        <w:tc>
          <w:tcPr>
            <w:tcW w:type="dxa" w:w="24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[meede]</w:t>
            </w:r>
          </w:p>
        </w:tc>
        <w:tc>
          <w:tcPr>
            <w:tcW w:type="dxa" w:w="15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2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[risk]</w:t>
            </w:r>
          </w:p>
        </w:tc>
        <w:tc>
          <w:tcPr>
            <w:tcW w:type="dxa" w:w="32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[põhjendus]</w:t>
            </w:r>
          </w:p>
        </w:tc>
        <w:tc>
          <w:tcPr>
            <w:tcW w:type="dxa" w:w="24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[meede]</w:t>
            </w:r>
          </w:p>
        </w:tc>
        <w:tc>
          <w:tcPr>
            <w:tcW w:type="dxa" w:w="15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r>
        <w:trPr>
          <w:tblHeader w:val="false"/>
        </w:trPr>
        <w:tc>
          <w:tcPr>
            <w:tcW w:type="dxa" w:w="22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[risk]</w:t>
            </w:r>
          </w:p>
        </w:tc>
        <w:tc>
          <w:tcPr>
            <w:tcW w:type="dxa" w:w="32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[põhjendus]</w:t>
            </w:r>
          </w:p>
        </w:tc>
        <w:tc>
          <w:tcPr>
            <w:tcW w:type="dxa" w:w="24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[meede]</w:t>
            </w:r>
          </w:p>
        </w:tc>
        <w:tc>
          <w:tcPr>
            <w:tcW w:type="dxa" w:w="15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r>
    </w:tbl>
    <w:p>
      <w:pPr>
        <w:spacing w:after="160" w:before="360" w:line="288"/>
      </w:pPr>
      <w:r>
        <w:rPr>
          <w:rFonts w:ascii="Arial" w:cs="Arial" w:eastAsia="Arial" w:hAnsi="Arial"/>
          <w:b/>
          <w:bCs/>
          <w:color w:val="1A1A1A"/>
          <w:sz w:val="28"/>
          <w:szCs w:val="28"/>
        </w:rPr>
        <w:t xml:space="preserve">Lisa A — kinnitamine ja muudatuste logi</w:t>
      </w:r>
    </w:p>
    <w:p>
      <w:pPr>
        <w:spacing w:after="150" w:before="0" w:line="288"/>
      </w:pPr>
      <w:r>
        <w:rPr>
          <w:rFonts w:ascii="Arial" w:cs="Arial" w:eastAsia="Arial" w:hAnsi="Arial"/>
          <w:color w:val="1A1A1A"/>
          <w:sz w:val="20"/>
          <w:szCs w:val="20"/>
        </w:rPr>
        <w:t xml:space="preserve">Selle korra kinnitab büroo pidaja. Iga muudatus saab uue versiooninumbri ja kuupäeva.</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1600"/>
        <w:gridCol w:w="4200"/>
        <w:gridCol w:w="2100"/>
      </w:tblGrid>
      <w:tr>
        <w:trPr>
          <w:tblHeader/>
        </w:trPr>
        <w:tc>
          <w:tcPr>
            <w:tcW w:type="dxa" w:w="14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Versioon</w:t>
            </w:r>
          </w:p>
        </w:tc>
        <w:tc>
          <w:tcPr>
            <w:tcW w:type="dxa" w:w="16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Kuupäev</w:t>
            </w:r>
          </w:p>
        </w:tc>
        <w:tc>
          <w:tcPr>
            <w:tcW w:type="dxa" w:w="42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Mis muutus</w:t>
            </w:r>
          </w:p>
        </w:tc>
        <w:tc>
          <w:tcPr>
            <w:tcW w:type="dxa" w:w="2100"/>
            <w:shd w:fill="E8EEF3" w:color="auto" w:val="clear"/>
            <w:tcMar>
              <w:top w:type="dxa" w:w="70"/>
              <w:left w:type="dxa" w:w="110"/>
              <w:bottom w:type="dxa" w:w="70"/>
              <w:right w:type="dxa" w:w="110"/>
            </w:tcMar>
          </w:tcPr>
          <w:p>
            <w:pPr>
              <w:spacing w:after="0" w:line="264"/>
            </w:pPr>
            <w:r>
              <w:rPr>
                <w:rFonts w:ascii="Arial" w:cs="Arial" w:eastAsia="Arial" w:hAnsi="Arial"/>
                <w:b/>
                <w:bCs/>
                <w:color w:val="1A1A1A"/>
                <w:sz w:val="18"/>
                <w:szCs w:val="18"/>
              </w:rPr>
              <w:t xml:space="preserve">Kinnitas</w:t>
            </w:r>
          </w:p>
        </w:tc>
      </w:tr>
      <w:tr>
        <w:trPr>
          <w:tblHeader w:val="false"/>
        </w:trPr>
        <w:tc>
          <w:tcPr>
            <w:tcW w:type="dxa" w:w="14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[1.0]</w:t>
            </w:r>
          </w:p>
        </w:tc>
        <w:tc>
          <w:tcPr>
            <w:tcW w:type="dxa" w:w="1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[kuupäev]</w:t>
            </w:r>
          </w:p>
        </w:tc>
        <w:tc>
          <w:tcPr>
            <w:tcW w:type="dxa" w:w="42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Esmane kinnitamine</w:t>
            </w:r>
          </w:p>
        </w:tc>
        <w:tc>
          <w:tcPr>
            <w:tcW w:type="dxa" w:w="2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[nimi]</w:t>
            </w:r>
          </w:p>
        </w:tc>
      </w:tr>
      <w:tr>
        <w:trPr>
          <w:tblHeader w:val="false"/>
        </w:trPr>
        <w:tc>
          <w:tcPr>
            <w:tcW w:type="dxa" w:w="14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  ]</w:t>
            </w:r>
          </w:p>
        </w:tc>
        <w:tc>
          <w:tcPr>
            <w:tcW w:type="dxa" w:w="16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  ]</w:t>
            </w:r>
          </w:p>
        </w:tc>
        <w:tc>
          <w:tcPr>
            <w:tcW w:type="dxa" w:w="42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  ]</w:t>
            </w:r>
          </w:p>
        </w:tc>
        <w:tc>
          <w:tcPr>
            <w:tcW w:type="dxa" w:w="2100"/>
            <w:tcMar>
              <w:top w:type="dxa" w:w="70"/>
              <w:left w:type="dxa" w:w="110"/>
              <w:bottom w:type="dxa" w:w="70"/>
              <w:right w:type="dxa" w:w="110"/>
            </w:tcMar>
          </w:tcPr>
          <w:p>
            <w:pPr>
              <w:spacing w:after="0" w:line="264"/>
            </w:pPr>
            <w:r>
              <w:rPr>
                <w:rFonts w:ascii="Arial" w:cs="Arial" w:eastAsia="Arial" w:hAnsi="Arial"/>
                <w:b w:val="false"/>
                <w:bCs w:val="false"/>
                <w:color w:val="1A1A1A"/>
                <w:sz w:val="18"/>
                <w:szCs w:val="18"/>
              </w:rPr>
              <w:t xml:space="preserve">[  ]</w:t>
            </w:r>
          </w:p>
        </w:tc>
      </w:tr>
    </w:tbl>
    <w:p>
      <w:pPr>
        <w:spacing w:after="150" w:before="200" w:line="288"/>
      </w:pPr>
      <w:r>
        <w:rPr>
          <w:rFonts w:ascii="Arial" w:cs="Arial" w:eastAsia="Arial" w:hAnsi="Arial"/>
          <w:b/>
          <w:bCs/>
          <w:color w:val="1A1A1A"/>
          <w:sz w:val="20"/>
          <w:szCs w:val="20"/>
        </w:rPr>
        <w:t xml:space="preserve">Kinnitan, et olen selle korraga tutvunud ja järgin seda.</w:t>
      </w:r>
    </w:p>
    <w:p>
      <w:pPr>
        <w:spacing w:after="150" w:before="0" w:line="288"/>
      </w:pPr>
      <w:r>
        <w:rPr>
          <w:rFonts w:ascii="Arial" w:cs="Arial" w:eastAsia="Arial" w:hAnsi="Arial"/>
          <w:b/>
          <w:bCs/>
          <w:color w:val="FA5F20"/>
          <w:sz w:val="20"/>
          <w:szCs w:val="20"/>
        </w:rPr>
        <w:t xml:space="preserve">[Nimi]</w:t>
      </w:r>
      <w:r>
        <w:rPr>
          <w:rFonts w:ascii="Arial" w:cs="Arial" w:eastAsia="Arial" w:hAnsi="Arial"/>
          <w:color w:val="1A1A1A"/>
          <w:sz w:val="20"/>
          <w:szCs w:val="20"/>
        </w:rPr>
        <w:t xml:space="preserve"> · </w:t>
      </w:r>
      <w:r>
        <w:rPr>
          <w:rFonts w:ascii="Arial" w:cs="Arial" w:eastAsia="Arial" w:hAnsi="Arial"/>
          <w:b/>
          <w:bCs/>
          <w:color w:val="FA5F20"/>
          <w:sz w:val="20"/>
          <w:szCs w:val="20"/>
        </w:rPr>
        <w:t xml:space="preserve">[roll]</w:t>
      </w:r>
      <w:r>
        <w:rPr>
          <w:rFonts w:ascii="Arial" w:cs="Arial" w:eastAsia="Arial" w:hAnsi="Arial"/>
          <w:color w:val="1A1A1A"/>
          <w:sz w:val="20"/>
          <w:szCs w:val="20"/>
        </w:rPr>
        <w:t xml:space="preserve"> · </w:t>
      </w:r>
      <w:r>
        <w:rPr>
          <w:rFonts w:ascii="Arial" w:cs="Arial" w:eastAsia="Arial" w:hAnsi="Arial"/>
          <w:b/>
          <w:bCs/>
          <w:color w:val="FA5F20"/>
          <w:sz w:val="20"/>
          <w:szCs w:val="20"/>
        </w:rPr>
        <w:t xml:space="preserve">[kuupäev]</w:t>
      </w:r>
      <w:r>
        <w:rPr>
          <w:rFonts w:ascii="Arial" w:cs="Arial" w:eastAsia="Arial" w:hAnsi="Arial"/>
          <w:color w:val="1A1A1A"/>
          <w:sz w:val="20"/>
          <w:szCs w:val="20"/>
        </w:rPr>
        <w:t xml:space="preserve"> · allkiri ______________________</w:t>
      </w:r>
    </w:p>
    <w:p>
      <w:pPr>
        <w:spacing w:after="160" w:before="360" w:line="288"/>
      </w:pPr>
      <w:r>
        <w:rPr>
          <w:rFonts w:ascii="Arial" w:cs="Arial" w:eastAsia="Arial" w:hAnsi="Arial"/>
          <w:b/>
          <w:bCs/>
          <w:color w:val="1A1A1A"/>
          <w:sz w:val="28"/>
          <w:szCs w:val="28"/>
        </w:rPr>
        <w:t xml:space="preserve">Lisa B — mida see kord ei kata</w:t>
      </w:r>
    </w:p>
    <w:p>
      <w:pPr>
        <w:spacing w:after="150" w:before="0" w:line="288"/>
      </w:pPr>
      <w:r>
        <w:rPr>
          <w:rFonts w:ascii="Arial" w:cs="Arial" w:eastAsia="Arial" w:hAnsi="Arial"/>
          <w:color w:val="1A1A1A"/>
          <w:sz w:val="20"/>
          <w:szCs w:val="20"/>
        </w:rPr>
        <w:t xml:space="preserve">Kord katab advokatuuri 18.04.2023 juhise miinimummeetmed. Eraldi kohustused, mis vajavad oma dokumente:</w:t>
      </w:r>
    </w:p>
    <w:p>
      <w:pPr>
        <w:spacing w:after="150" w:before="0" w:line="288"/>
        <w:ind w:left="400" w:hanging="220"/>
      </w:pPr>
      <w:r>
        <w:rPr>
          <w:rFonts w:ascii="Arial" w:cs="Arial" w:eastAsia="Arial" w:hAnsi="Arial"/>
          <w:color w:val="1A1A1A"/>
          <w:sz w:val="19"/>
          <w:szCs w:val="19"/>
        </w:rPr>
        <w:t xml:space="preserve">•  Kliendilepingute sõlmimise juhend (17.11.2009, muudetud 27.11.2018) — lepingu kohustuslik sisu, huvide konflikti kontroll, kliendi tuvastamine.</w:t>
      </w:r>
    </w:p>
    <w:p>
      <w:pPr>
        <w:spacing w:after="150" w:before="0" w:line="288"/>
        <w:ind w:left="400" w:hanging="220"/>
      </w:pPr>
      <w:r>
        <w:rPr>
          <w:rFonts w:ascii="Arial" w:cs="Arial" w:eastAsia="Arial" w:hAnsi="Arial"/>
          <w:color w:val="1A1A1A"/>
          <w:sz w:val="19"/>
          <w:szCs w:val="19"/>
        </w:rPr>
        <w:t xml:space="preserve">•  Õigusteenuse osutamise kord seoses kliendi huvides juriidilise isiku juhtorganisse kuulumise ja osaluse omamisega (12.01.2016, muudetud 05.04.2016) — register on registrite failis lehel „Juhtorganid“.</w:t>
      </w:r>
    </w:p>
    <w:p>
      <w:pPr>
        <w:spacing w:after="150" w:before="0" w:line="288"/>
        <w:ind w:left="400" w:hanging="220"/>
      </w:pPr>
      <w:r>
        <w:rPr>
          <w:rFonts w:ascii="Arial" w:cs="Arial" w:eastAsia="Arial" w:hAnsi="Arial"/>
          <w:color w:val="1A1A1A"/>
          <w:sz w:val="19"/>
          <w:szCs w:val="19"/>
        </w:rPr>
        <w:t xml:space="preserve">•  Rahapesu ja terrorismi rahastamise tõkestamise seadusest tulenevad kohustused seal, kus need advokaadile kohalduvad.</w:t>
      </w:r>
    </w:p>
    <w:p>
      <w:pPr>
        <w:spacing w:after="150" w:before="0" w:line="288"/>
        <w:ind w:left="400" w:hanging="220"/>
      </w:pPr>
      <w:r>
        <w:rPr>
          <w:rFonts w:ascii="Arial" w:cs="Arial" w:eastAsia="Arial" w:hAnsi="Arial"/>
          <w:color w:val="1A1A1A"/>
          <w:sz w:val="19"/>
          <w:szCs w:val="19"/>
        </w:rPr>
        <w:t xml:space="preserve">•  Isikuandmete kaitse üldmäärusest tulenevad dokumendid: andmetöötlustoimingute register, privaatsusteade, andmekaitsealased mõjuhinnangud, andmetöötluslepingud.</w:t>
      </w:r>
    </w:p>
    <w:p>
      <w:pPr>
        <w:spacing w:after="150" w:before="0" w:line="288"/>
        <w:ind w:left="400" w:hanging="220"/>
      </w:pPr>
      <w:r>
        <w:rPr>
          <w:rFonts w:ascii="Arial" w:cs="Arial" w:eastAsia="Arial" w:hAnsi="Arial"/>
          <w:color w:val="1A1A1A"/>
          <w:sz w:val="19"/>
          <w:szCs w:val="19"/>
        </w:rPr>
        <w:t xml:space="preserve">•  Juhise täiendavad meetmed (mitte miinimummeetmed), mis muutuvad asjakohaseks büroo kasvades.</w:t>
      </w:r>
    </w:p>
    <w:p>
      <w:pPr>
        <w:spacing w:after="150" w:before="300" w:line="288"/>
      </w:pPr>
      <w:r>
        <w:rPr>
          <w:rFonts w:ascii="Arial" w:cs="Arial" w:eastAsia="Arial" w:hAnsi="Arial"/>
          <w:b/>
          <w:bCs/>
          <w:color w:val="55524E"/>
          <w:sz w:val="18"/>
          <w:szCs w:val="18"/>
        </w:rPr>
        <w:t xml:space="preserve">Vastutuse piirang. </w:t>
      </w:r>
      <w:r>
        <w:rPr>
          <w:rFonts w:ascii="Arial" w:cs="Arial" w:eastAsia="Arial" w:hAnsi="Arial"/>
          <w:color w:val="55524E"/>
          <w:sz w:val="18"/>
          <w:szCs w:val="18"/>
        </w:rPr>
        <w:t xml:space="preserve">See on mall, mitte õigusnõu. Iga büroo olukord on erinev ja vastutus advokatuuri juhise täitmise eest on büroo pidajal. Malli koostaja ei vastuta selle eest, kas täidetud mall vastab konkreetse büroo olukorras advokatuuri nõuetele. Kontrolli juhiste kehtivat teksti Eesti Advokatuuri lehelt enne kasutamist.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2026-10-01T08:46:58.823Z</dcterms:created>
  <dcterms:modified xsi:type="dcterms:W3CDTF">2026-10-01T08:46:58.835Z</dcterms:modified>
</cp:coreProperties>
</file>

<file path=docProps/custom.xml><?xml version="1.0" encoding="utf-8"?>
<Properties xmlns="http://schemas.openxmlformats.org/officeDocument/2006/custom-properties" xmlns:vt="http://schemas.openxmlformats.org/officeDocument/2006/docPropsVTypes"/>
</file>