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E190" w14:textId="70283A30" w:rsidR="00B04E5C" w:rsidRPr="00585792" w:rsidRDefault="00B04E5C">
      <w:pPr>
        <w:rPr>
          <w:b/>
          <w:bCs/>
        </w:rPr>
      </w:pPr>
      <w:r w:rsidRPr="00585792">
        <w:rPr>
          <w:b/>
          <w:bCs/>
        </w:rPr>
        <w:t>BIOINFORMATICS MINI PROJECT: Comprehensive Sequence Analysis of the Human TNF Gene</w:t>
      </w:r>
    </w:p>
    <w:p w14:paraId="6224BEC3" w14:textId="77777777" w:rsidR="00A11FB8" w:rsidRPr="00585792" w:rsidRDefault="00A11FB8">
      <w:pPr>
        <w:rPr>
          <w:b/>
          <w:bCs/>
        </w:rPr>
      </w:pPr>
    </w:p>
    <w:p w14:paraId="0E879FD3" w14:textId="719ABADF" w:rsidR="00797EFC" w:rsidRPr="00585792" w:rsidRDefault="00797EFC">
      <w:r w:rsidRPr="00585792">
        <w:rPr>
          <w:b/>
          <w:bCs/>
        </w:rPr>
        <w:t>TASK 1:</w:t>
      </w:r>
      <w:r w:rsidRPr="00585792">
        <w:t xml:space="preserve"> Download the human TNF gene sequence from NCBI and view/edit it </w:t>
      </w:r>
    </w:p>
    <w:p w14:paraId="292C7371" w14:textId="34C4BDC3" w:rsidR="00797EFC" w:rsidRPr="00585792" w:rsidRDefault="00797EFC">
      <w:r w:rsidRPr="00585792">
        <w:rPr>
          <w:b/>
          <w:bCs/>
        </w:rPr>
        <w:t>Tool(s) used:</w:t>
      </w:r>
      <w:r w:rsidRPr="00585792">
        <w:t xml:space="preserve"> NCBI and BioEdit </w:t>
      </w:r>
    </w:p>
    <w:p w14:paraId="3F2B1135" w14:textId="0ABE4765" w:rsidR="003B3005" w:rsidRPr="00585792" w:rsidRDefault="00485739">
      <w:pPr>
        <w:rPr>
          <w:b/>
          <w:bCs/>
        </w:rPr>
      </w:pPr>
      <w:r w:rsidRPr="005857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B7F6415" wp14:editId="7784C341">
            <wp:simplePos x="0" y="0"/>
            <wp:positionH relativeFrom="page">
              <wp:align>right</wp:align>
            </wp:positionH>
            <wp:positionV relativeFrom="paragraph">
              <wp:posOffset>424180</wp:posOffset>
            </wp:positionV>
            <wp:extent cx="7743825" cy="5095875"/>
            <wp:effectExtent l="0" t="0" r="9525" b="9525"/>
            <wp:wrapTopAndBottom/>
            <wp:docPr id="144632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6953" name="Picture 1446326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EFC" w:rsidRPr="00585792">
        <w:rPr>
          <w:b/>
          <w:bCs/>
        </w:rPr>
        <w:t>Output:</w:t>
      </w:r>
    </w:p>
    <w:p w14:paraId="0820F702" w14:textId="08F806CF" w:rsidR="008A1B5C" w:rsidRPr="00585792" w:rsidRDefault="00055EA4">
      <w:r w:rsidRPr="00585792">
        <w:t>Figure</w:t>
      </w:r>
      <w:r w:rsidR="00326A09" w:rsidRPr="00585792">
        <w:t xml:space="preserve"> 1</w:t>
      </w:r>
      <w:r w:rsidRPr="00585792">
        <w:t xml:space="preserve">: </w:t>
      </w:r>
      <w:r w:rsidR="00693ADE" w:rsidRPr="00585792">
        <w:t>Human TNF gene sequence on BioEdit</w:t>
      </w:r>
    </w:p>
    <w:p w14:paraId="1DE0890B" w14:textId="77777777" w:rsidR="004D651F" w:rsidRPr="00585792" w:rsidRDefault="004D651F"/>
    <w:p w14:paraId="0D6FE58E" w14:textId="77777777" w:rsidR="00585792" w:rsidRDefault="00585792">
      <w:pPr>
        <w:rPr>
          <w:b/>
          <w:bCs/>
        </w:rPr>
      </w:pPr>
    </w:p>
    <w:p w14:paraId="06642A2D" w14:textId="77777777" w:rsidR="00585792" w:rsidRDefault="00585792">
      <w:pPr>
        <w:rPr>
          <w:b/>
          <w:bCs/>
        </w:rPr>
      </w:pPr>
    </w:p>
    <w:p w14:paraId="7C127F57" w14:textId="77777777" w:rsidR="00AE04EC" w:rsidRDefault="00055EA4">
      <w:r w:rsidRPr="00585792">
        <w:rPr>
          <w:b/>
          <w:bCs/>
        </w:rPr>
        <w:lastRenderedPageBreak/>
        <w:t>TASK 2</w:t>
      </w:r>
      <w:r w:rsidRPr="00585792">
        <w:t>: Translate the DNA sequence o</w:t>
      </w:r>
      <w:r w:rsidR="00EC59C5" w:rsidRPr="00585792">
        <w:t>f</w:t>
      </w:r>
      <w:r w:rsidRPr="00585792">
        <w:t xml:space="preserve"> the TNF gene into an amino acid sequence </w:t>
      </w:r>
    </w:p>
    <w:p w14:paraId="2BD6C69C" w14:textId="0ACD2BB5" w:rsidR="00326F9E" w:rsidRPr="00585792" w:rsidRDefault="00055EA4">
      <w:r w:rsidRPr="00585792">
        <w:rPr>
          <w:b/>
          <w:bCs/>
        </w:rPr>
        <w:t>Tool(s) used</w:t>
      </w:r>
      <w:r w:rsidRPr="00585792">
        <w:t>: BioEdit</w:t>
      </w:r>
    </w:p>
    <w:p w14:paraId="15A55B17" w14:textId="5233E4A1" w:rsidR="00055EA4" w:rsidRPr="00585792" w:rsidRDefault="00055EA4">
      <w:pPr>
        <w:rPr>
          <w:b/>
          <w:bCs/>
        </w:rPr>
      </w:pPr>
      <w:r w:rsidRPr="00585792">
        <w:rPr>
          <w:b/>
          <w:bCs/>
        </w:rPr>
        <w:t>Output:</w:t>
      </w:r>
    </w:p>
    <w:p w14:paraId="5DD795C8" w14:textId="5B5E0290" w:rsidR="00FF7851" w:rsidRPr="00585792" w:rsidRDefault="000F176E">
      <w:pPr>
        <w:rPr>
          <w:b/>
          <w:bCs/>
        </w:rPr>
      </w:pPr>
      <w:r w:rsidRPr="0058579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FD9D4FF" wp14:editId="25ACC72B">
            <wp:simplePos x="0" y="0"/>
            <wp:positionH relativeFrom="page">
              <wp:align>right</wp:align>
            </wp:positionH>
            <wp:positionV relativeFrom="paragraph">
              <wp:posOffset>355600</wp:posOffset>
            </wp:positionV>
            <wp:extent cx="7743825" cy="5057775"/>
            <wp:effectExtent l="0" t="0" r="9525" b="9525"/>
            <wp:wrapTopAndBottom/>
            <wp:docPr id="102836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9288" name="Picture 1028369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6B71C" w14:textId="1683A38B" w:rsidR="00FF7851" w:rsidRPr="00585792" w:rsidRDefault="008F4EC8">
      <w:r w:rsidRPr="00585792">
        <w:t>Figure</w:t>
      </w:r>
      <w:r w:rsidR="00326A09" w:rsidRPr="00585792">
        <w:t xml:space="preserve"> 2</w:t>
      </w:r>
      <w:r w:rsidRPr="00585792">
        <w:t xml:space="preserve">: Translation of the human TNF gene sequence into amino acid sequence </w:t>
      </w:r>
    </w:p>
    <w:p w14:paraId="294935C5" w14:textId="77777777" w:rsidR="009B6E8B" w:rsidRPr="00585792" w:rsidRDefault="009B6E8B"/>
    <w:p w14:paraId="444DB1EE" w14:textId="77777777" w:rsidR="009B6E8B" w:rsidRPr="00585792" w:rsidRDefault="009B6E8B"/>
    <w:p w14:paraId="05F84BB9" w14:textId="77777777" w:rsidR="004D651F" w:rsidRPr="00585792" w:rsidRDefault="004D651F">
      <w:pPr>
        <w:rPr>
          <w:b/>
          <w:bCs/>
        </w:rPr>
      </w:pPr>
    </w:p>
    <w:p w14:paraId="1AA4F0C5" w14:textId="77777777" w:rsidR="00562889" w:rsidRPr="00585792" w:rsidRDefault="00562889">
      <w:pPr>
        <w:rPr>
          <w:b/>
          <w:bCs/>
        </w:rPr>
      </w:pPr>
    </w:p>
    <w:p w14:paraId="231F2684" w14:textId="77777777" w:rsidR="00585792" w:rsidRDefault="00585792">
      <w:pPr>
        <w:rPr>
          <w:b/>
          <w:bCs/>
        </w:rPr>
      </w:pPr>
    </w:p>
    <w:p w14:paraId="7BF267B2" w14:textId="4BB2BD90" w:rsidR="009B6E8B" w:rsidRPr="00585792" w:rsidRDefault="009B6E8B">
      <w:r w:rsidRPr="00585792">
        <w:rPr>
          <w:b/>
          <w:bCs/>
        </w:rPr>
        <w:lastRenderedPageBreak/>
        <w:t>TASK 3:</w:t>
      </w:r>
      <w:r w:rsidRPr="00585792">
        <w:t xml:space="preserve"> Identify the ORFs </w:t>
      </w:r>
      <w:r w:rsidR="00602B25" w:rsidRPr="00585792">
        <w:t xml:space="preserve">(Open Reading Frames) </w:t>
      </w:r>
      <w:r w:rsidRPr="00585792">
        <w:t xml:space="preserve">within the TNF gene sequence </w:t>
      </w:r>
    </w:p>
    <w:p w14:paraId="7D8305B3" w14:textId="77777777" w:rsidR="009B6E8B" w:rsidRPr="00585792" w:rsidRDefault="009B6E8B">
      <w:r w:rsidRPr="00585792">
        <w:rPr>
          <w:b/>
          <w:bCs/>
        </w:rPr>
        <w:t>Tool(s) used:</w:t>
      </w:r>
      <w:r w:rsidRPr="00585792">
        <w:t xml:space="preserve"> BioEdit </w:t>
      </w:r>
    </w:p>
    <w:p w14:paraId="39371D14" w14:textId="7BDB4285" w:rsidR="009B6E8B" w:rsidRPr="00585792" w:rsidRDefault="00E846FC">
      <w:pPr>
        <w:rPr>
          <w:b/>
          <w:bCs/>
        </w:rPr>
      </w:pPr>
      <w:r w:rsidRPr="0058579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51A2833" wp14:editId="5152A630">
            <wp:simplePos x="0" y="0"/>
            <wp:positionH relativeFrom="page">
              <wp:align>right</wp:align>
            </wp:positionH>
            <wp:positionV relativeFrom="paragraph">
              <wp:posOffset>265430</wp:posOffset>
            </wp:positionV>
            <wp:extent cx="7743825" cy="4057650"/>
            <wp:effectExtent l="0" t="0" r="9525" b="0"/>
            <wp:wrapTopAndBottom/>
            <wp:docPr id="108605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0391" name="Picture 108605039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99" b="3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B" w:rsidRPr="00585792">
        <w:rPr>
          <w:b/>
          <w:bCs/>
        </w:rPr>
        <w:t>Output:</w:t>
      </w:r>
    </w:p>
    <w:p w14:paraId="6388FF33" w14:textId="136653DF" w:rsidR="00AA37FA" w:rsidRPr="00585792" w:rsidRDefault="005A35F4">
      <w:r w:rsidRPr="00585792">
        <w:t>Figure</w:t>
      </w:r>
      <w:r w:rsidR="00326A09" w:rsidRPr="00585792">
        <w:t xml:space="preserve"> 3</w:t>
      </w:r>
      <w:r w:rsidRPr="00585792">
        <w:t>: Identification of ORFs in the TNF gene sequence</w:t>
      </w:r>
    </w:p>
    <w:p w14:paraId="5482AEA3" w14:textId="77777777" w:rsidR="00585792" w:rsidRPr="00585792" w:rsidRDefault="00585792"/>
    <w:p w14:paraId="1FD74A0C" w14:textId="1C9D2AE1" w:rsidR="00F4099A" w:rsidRPr="00F14C84" w:rsidRDefault="00AA37FA">
      <w:pPr>
        <w:rPr>
          <w:b/>
          <w:bCs/>
        </w:rPr>
      </w:pPr>
      <w:r w:rsidRPr="00F14C84">
        <w:rPr>
          <w:b/>
          <w:bCs/>
        </w:rPr>
        <w:t xml:space="preserve">Result interpretation: </w:t>
      </w:r>
    </w:p>
    <w:p w14:paraId="5EF2061C" w14:textId="3E3C5B99" w:rsidR="00396DCF" w:rsidRPr="00585792" w:rsidRDefault="00B1661D" w:rsidP="00B1661D">
      <w:r>
        <w:t xml:space="preserve">- </w:t>
      </w:r>
      <w:r w:rsidR="005222FA" w:rsidRPr="00585792">
        <w:t>Figure 3 displays 6 open reading frames (ORFs)</w:t>
      </w:r>
      <w:r w:rsidR="00AC6369" w:rsidRPr="00585792">
        <w:t xml:space="preserve"> ranging from positions 1 to 1200</w:t>
      </w:r>
      <w:r w:rsidR="00BD2F85">
        <w:t>.</w:t>
      </w:r>
      <w:r w:rsidR="007819C2" w:rsidRPr="00585792">
        <w:t xml:space="preserve"> </w:t>
      </w:r>
    </w:p>
    <w:p w14:paraId="2F04F989" w14:textId="598DB4A1" w:rsidR="00396DCF" w:rsidRPr="00585792" w:rsidRDefault="00B1661D">
      <w:r>
        <w:t xml:space="preserve">- </w:t>
      </w:r>
      <w:r w:rsidR="007819C2" w:rsidRPr="00585792">
        <w:t xml:space="preserve">Each ORF is annotated with its start and stop positions, frame designation, and corresponding protein </w:t>
      </w:r>
      <w:r w:rsidR="002C5325" w:rsidRPr="00585792">
        <w:t>translations.</w:t>
      </w:r>
      <w:r w:rsidR="00A44EA4" w:rsidRPr="00585792">
        <w:t xml:space="preserve"> </w:t>
      </w:r>
    </w:p>
    <w:p w14:paraId="5726CA1E" w14:textId="060F20AF" w:rsidR="00585792" w:rsidRPr="00585792" w:rsidRDefault="00B1661D">
      <w:r>
        <w:t xml:space="preserve">- </w:t>
      </w:r>
      <w:r w:rsidR="00A44EA4" w:rsidRPr="00585792">
        <w:t>The first ORF spans positions 178 to 606, producing a protein of 143 amino acids.</w:t>
      </w:r>
      <w:r w:rsidR="00EA6381">
        <w:t xml:space="preserve"> </w:t>
      </w:r>
      <w:r w:rsidR="00396DCF" w:rsidRPr="00585792">
        <w:t>Below</w:t>
      </w:r>
      <w:r w:rsidR="00437483">
        <w:t xml:space="preserve">, </w:t>
      </w:r>
      <w:r w:rsidR="00396DCF" w:rsidRPr="00585792">
        <w:t>the amino acid sequence translation for th</w:t>
      </w:r>
      <w:r w:rsidR="007C2EEA" w:rsidRPr="00585792">
        <w:t>at</w:t>
      </w:r>
      <w:r w:rsidR="00396DCF" w:rsidRPr="00585792">
        <w:t xml:space="preserve"> specific ORF</w:t>
      </w:r>
      <w:r w:rsidR="00EA6381">
        <w:t xml:space="preserve"> is shown</w:t>
      </w:r>
      <w:r w:rsidR="00396DCF" w:rsidRPr="00585792">
        <w:t>.</w:t>
      </w:r>
    </w:p>
    <w:p w14:paraId="52F1E26F" w14:textId="4ABFCE09" w:rsidR="00562889" w:rsidRDefault="00B1661D">
      <w:r>
        <w:t xml:space="preserve">- </w:t>
      </w:r>
      <w:r w:rsidR="00562889" w:rsidRPr="00585792">
        <w:t>Identifying ORFs is crucial because it helps researchers predict the locations of genes within a DNA sequence, including those that may play roles in biological processes and disease development.</w:t>
      </w:r>
    </w:p>
    <w:p w14:paraId="016ADDAA" w14:textId="77777777" w:rsidR="007C3FB5" w:rsidRPr="00585792" w:rsidRDefault="007C3FB5"/>
    <w:p w14:paraId="459D24E0" w14:textId="77777777" w:rsidR="00F018E0" w:rsidRDefault="00F018E0">
      <w:r w:rsidRPr="002F2E12">
        <w:rPr>
          <w:b/>
          <w:bCs/>
        </w:rPr>
        <w:lastRenderedPageBreak/>
        <w:t>Task 4:</w:t>
      </w:r>
      <w:r w:rsidRPr="00F018E0">
        <w:t xml:space="preserve"> Analyze the nucleotide composition of the TNF gene sequence </w:t>
      </w:r>
    </w:p>
    <w:p w14:paraId="6564C2B0" w14:textId="77777777" w:rsidR="00F018E0" w:rsidRDefault="00F018E0">
      <w:r w:rsidRPr="0008430C">
        <w:rPr>
          <w:b/>
          <w:bCs/>
        </w:rPr>
        <w:t>Tool(s) used:</w:t>
      </w:r>
      <w:r w:rsidRPr="00F018E0">
        <w:t xml:space="preserve"> BioEdit </w:t>
      </w:r>
    </w:p>
    <w:p w14:paraId="4E8E75FA" w14:textId="14B70B93" w:rsidR="005222FA" w:rsidRPr="0008430C" w:rsidRDefault="00D63135">
      <w:pPr>
        <w:rPr>
          <w:b/>
          <w:bCs/>
        </w:rPr>
      </w:pPr>
      <w:r w:rsidRPr="0008430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9001D4A" wp14:editId="77FB21F3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743825" cy="3267075"/>
            <wp:effectExtent l="0" t="0" r="9525" b="9525"/>
            <wp:wrapSquare wrapText="bothSides"/>
            <wp:docPr id="155702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23192" name="Picture 1557023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8E0" w:rsidRPr="0008430C">
        <w:rPr>
          <w:b/>
          <w:bCs/>
        </w:rPr>
        <w:t>Output:</w:t>
      </w:r>
    </w:p>
    <w:p w14:paraId="3643BB60" w14:textId="1C4B6D91" w:rsidR="00367E5C" w:rsidRPr="00585792" w:rsidRDefault="00367E5C"/>
    <w:p w14:paraId="57BE90C5" w14:textId="4898D9C2" w:rsidR="00931AE5" w:rsidRDefault="00555F63">
      <w:r w:rsidRPr="00555F63">
        <w:t xml:space="preserve">Figure 4: Analysis of nucleotide composition in the TNF gene sequence </w:t>
      </w:r>
    </w:p>
    <w:p w14:paraId="58F01B50" w14:textId="77777777" w:rsidR="00582AA6" w:rsidRDefault="00582AA6"/>
    <w:p w14:paraId="472D0994" w14:textId="050CB03B" w:rsidR="008036AC" w:rsidRDefault="002E28B8">
      <w:r w:rsidRPr="002E28B8">
        <w:lastRenderedPageBreak/>
        <w:t xml:space="preserve">Figure 5: </w:t>
      </w:r>
      <w:r w:rsidR="00C13224" w:rsidRPr="00555F63">
        <w:t xml:space="preserve">Analysis of nucleotide composition in the TNF gene sequence </w:t>
      </w:r>
      <w:r w:rsidR="00821E93">
        <w:rPr>
          <w:noProof/>
        </w:rPr>
        <w:drawing>
          <wp:anchor distT="0" distB="0" distL="114300" distR="114300" simplePos="0" relativeHeight="251662336" behindDoc="0" locked="0" layoutInCell="1" allowOverlap="1" wp14:anchorId="1F074490" wp14:editId="3414BF85">
            <wp:simplePos x="0" y="0"/>
            <wp:positionH relativeFrom="page">
              <wp:align>right</wp:align>
            </wp:positionH>
            <wp:positionV relativeFrom="paragraph">
              <wp:posOffset>1</wp:posOffset>
            </wp:positionV>
            <wp:extent cx="7772400" cy="3895725"/>
            <wp:effectExtent l="0" t="0" r="0" b="9525"/>
            <wp:wrapSquare wrapText="bothSides"/>
            <wp:docPr id="1709021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21701" name="Picture 1709021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FC0">
        <w:t>(Bar graph)</w:t>
      </w:r>
      <w:r w:rsidR="004B7534">
        <w:t xml:space="preserve">                                                                                  </w:t>
      </w:r>
    </w:p>
    <w:p w14:paraId="4545253F" w14:textId="77777777" w:rsidR="008036AC" w:rsidRDefault="008036AC"/>
    <w:p w14:paraId="6EE3E091" w14:textId="04A529A2" w:rsidR="006D2781" w:rsidRPr="006E4DC9" w:rsidRDefault="006D2781">
      <w:pPr>
        <w:rPr>
          <w:b/>
          <w:bCs/>
        </w:rPr>
      </w:pPr>
      <w:r w:rsidRPr="006E4DC9">
        <w:rPr>
          <w:b/>
          <w:bCs/>
        </w:rPr>
        <w:t>Result interpretation:</w:t>
      </w:r>
    </w:p>
    <w:p w14:paraId="1DE76A19" w14:textId="38D85D6E" w:rsidR="006D2781" w:rsidRDefault="009357AA" w:rsidP="009357AA">
      <w:r>
        <w:t xml:space="preserve">- </w:t>
      </w:r>
      <w:r w:rsidR="006D2781" w:rsidRPr="006D2781">
        <w:t xml:space="preserve">Figures 4 and 5 illustrate the nucleotide frequency, molecular weight, and GC/AT content of the TNF gene sequence. </w:t>
      </w:r>
    </w:p>
    <w:p w14:paraId="3E6CFA46" w14:textId="73F16372" w:rsidR="00FE006C" w:rsidRDefault="009357AA" w:rsidP="006D2781">
      <w:r>
        <w:t xml:space="preserve">- </w:t>
      </w:r>
      <w:r w:rsidR="006D2781" w:rsidRPr="006D2781">
        <w:t xml:space="preserve">The observed nucleotide counts are 709 adenine (A), 680 cytosine (C), 784 guanine (G), and 599 thymine (T). </w:t>
      </w:r>
    </w:p>
    <w:p w14:paraId="686FE44C" w14:textId="08D08F82" w:rsidR="00FE006C" w:rsidRDefault="009357AA" w:rsidP="006D2781">
      <w:r>
        <w:t xml:space="preserve">- </w:t>
      </w:r>
      <w:r w:rsidR="006D2781" w:rsidRPr="006D2781">
        <w:t xml:space="preserve">The sequence has an overall GC content of 52.81%. </w:t>
      </w:r>
    </w:p>
    <w:p w14:paraId="4F9BA8C7" w14:textId="55E286D3" w:rsidR="006D2781" w:rsidRPr="006D2781" w:rsidRDefault="009357AA" w:rsidP="006D2781">
      <w:r>
        <w:t xml:space="preserve">- </w:t>
      </w:r>
      <w:r w:rsidR="006D2781" w:rsidRPr="006D2781">
        <w:t>This value is particularly relevant because GC content influences the thermal stability of DNA, with higher GC levels generally conferring greater stability.</w:t>
      </w:r>
    </w:p>
    <w:p w14:paraId="5FF4A605" w14:textId="0B95152C" w:rsidR="00582AA6" w:rsidRDefault="00582AA6"/>
    <w:p w14:paraId="39CB765E" w14:textId="77777777" w:rsidR="008F55CE" w:rsidRDefault="008F55CE"/>
    <w:p w14:paraId="10E95BE6" w14:textId="77777777" w:rsidR="008F55CE" w:rsidRDefault="008F55CE"/>
    <w:p w14:paraId="73AEABE6" w14:textId="77777777" w:rsidR="008F55CE" w:rsidRDefault="008F55CE"/>
    <w:p w14:paraId="61CF00BE" w14:textId="77777777" w:rsidR="008F55CE" w:rsidRDefault="008F55CE"/>
    <w:p w14:paraId="1081B217" w14:textId="7A03C57C" w:rsidR="00F45EBA" w:rsidRDefault="008F55CE">
      <w:r w:rsidRPr="006E0854">
        <w:rPr>
          <w:b/>
          <w:bCs/>
        </w:rPr>
        <w:lastRenderedPageBreak/>
        <w:t>Task 5:</w:t>
      </w:r>
      <w:r w:rsidRPr="008F55CE">
        <w:t xml:space="preserve"> Identify potential transcription factor binding sites in the TNF gene promoter region </w:t>
      </w:r>
      <w:r w:rsidRPr="006E0854">
        <w:rPr>
          <w:b/>
          <w:bCs/>
        </w:rPr>
        <w:t>Tool(s) used:</w:t>
      </w:r>
      <w:r w:rsidRPr="008F55CE">
        <w:t xml:space="preserve"> </w:t>
      </w:r>
      <w:r w:rsidR="00F45EBA">
        <w:t>TFBSPred</w:t>
      </w:r>
    </w:p>
    <w:p w14:paraId="34AFC709" w14:textId="6081264F" w:rsidR="00E325A1" w:rsidRPr="006E0854" w:rsidRDefault="00F92BC2">
      <w:pPr>
        <w:rPr>
          <w:b/>
          <w:bCs/>
        </w:rPr>
      </w:pPr>
      <w:r w:rsidRPr="006E085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789CAC5" wp14:editId="2F1C774A">
            <wp:simplePos x="0" y="0"/>
            <wp:positionH relativeFrom="page">
              <wp:align>right</wp:align>
            </wp:positionH>
            <wp:positionV relativeFrom="paragraph">
              <wp:posOffset>324485</wp:posOffset>
            </wp:positionV>
            <wp:extent cx="7772400" cy="5019675"/>
            <wp:effectExtent l="0" t="0" r="0" b="9525"/>
            <wp:wrapSquare wrapText="bothSides"/>
            <wp:docPr id="1462913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3363" name="Picture 1462913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A1" w:rsidRPr="006E0854">
        <w:rPr>
          <w:b/>
          <w:bCs/>
        </w:rPr>
        <w:t>Output:</w:t>
      </w:r>
    </w:p>
    <w:p w14:paraId="3C77679A" w14:textId="10DD0579" w:rsidR="00E325A1" w:rsidRDefault="000701BF">
      <w:r w:rsidRPr="000701BF">
        <w:t>Figure 6: Identification of potential transcription factor binding sites in the TNF gene sequence</w:t>
      </w:r>
    </w:p>
    <w:p w14:paraId="2C1410A9" w14:textId="77777777" w:rsidR="000701BF" w:rsidRDefault="000701BF"/>
    <w:p w14:paraId="200D41E5" w14:textId="77777777" w:rsidR="0014545F" w:rsidRPr="002C0DC2" w:rsidRDefault="0014545F">
      <w:pPr>
        <w:rPr>
          <w:b/>
          <w:bCs/>
        </w:rPr>
      </w:pPr>
      <w:r w:rsidRPr="002C0DC2">
        <w:rPr>
          <w:b/>
          <w:bCs/>
        </w:rPr>
        <w:t xml:space="preserve">Result interpretation: </w:t>
      </w:r>
    </w:p>
    <w:p w14:paraId="118E8EEF" w14:textId="544BC8F5" w:rsidR="00ED4BD0" w:rsidRPr="00D15649" w:rsidRDefault="00F14B80" w:rsidP="00F14B80">
      <w:r>
        <w:t xml:space="preserve">- </w:t>
      </w:r>
      <w:r w:rsidR="003503B2" w:rsidRPr="003503B2">
        <w:t xml:space="preserve">Figure 6 shows the predicted transcription factor binding sites in the TNF </w:t>
      </w:r>
      <w:r w:rsidR="00EC5358">
        <w:t>gene sequence</w:t>
      </w:r>
      <w:r w:rsidR="003503B2" w:rsidRPr="003503B2">
        <w:t xml:space="preserve"> using TFBSPred. </w:t>
      </w:r>
      <w:r w:rsidR="00503F95" w:rsidRPr="00503F95">
        <w:t xml:space="preserve">Binding sites were found for factors such as </w:t>
      </w:r>
      <w:r w:rsidR="00503F95" w:rsidRPr="00D15649">
        <w:t xml:space="preserve">EGR1, ELF5, ERG, and ETS1, with additional </w:t>
      </w:r>
      <w:r w:rsidR="004D3557" w:rsidRPr="00D15649">
        <w:t>factors</w:t>
      </w:r>
      <w:r w:rsidR="00503F95" w:rsidRPr="00D15649">
        <w:t xml:space="preserve"> like PATZ1 </w:t>
      </w:r>
      <w:r w:rsidR="00F1647B">
        <w:t xml:space="preserve">- </w:t>
      </w:r>
      <w:r w:rsidR="00503F95" w:rsidRPr="00D15649">
        <w:t>al</w:t>
      </w:r>
      <w:r w:rsidR="00E47F60">
        <w:t>though not included in</w:t>
      </w:r>
      <w:r w:rsidR="00503F95" w:rsidRPr="00D15649">
        <w:t xml:space="preserve"> this figure.</w:t>
      </w:r>
    </w:p>
    <w:p w14:paraId="69E15BA7" w14:textId="5F586129" w:rsidR="0014545F" w:rsidRDefault="00F14B80">
      <w:r>
        <w:t xml:space="preserve">- </w:t>
      </w:r>
      <w:r w:rsidR="00783981" w:rsidRPr="00783981">
        <w:t xml:space="preserve">Each of these sites could contribute to the regulation of TNF gene expression by allowing specific transcription factors to bind and control activity. </w:t>
      </w:r>
      <w:r w:rsidR="006E67FD">
        <w:t>T</w:t>
      </w:r>
      <w:r w:rsidR="00783981" w:rsidRPr="00783981">
        <w:t>hese predictions highlight possible regulatory elements that may influence TNF function in health and disease</w:t>
      </w:r>
      <w:r w:rsidR="00F97CBD">
        <w:t>.</w:t>
      </w:r>
    </w:p>
    <w:p w14:paraId="7EC659F2" w14:textId="77777777" w:rsidR="0014545F" w:rsidRDefault="0014545F"/>
    <w:p w14:paraId="2CC4E28B" w14:textId="77777777" w:rsidR="0014545F" w:rsidRDefault="0014545F"/>
    <w:p w14:paraId="127B3DA3" w14:textId="77777777" w:rsidR="00B32CD5" w:rsidRDefault="00B32CD5">
      <w:r w:rsidRPr="007D63EF">
        <w:rPr>
          <w:b/>
          <w:bCs/>
        </w:rPr>
        <w:t>Task 6:</w:t>
      </w:r>
      <w:r w:rsidRPr="00B32CD5">
        <w:t xml:space="preserve"> Search for functional motifs in the TNF gene sequence using MEME Suite </w:t>
      </w:r>
    </w:p>
    <w:p w14:paraId="7D3E6375" w14:textId="6DC3FAD9" w:rsidR="000701BF" w:rsidRDefault="00B32CD5">
      <w:r w:rsidRPr="007D63EF">
        <w:rPr>
          <w:b/>
          <w:bCs/>
        </w:rPr>
        <w:t>Tool(s) used:</w:t>
      </w:r>
      <w:r w:rsidRPr="00B32CD5">
        <w:t xml:space="preserve"> MEME Suite</w:t>
      </w:r>
    </w:p>
    <w:p w14:paraId="45EEB9E1" w14:textId="09B2CFCF" w:rsidR="00C9417E" w:rsidRPr="007D63EF" w:rsidRDefault="00C9550A">
      <w:pPr>
        <w:rPr>
          <w:b/>
          <w:bCs/>
        </w:rPr>
      </w:pPr>
      <w:r w:rsidRPr="007D63EF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5FBC91" wp14:editId="5255747A">
            <wp:simplePos x="0" y="0"/>
            <wp:positionH relativeFrom="page">
              <wp:align>right</wp:align>
            </wp:positionH>
            <wp:positionV relativeFrom="paragraph">
              <wp:posOffset>313055</wp:posOffset>
            </wp:positionV>
            <wp:extent cx="7772400" cy="3990975"/>
            <wp:effectExtent l="0" t="0" r="0" b="9525"/>
            <wp:wrapSquare wrapText="bothSides"/>
            <wp:docPr id="543937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7600" name="Picture 5439376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3EF">
        <w:rPr>
          <w:b/>
          <w:bCs/>
        </w:rPr>
        <w:t>Output:</w:t>
      </w:r>
    </w:p>
    <w:p w14:paraId="39C4941D" w14:textId="34D31006" w:rsidR="00C9550A" w:rsidRDefault="00F212EB">
      <w:r w:rsidRPr="00F212EB">
        <w:t>Figure 7: Identification of functional motifs in the TNF gene sequence</w:t>
      </w:r>
    </w:p>
    <w:p w14:paraId="5D001624" w14:textId="77777777" w:rsidR="00F212EB" w:rsidRDefault="00F212EB"/>
    <w:p w14:paraId="64FCB1DB" w14:textId="42DD7241" w:rsidR="002C476D" w:rsidRDefault="00631BC4">
      <w:r w:rsidRPr="00631BC4">
        <w:rPr>
          <w:b/>
          <w:bCs/>
        </w:rPr>
        <w:t>Result interpretation:</w:t>
      </w:r>
      <w:r w:rsidRPr="00631BC4">
        <w:br/>
      </w:r>
      <w:r w:rsidR="00F14B80">
        <w:t xml:space="preserve">- </w:t>
      </w:r>
      <w:r w:rsidRPr="00631BC4">
        <w:t xml:space="preserve">Figure 7 shows three discovered motifs, along with their E-values, sites, lengths, and positions in the </w:t>
      </w:r>
      <w:r w:rsidR="00583F4F">
        <w:t>TNF gene</w:t>
      </w:r>
      <w:r w:rsidRPr="00631BC4">
        <w:t xml:space="preserve"> sequence. </w:t>
      </w:r>
    </w:p>
    <w:p w14:paraId="2C7F2ED5" w14:textId="4D4C5A72" w:rsidR="002C476D" w:rsidRDefault="00F14B80" w:rsidP="00F14B80">
      <w:r>
        <w:t xml:space="preserve">- </w:t>
      </w:r>
      <w:r w:rsidR="00631BC4" w:rsidRPr="00631BC4">
        <w:t>The E-value indicates how statistically significant a motif is. Lower E-values</w:t>
      </w:r>
      <w:r w:rsidR="003E0028">
        <w:t xml:space="preserve"> indicate </w:t>
      </w:r>
      <w:r w:rsidR="001B3502">
        <w:t>greate</w:t>
      </w:r>
      <w:r w:rsidR="00631BC4" w:rsidRPr="00631BC4">
        <w:t xml:space="preserve">r significance, while values above 0.05 are usually considered not significant and are shown in grey by MEME. </w:t>
      </w:r>
    </w:p>
    <w:p w14:paraId="192BCA8F" w14:textId="54EC834C" w:rsidR="00413D26" w:rsidRDefault="00F14B80">
      <w:r>
        <w:t xml:space="preserve">- </w:t>
      </w:r>
      <w:r w:rsidR="00631BC4" w:rsidRPr="00631BC4">
        <w:t xml:space="preserve">In this result, all three motifs have E-values above 0.05, so they are </w:t>
      </w:r>
      <w:r w:rsidR="00631BC4">
        <w:t xml:space="preserve">non-significant and </w:t>
      </w:r>
      <w:r w:rsidR="00631BC4" w:rsidRPr="00631BC4">
        <w:t xml:space="preserve">displayed </w:t>
      </w:r>
      <w:r w:rsidR="002C476D">
        <w:t xml:space="preserve">in </w:t>
      </w:r>
      <w:r w:rsidR="00631BC4">
        <w:t>grey</w:t>
      </w:r>
      <w:r w:rsidR="00631BC4" w:rsidRPr="00631BC4">
        <w:t>.</w:t>
      </w:r>
    </w:p>
    <w:p w14:paraId="7353D970" w14:textId="77777777" w:rsidR="00B35356" w:rsidRDefault="00B35356">
      <w:r w:rsidRPr="00E82F89">
        <w:rPr>
          <w:b/>
          <w:bCs/>
        </w:rPr>
        <w:lastRenderedPageBreak/>
        <w:t xml:space="preserve">Task 7: </w:t>
      </w:r>
      <w:r w:rsidRPr="00B35356">
        <w:t xml:space="preserve">Predict the coding and non-coding regions within the TNF gene sequence </w:t>
      </w:r>
    </w:p>
    <w:p w14:paraId="3B28C66F" w14:textId="7B51270B" w:rsidR="00996AB6" w:rsidRDefault="00B35356">
      <w:r w:rsidRPr="00E82F89">
        <w:rPr>
          <w:b/>
          <w:bCs/>
        </w:rPr>
        <w:t>Tool(s) used:</w:t>
      </w:r>
      <w:r w:rsidRPr="00B35356">
        <w:t xml:space="preserve"> GENSCAN</w:t>
      </w:r>
    </w:p>
    <w:p w14:paraId="3A67D4D6" w14:textId="6669B04B" w:rsidR="00B35356" w:rsidRPr="00E82F89" w:rsidRDefault="00CF1F12">
      <w:pPr>
        <w:rPr>
          <w:b/>
          <w:bCs/>
        </w:rPr>
      </w:pPr>
      <w:r w:rsidRPr="00E82F8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77A2B75" wp14:editId="43381A70">
            <wp:simplePos x="0" y="0"/>
            <wp:positionH relativeFrom="page">
              <wp:align>right</wp:align>
            </wp:positionH>
            <wp:positionV relativeFrom="paragraph">
              <wp:posOffset>461010</wp:posOffset>
            </wp:positionV>
            <wp:extent cx="7772400" cy="3904615"/>
            <wp:effectExtent l="0" t="0" r="0" b="635"/>
            <wp:wrapSquare wrapText="bothSides"/>
            <wp:docPr id="93603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1213" name="Picture 9360312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56" w:rsidRPr="00E82F89">
        <w:rPr>
          <w:b/>
          <w:bCs/>
        </w:rPr>
        <w:t>Output:</w:t>
      </w:r>
    </w:p>
    <w:p w14:paraId="382224E7" w14:textId="01B1379E" w:rsidR="00B35356" w:rsidRDefault="00A7675D">
      <w:r w:rsidRPr="00A7675D">
        <w:t>Figure 8: Identification of coding and non-coding regions within the TNF gene sequence</w:t>
      </w:r>
    </w:p>
    <w:p w14:paraId="07292F1C" w14:textId="77777777" w:rsidR="003A4260" w:rsidRDefault="003A4260"/>
    <w:p w14:paraId="0569BAF1" w14:textId="65BF5CD9" w:rsidR="003A4260" w:rsidRPr="003A4260" w:rsidRDefault="003A4260" w:rsidP="003A4260">
      <w:r w:rsidRPr="003A4260">
        <w:rPr>
          <w:b/>
          <w:bCs/>
        </w:rPr>
        <w:t xml:space="preserve">Result </w:t>
      </w:r>
      <w:r w:rsidR="009C38D7">
        <w:rPr>
          <w:b/>
          <w:bCs/>
        </w:rPr>
        <w:t>i</w:t>
      </w:r>
      <w:r w:rsidRPr="003A4260">
        <w:rPr>
          <w:b/>
          <w:bCs/>
        </w:rPr>
        <w:t>nterpretation:</w:t>
      </w:r>
      <w:r w:rsidRPr="003A4260">
        <w:br/>
      </w:r>
      <w:r w:rsidR="00F14B80">
        <w:t xml:space="preserve">- </w:t>
      </w:r>
      <w:r w:rsidRPr="003A4260">
        <w:t>The output</w:t>
      </w:r>
      <w:r w:rsidR="008F5182">
        <w:t xml:space="preserve"> in figure 8</w:t>
      </w:r>
      <w:r w:rsidRPr="003A4260">
        <w:t xml:space="preserve"> s</w:t>
      </w:r>
      <w:r w:rsidR="00EC6D25">
        <w:t>hows</w:t>
      </w:r>
      <w:r w:rsidRPr="003A4260">
        <w:t xml:space="preserve"> details for each predicted </w:t>
      </w:r>
      <w:r w:rsidR="003D2114">
        <w:t>gene/</w:t>
      </w:r>
      <w:r w:rsidRPr="003A4260">
        <w:t>exon, including sequence length, reading frame, type, strand orientation, and several specific scores (I/AC, Do/T</w:t>
      </w:r>
      <w:r w:rsidR="00224AE8">
        <w:t>, etc</w:t>
      </w:r>
      <w:r w:rsidRPr="003A4260">
        <w:t>).</w:t>
      </w:r>
    </w:p>
    <w:p w14:paraId="44357383" w14:textId="0B815C24" w:rsidR="003A4260" w:rsidRPr="003A4260" w:rsidRDefault="00F14B80" w:rsidP="00F14B80">
      <w:r>
        <w:t xml:space="preserve">- </w:t>
      </w:r>
      <w:r w:rsidR="003A4260" w:rsidRPr="003A4260">
        <w:t>In total, f</w:t>
      </w:r>
      <w:r w:rsidR="00446F58">
        <w:t xml:space="preserve">our </w:t>
      </w:r>
      <w:r w:rsidR="003A4260" w:rsidRPr="003A4260">
        <w:t>exon</w:t>
      </w:r>
      <w:r w:rsidR="00C50003">
        <w:t>s</w:t>
      </w:r>
      <w:r w:rsidR="003A4260" w:rsidRPr="003A4260">
        <w:t xml:space="preserve"> </w:t>
      </w:r>
      <w:r w:rsidR="002D3B6F">
        <w:t>were</w:t>
      </w:r>
      <w:r w:rsidR="003A4260" w:rsidRPr="003A4260">
        <w:t xml:space="preserve"> predicted: two internal (Intr), one initial (Init), one terminal (Term), </w:t>
      </w:r>
      <w:r w:rsidR="00D6675E">
        <w:t xml:space="preserve">followed by </w:t>
      </w:r>
      <w:r w:rsidR="003A4260" w:rsidRPr="003A4260">
        <w:t>one</w:t>
      </w:r>
      <w:r w:rsidR="00A51575">
        <w:t xml:space="preserve"> predicted</w:t>
      </w:r>
      <w:r w:rsidR="003A4260" w:rsidRPr="003A4260">
        <w:t xml:space="preserve"> polyA </w:t>
      </w:r>
      <w:r w:rsidR="0070128B">
        <w:t>site</w:t>
      </w:r>
      <w:r w:rsidR="00276DEB">
        <w:t xml:space="preserve"> (PlyA)</w:t>
      </w:r>
      <w:r w:rsidR="003A4260" w:rsidRPr="003A4260">
        <w:t xml:space="preserve">. All of these are located on the positive </w:t>
      </w:r>
      <w:r w:rsidR="0040609D">
        <w:t xml:space="preserve">(+) </w:t>
      </w:r>
      <w:r w:rsidR="003A4260" w:rsidRPr="003A4260">
        <w:t>strand</w:t>
      </w:r>
      <w:r w:rsidR="0040609D">
        <w:t xml:space="preserve">, </w:t>
      </w:r>
      <w:r w:rsidR="003A4260" w:rsidRPr="003A4260">
        <w:t>as indicated in the third column</w:t>
      </w:r>
      <w:r w:rsidR="0040609D">
        <w:t xml:space="preserve"> (S)</w:t>
      </w:r>
      <w:r w:rsidR="003B0BF5">
        <w:t xml:space="preserve">; </w:t>
      </w:r>
      <w:r w:rsidR="003A4260" w:rsidRPr="003A4260">
        <w:t>and most show high probability values.</w:t>
      </w:r>
    </w:p>
    <w:p w14:paraId="7A211EA6" w14:textId="3BD32FD7" w:rsidR="00D7509D" w:rsidRDefault="00F14B80">
      <w:r>
        <w:t xml:space="preserve">- </w:t>
      </w:r>
      <w:r w:rsidR="003A4260" w:rsidRPr="003A4260">
        <w:t>It should be noted that predict</w:t>
      </w:r>
      <w:r w:rsidR="00D34527">
        <w:t>ed exons</w:t>
      </w:r>
      <w:r w:rsidR="003A4260" w:rsidRPr="003A4260">
        <w:t xml:space="preserve"> with higher probabilities are</w:t>
      </w:r>
      <w:r w:rsidR="00705AAA">
        <w:t xml:space="preserve"> gener</w:t>
      </w:r>
      <w:r w:rsidR="003A4260" w:rsidRPr="003A4260">
        <w:t>ally more reliable than those with lower ones.</w:t>
      </w:r>
    </w:p>
    <w:p w14:paraId="21961EA7" w14:textId="77777777" w:rsidR="00951898" w:rsidRDefault="00951898"/>
    <w:p w14:paraId="27D323AE" w14:textId="77777777" w:rsidR="008976E8" w:rsidRDefault="008976E8"/>
    <w:p w14:paraId="0379085E" w14:textId="77777777" w:rsidR="008976E8" w:rsidRDefault="008976E8">
      <w:r w:rsidRPr="00A067B3">
        <w:rPr>
          <w:b/>
          <w:bCs/>
        </w:rPr>
        <w:lastRenderedPageBreak/>
        <w:t>Task 8:</w:t>
      </w:r>
      <w:r w:rsidRPr="008976E8">
        <w:t xml:space="preserve"> Convert the TNF gene sequence from FASTA format to PHYLIP format </w:t>
      </w:r>
    </w:p>
    <w:p w14:paraId="472E0229" w14:textId="220B4D2E" w:rsidR="00604174" w:rsidRDefault="00604174" w:rsidP="00604174">
      <w:r w:rsidRPr="00A067B3">
        <w:rPr>
          <w:b/>
          <w:bCs/>
        </w:rPr>
        <w:t>Tool(s) used:</w:t>
      </w:r>
      <w:r w:rsidRPr="00F018E0">
        <w:t xml:space="preserve"> BioEdit </w:t>
      </w:r>
    </w:p>
    <w:p w14:paraId="07D30377" w14:textId="5C24D8E7" w:rsidR="008976E8" w:rsidRDefault="008976E8">
      <w:r w:rsidRPr="00A067B3">
        <w:rPr>
          <w:b/>
          <w:bCs/>
        </w:rPr>
        <w:t xml:space="preserve">Output: </w:t>
      </w:r>
      <w:r w:rsidR="00604174">
        <w:t xml:space="preserve">Included </w:t>
      </w:r>
      <w:r w:rsidR="00625C52">
        <w:t>within th</w:t>
      </w:r>
      <w:r w:rsidR="00911CD8">
        <w:t>e upload</w:t>
      </w:r>
    </w:p>
    <w:p w14:paraId="09541333" w14:textId="77777777" w:rsidR="00A7675D" w:rsidRDefault="00A7675D"/>
    <w:p w14:paraId="07FC9171" w14:textId="77777777" w:rsidR="00A7675D" w:rsidRPr="00585792" w:rsidRDefault="00A7675D"/>
    <w:sectPr w:rsidR="00A7675D" w:rsidRPr="0058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F05"/>
    <w:multiLevelType w:val="hybridMultilevel"/>
    <w:tmpl w:val="82E88560"/>
    <w:lvl w:ilvl="0" w:tplc="7DE89E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36D"/>
    <w:multiLevelType w:val="hybridMultilevel"/>
    <w:tmpl w:val="BE488AD6"/>
    <w:lvl w:ilvl="0" w:tplc="70F4B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6A5"/>
    <w:multiLevelType w:val="hybridMultilevel"/>
    <w:tmpl w:val="03680B74"/>
    <w:lvl w:ilvl="0" w:tplc="EA764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C00B2"/>
    <w:multiLevelType w:val="hybridMultilevel"/>
    <w:tmpl w:val="4860DD98"/>
    <w:lvl w:ilvl="0" w:tplc="65E44C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130"/>
    <w:multiLevelType w:val="hybridMultilevel"/>
    <w:tmpl w:val="9B98AB1E"/>
    <w:lvl w:ilvl="0" w:tplc="936E59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43CD5"/>
    <w:multiLevelType w:val="hybridMultilevel"/>
    <w:tmpl w:val="5450D5E2"/>
    <w:lvl w:ilvl="0" w:tplc="DA0480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60F5A"/>
    <w:multiLevelType w:val="hybridMultilevel"/>
    <w:tmpl w:val="CD5E459C"/>
    <w:lvl w:ilvl="0" w:tplc="603421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67686">
    <w:abstractNumId w:val="1"/>
  </w:num>
  <w:num w:numId="2" w16cid:durableId="1882663834">
    <w:abstractNumId w:val="2"/>
  </w:num>
  <w:num w:numId="3" w16cid:durableId="1805804141">
    <w:abstractNumId w:val="0"/>
  </w:num>
  <w:num w:numId="4" w16cid:durableId="1099520145">
    <w:abstractNumId w:val="5"/>
  </w:num>
  <w:num w:numId="5" w16cid:durableId="1751534705">
    <w:abstractNumId w:val="4"/>
  </w:num>
  <w:num w:numId="6" w16cid:durableId="1350370845">
    <w:abstractNumId w:val="6"/>
  </w:num>
  <w:num w:numId="7" w16cid:durableId="5462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FC"/>
    <w:rsid w:val="00012554"/>
    <w:rsid w:val="00055EA4"/>
    <w:rsid w:val="00062759"/>
    <w:rsid w:val="00065847"/>
    <w:rsid w:val="000701BF"/>
    <w:rsid w:val="0008430C"/>
    <w:rsid w:val="00092A00"/>
    <w:rsid w:val="000F176E"/>
    <w:rsid w:val="0010671E"/>
    <w:rsid w:val="0014545F"/>
    <w:rsid w:val="001B3502"/>
    <w:rsid w:val="001D0A4E"/>
    <w:rsid w:val="00224AE8"/>
    <w:rsid w:val="002400BE"/>
    <w:rsid w:val="00276DEB"/>
    <w:rsid w:val="002822DE"/>
    <w:rsid w:val="002C0DC2"/>
    <w:rsid w:val="002C476D"/>
    <w:rsid w:val="002C5325"/>
    <w:rsid w:val="002D3B6F"/>
    <w:rsid w:val="002E28B8"/>
    <w:rsid w:val="002F2E12"/>
    <w:rsid w:val="00326A09"/>
    <w:rsid w:val="00326F9E"/>
    <w:rsid w:val="00345A99"/>
    <w:rsid w:val="003503B2"/>
    <w:rsid w:val="00367E5C"/>
    <w:rsid w:val="00396DCF"/>
    <w:rsid w:val="003A4260"/>
    <w:rsid w:val="003B0BF5"/>
    <w:rsid w:val="003B3005"/>
    <w:rsid w:val="003D2114"/>
    <w:rsid w:val="003E0028"/>
    <w:rsid w:val="003E5796"/>
    <w:rsid w:val="00402F33"/>
    <w:rsid w:val="0040609D"/>
    <w:rsid w:val="00413D26"/>
    <w:rsid w:val="00437483"/>
    <w:rsid w:val="00446F58"/>
    <w:rsid w:val="00485739"/>
    <w:rsid w:val="004A5291"/>
    <w:rsid w:val="004B2A2A"/>
    <w:rsid w:val="004B7534"/>
    <w:rsid w:val="004D3557"/>
    <w:rsid w:val="004D651F"/>
    <w:rsid w:val="00503F95"/>
    <w:rsid w:val="005222FA"/>
    <w:rsid w:val="00555C8E"/>
    <w:rsid w:val="00555F63"/>
    <w:rsid w:val="00562889"/>
    <w:rsid w:val="00573BEA"/>
    <w:rsid w:val="00582AA6"/>
    <w:rsid w:val="00583F4F"/>
    <w:rsid w:val="00585792"/>
    <w:rsid w:val="005A35F4"/>
    <w:rsid w:val="005A727C"/>
    <w:rsid w:val="00602B25"/>
    <w:rsid w:val="00604174"/>
    <w:rsid w:val="00625C52"/>
    <w:rsid w:val="00631BC4"/>
    <w:rsid w:val="006510F8"/>
    <w:rsid w:val="00667B2A"/>
    <w:rsid w:val="00693ADE"/>
    <w:rsid w:val="006A1FC0"/>
    <w:rsid w:val="006D2781"/>
    <w:rsid w:val="006E0854"/>
    <w:rsid w:val="006E4DC9"/>
    <w:rsid w:val="006E67FD"/>
    <w:rsid w:val="0070128B"/>
    <w:rsid w:val="00705AAA"/>
    <w:rsid w:val="00707ED8"/>
    <w:rsid w:val="00724159"/>
    <w:rsid w:val="007819C2"/>
    <w:rsid w:val="00783981"/>
    <w:rsid w:val="00797EFC"/>
    <w:rsid w:val="007C2EEA"/>
    <w:rsid w:val="007C3FB5"/>
    <w:rsid w:val="007D63EF"/>
    <w:rsid w:val="007F1F8E"/>
    <w:rsid w:val="008036AC"/>
    <w:rsid w:val="008061C1"/>
    <w:rsid w:val="00821E93"/>
    <w:rsid w:val="008976E8"/>
    <w:rsid w:val="008A1B5C"/>
    <w:rsid w:val="008F4EC8"/>
    <w:rsid w:val="008F5182"/>
    <w:rsid w:val="008F55CE"/>
    <w:rsid w:val="00911CD8"/>
    <w:rsid w:val="00931AE5"/>
    <w:rsid w:val="00931B71"/>
    <w:rsid w:val="009357AA"/>
    <w:rsid w:val="00936C3F"/>
    <w:rsid w:val="00951898"/>
    <w:rsid w:val="00963895"/>
    <w:rsid w:val="0099633D"/>
    <w:rsid w:val="00996AB6"/>
    <w:rsid w:val="009B6E8B"/>
    <w:rsid w:val="009C38D7"/>
    <w:rsid w:val="00A067B3"/>
    <w:rsid w:val="00A11FB8"/>
    <w:rsid w:val="00A44EA4"/>
    <w:rsid w:val="00A51575"/>
    <w:rsid w:val="00A7675D"/>
    <w:rsid w:val="00AA37FA"/>
    <w:rsid w:val="00AC6369"/>
    <w:rsid w:val="00AE04EC"/>
    <w:rsid w:val="00B04E5C"/>
    <w:rsid w:val="00B1661D"/>
    <w:rsid w:val="00B32CD5"/>
    <w:rsid w:val="00B35356"/>
    <w:rsid w:val="00B42554"/>
    <w:rsid w:val="00B56AC7"/>
    <w:rsid w:val="00B926CC"/>
    <w:rsid w:val="00B95C92"/>
    <w:rsid w:val="00BD2F85"/>
    <w:rsid w:val="00BE6DAE"/>
    <w:rsid w:val="00C13224"/>
    <w:rsid w:val="00C46E62"/>
    <w:rsid w:val="00C50003"/>
    <w:rsid w:val="00C63F5B"/>
    <w:rsid w:val="00C9417E"/>
    <w:rsid w:val="00C9550A"/>
    <w:rsid w:val="00CF1F12"/>
    <w:rsid w:val="00D15649"/>
    <w:rsid w:val="00D34527"/>
    <w:rsid w:val="00D63135"/>
    <w:rsid w:val="00D657C6"/>
    <w:rsid w:val="00D6675E"/>
    <w:rsid w:val="00D7509D"/>
    <w:rsid w:val="00DA6D51"/>
    <w:rsid w:val="00DE6BAB"/>
    <w:rsid w:val="00E23C6B"/>
    <w:rsid w:val="00E27987"/>
    <w:rsid w:val="00E325A1"/>
    <w:rsid w:val="00E47F60"/>
    <w:rsid w:val="00E55E67"/>
    <w:rsid w:val="00E82F89"/>
    <w:rsid w:val="00E846FC"/>
    <w:rsid w:val="00EA6381"/>
    <w:rsid w:val="00EC5358"/>
    <w:rsid w:val="00EC59C5"/>
    <w:rsid w:val="00EC6D25"/>
    <w:rsid w:val="00ED4BD0"/>
    <w:rsid w:val="00EE4E0F"/>
    <w:rsid w:val="00F018E0"/>
    <w:rsid w:val="00F14B80"/>
    <w:rsid w:val="00F14C84"/>
    <w:rsid w:val="00F1647B"/>
    <w:rsid w:val="00F212EB"/>
    <w:rsid w:val="00F4099A"/>
    <w:rsid w:val="00F45EBA"/>
    <w:rsid w:val="00F92BC2"/>
    <w:rsid w:val="00F97CBD"/>
    <w:rsid w:val="00F97E1E"/>
    <w:rsid w:val="00FB0E32"/>
    <w:rsid w:val="00FE006C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A99"/>
  <w15:chartTrackingRefBased/>
  <w15:docId w15:val="{F488F6B0-B31C-486E-8C53-775D1832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9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Sharp</dc:creator>
  <cp:keywords/>
  <dc:description/>
  <cp:lastModifiedBy>Anne-Marie Sharp</cp:lastModifiedBy>
  <cp:revision>149</cp:revision>
  <dcterms:created xsi:type="dcterms:W3CDTF">2025-09-04T14:59:00Z</dcterms:created>
  <dcterms:modified xsi:type="dcterms:W3CDTF">2025-09-08T14:55:00Z</dcterms:modified>
</cp:coreProperties>
</file>