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DA910" w14:textId="77777777" w:rsidR="00945E4C" w:rsidRPr="00E24F63" w:rsidRDefault="00945E4C" w:rsidP="009975C2">
      <w:pPr>
        <w:pStyle w:val="Heading1"/>
      </w:pPr>
      <w:bookmarkStart w:id="0" w:name="_Toc290369924"/>
      <w:bookmarkStart w:id="1" w:name="_Toc27064080"/>
      <w:r w:rsidRPr="00E24F63">
        <w:t>Project Name:</w:t>
      </w:r>
      <w:bookmarkEnd w:id="0"/>
      <w:bookmarkEnd w:id="1"/>
      <w:r w:rsidR="004B268A" w:rsidRPr="00E24F63">
        <w:t xml:space="preserve"> </w:t>
      </w:r>
    </w:p>
    <w:p w14:paraId="694BA027" w14:textId="069CED40" w:rsidR="00C769FB" w:rsidRPr="008E2A21" w:rsidRDefault="00151A85" w:rsidP="008E2A21">
      <w:pPr>
        <w:pStyle w:val="Heading4"/>
        <w:rPr>
          <w:smallCaps/>
          <w:spacing w:val="5"/>
        </w:rPr>
      </w:pPr>
      <w:r>
        <w:t>The predictive effect of</w:t>
      </w:r>
      <w:r w:rsidR="00020100">
        <w:t xml:space="preserve"> measures of mental health and emotional response</w:t>
      </w:r>
      <w:r>
        <w:t xml:space="preserve"> on </w:t>
      </w:r>
      <w:r w:rsidR="00327DB1">
        <w:t xml:space="preserve">presence of </w:t>
      </w:r>
      <w:r>
        <w:t xml:space="preserve">gastrointestinal </w:t>
      </w:r>
      <w:r w:rsidRPr="00151A85">
        <w:rPr>
          <w:i/>
          <w:iCs/>
        </w:rPr>
        <w:t>Bifidobacterium</w:t>
      </w:r>
    </w:p>
    <w:p w14:paraId="1DE04D8F" w14:textId="6C86D9E8" w:rsidR="00AD2247" w:rsidRPr="00327DB1" w:rsidRDefault="004A3A53" w:rsidP="00327DB1">
      <w:pPr>
        <w:pStyle w:val="Heading1"/>
      </w:pPr>
      <w:bookmarkStart w:id="2" w:name="_Toc27064081"/>
      <w:r>
        <w:t>Project Team</w:t>
      </w:r>
      <w:bookmarkStart w:id="3" w:name="_GoBack"/>
      <w:bookmarkEnd w:id="2"/>
      <w:bookmarkEnd w:id="3"/>
    </w:p>
    <w:p w14:paraId="410C1EB2" w14:textId="7946723A" w:rsidR="00AD2247" w:rsidRDefault="00151A85" w:rsidP="00AD2247">
      <w:pPr>
        <w:spacing w:after="0"/>
        <w:ind w:left="3060" w:hanging="2340"/>
        <w:rPr>
          <w:rStyle w:val="Hyperlink"/>
          <w:rFonts w:cs="Calibri"/>
          <w:i/>
        </w:rPr>
      </w:pPr>
      <w:r>
        <w:rPr>
          <w:rFonts w:cs="Calibri"/>
          <w:i/>
        </w:rPr>
        <w:t xml:space="preserve">Annemarie Krug </w:t>
      </w:r>
      <w:hyperlink r:id="rId8" w:history="1">
        <w:r>
          <w:rPr>
            <w:rStyle w:val="Hyperlink"/>
            <w:rFonts w:cs="Calibri"/>
            <w:i/>
          </w:rPr>
          <w:t>arkrug2</w:t>
        </w:r>
        <w:r w:rsidR="00AD7CEA">
          <w:rPr>
            <w:rStyle w:val="Hyperlink"/>
            <w:rFonts w:cs="Calibri"/>
            <w:i/>
          </w:rPr>
          <w:t xml:space="preserve"> </w:t>
        </w:r>
        <w:r w:rsidR="00AD2247" w:rsidRPr="009B0983">
          <w:rPr>
            <w:rStyle w:val="Hyperlink"/>
            <w:rFonts w:cs="Calibri"/>
            <w:i/>
          </w:rPr>
          <w:t>@</w:t>
        </w:r>
        <w:r w:rsidR="00AD7CEA">
          <w:rPr>
            <w:rStyle w:val="Hyperlink"/>
            <w:rFonts w:cs="Calibri"/>
            <w:i/>
          </w:rPr>
          <w:t>illinois</w:t>
        </w:r>
      </w:hyperlink>
      <w:r>
        <w:rPr>
          <w:rStyle w:val="Hyperlink"/>
          <w:rFonts w:cs="Calibri"/>
          <w:i/>
        </w:rPr>
        <w:t>.edu</w:t>
      </w:r>
    </w:p>
    <w:p w14:paraId="1E991043" w14:textId="49F8D6E8" w:rsidR="00327DB1" w:rsidRPr="00327DB1" w:rsidRDefault="00327DB1" w:rsidP="00327DB1">
      <w:pPr>
        <w:spacing w:after="0"/>
        <w:ind w:left="3060" w:hanging="2340"/>
        <w:rPr>
          <w:rStyle w:val="Hyperlink"/>
          <w:rFonts w:cs="Calibri"/>
          <w:i/>
          <w:color w:val="auto"/>
          <w:u w:val="none"/>
        </w:rPr>
      </w:pPr>
      <w:proofErr w:type="spellStart"/>
      <w:r w:rsidRPr="00AD2247">
        <w:rPr>
          <w:rFonts w:cs="Calibri"/>
          <w:i/>
        </w:rPr>
        <w:t>Elhan</w:t>
      </w:r>
      <w:proofErr w:type="spellEnd"/>
      <w:r w:rsidRPr="00AD2247">
        <w:rPr>
          <w:rFonts w:cs="Calibri"/>
          <w:i/>
        </w:rPr>
        <w:t xml:space="preserve"> </w:t>
      </w:r>
      <w:proofErr w:type="spellStart"/>
      <w:r w:rsidRPr="00AD2247">
        <w:rPr>
          <w:rFonts w:cs="Calibri"/>
          <w:i/>
        </w:rPr>
        <w:t>Ersoz</w:t>
      </w:r>
      <w:proofErr w:type="spellEnd"/>
      <w:r w:rsidRPr="00AD2247">
        <w:rPr>
          <w:rFonts w:cs="Calibri"/>
          <w:i/>
        </w:rPr>
        <w:t xml:space="preserve"> </w:t>
      </w:r>
      <w:hyperlink r:id="rId9" w:history="1">
        <w:r>
          <w:rPr>
            <w:rStyle w:val="Hyperlink"/>
            <w:rFonts w:cs="Calibri"/>
            <w:i/>
          </w:rPr>
          <w:t>ese@illinois.edu</w:t>
        </w:r>
      </w:hyperlink>
    </w:p>
    <w:p w14:paraId="090271E7" w14:textId="77777777" w:rsidR="00804CD6" w:rsidRDefault="00AD7CEA" w:rsidP="00AD7CEA">
      <w:pPr>
        <w:spacing w:after="0"/>
        <w:ind w:left="3060" w:hanging="2340"/>
        <w:rPr>
          <w:rFonts w:cs="Calibri"/>
          <w:i/>
        </w:rPr>
      </w:pPr>
      <w:r>
        <w:rPr>
          <w:rFonts w:cs="Calibri"/>
          <w:i/>
        </w:rPr>
        <w:t>CPSC541 -Fall 2019 Class</w:t>
      </w:r>
    </w:p>
    <w:sdt>
      <w:sdtPr>
        <w:rPr>
          <w:rFonts w:asciiTheme="minorHAnsi" w:eastAsiaTheme="minorHAnsi" w:hAnsiTheme="minorHAnsi" w:cstheme="minorBidi"/>
          <w:bCs/>
          <w:color w:val="auto"/>
          <w:sz w:val="22"/>
          <w:szCs w:val="22"/>
        </w:rPr>
        <w:id w:val="352637028"/>
        <w:docPartObj>
          <w:docPartGallery w:val="Table of Contents"/>
          <w:docPartUnique/>
        </w:docPartObj>
      </w:sdtPr>
      <w:sdtEndPr>
        <w:rPr>
          <w:rFonts w:eastAsiaTheme="minorEastAsia"/>
          <w:bCs w:val="0"/>
          <w:sz w:val="20"/>
          <w:szCs w:val="20"/>
        </w:rPr>
      </w:sdtEndPr>
      <w:sdtContent>
        <w:p w14:paraId="3DD85939" w14:textId="77777777" w:rsidR="00964635" w:rsidRPr="006F5701" w:rsidRDefault="00964635" w:rsidP="009975C2">
          <w:pPr>
            <w:pStyle w:val="TOCHeading"/>
          </w:pPr>
          <w:r w:rsidRPr="006F5701">
            <w:t>Contents</w:t>
          </w:r>
        </w:p>
        <w:p w14:paraId="38E90323" w14:textId="65123995" w:rsidR="00B6313E" w:rsidRDefault="00A554F5">
          <w:pPr>
            <w:pStyle w:val="TOC1"/>
            <w:tabs>
              <w:tab w:val="right" w:leader="dot" w:pos="9710"/>
            </w:tabs>
            <w:rPr>
              <w:noProof/>
              <w:sz w:val="22"/>
              <w:szCs w:val="22"/>
            </w:rPr>
          </w:pPr>
          <w:r w:rsidRPr="006F5701">
            <w:fldChar w:fldCharType="begin"/>
          </w:r>
          <w:r w:rsidR="00964635" w:rsidRPr="006F5701">
            <w:instrText xml:space="preserve"> TOC \o "1-3" \h \z \u </w:instrText>
          </w:r>
          <w:r w:rsidRPr="006F5701">
            <w:fldChar w:fldCharType="separate"/>
          </w:r>
          <w:hyperlink w:anchor="_Toc27064080" w:history="1">
            <w:r w:rsidR="00B6313E" w:rsidRPr="00B1420E">
              <w:rPr>
                <w:rStyle w:val="Hyperlink"/>
                <w:noProof/>
              </w:rPr>
              <w:t>Project Name:</w:t>
            </w:r>
            <w:r w:rsidR="00B6313E">
              <w:rPr>
                <w:noProof/>
                <w:webHidden/>
              </w:rPr>
              <w:tab/>
            </w:r>
            <w:r w:rsidR="00B6313E">
              <w:rPr>
                <w:noProof/>
                <w:webHidden/>
              </w:rPr>
              <w:fldChar w:fldCharType="begin"/>
            </w:r>
            <w:r w:rsidR="00B6313E">
              <w:rPr>
                <w:noProof/>
                <w:webHidden/>
              </w:rPr>
              <w:instrText xml:space="preserve"> PAGEREF _Toc27064080 \h </w:instrText>
            </w:r>
            <w:r w:rsidR="00B6313E">
              <w:rPr>
                <w:noProof/>
                <w:webHidden/>
              </w:rPr>
            </w:r>
            <w:r w:rsidR="00B6313E">
              <w:rPr>
                <w:noProof/>
                <w:webHidden/>
              </w:rPr>
              <w:fldChar w:fldCharType="separate"/>
            </w:r>
            <w:r w:rsidR="00B6313E">
              <w:rPr>
                <w:noProof/>
                <w:webHidden/>
              </w:rPr>
              <w:t>1</w:t>
            </w:r>
            <w:r w:rsidR="00B6313E">
              <w:rPr>
                <w:noProof/>
                <w:webHidden/>
              </w:rPr>
              <w:fldChar w:fldCharType="end"/>
            </w:r>
          </w:hyperlink>
        </w:p>
        <w:p w14:paraId="5E2A1C5F" w14:textId="61A45CAB" w:rsidR="00B6313E" w:rsidRDefault="00B6313E">
          <w:pPr>
            <w:pStyle w:val="TOC1"/>
            <w:tabs>
              <w:tab w:val="right" w:leader="dot" w:pos="9710"/>
            </w:tabs>
            <w:rPr>
              <w:noProof/>
              <w:sz w:val="22"/>
              <w:szCs w:val="22"/>
            </w:rPr>
          </w:pPr>
          <w:hyperlink w:anchor="_Toc27064081" w:history="1">
            <w:r w:rsidRPr="00B1420E">
              <w:rPr>
                <w:rStyle w:val="Hyperlink"/>
                <w:noProof/>
              </w:rPr>
              <w:t>Project Team</w:t>
            </w:r>
            <w:r>
              <w:rPr>
                <w:noProof/>
                <w:webHidden/>
              </w:rPr>
              <w:tab/>
            </w:r>
            <w:r>
              <w:rPr>
                <w:noProof/>
                <w:webHidden/>
              </w:rPr>
              <w:fldChar w:fldCharType="begin"/>
            </w:r>
            <w:r>
              <w:rPr>
                <w:noProof/>
                <w:webHidden/>
              </w:rPr>
              <w:instrText xml:space="preserve"> PAGEREF _Toc27064081 \h </w:instrText>
            </w:r>
            <w:r>
              <w:rPr>
                <w:noProof/>
                <w:webHidden/>
              </w:rPr>
            </w:r>
            <w:r>
              <w:rPr>
                <w:noProof/>
                <w:webHidden/>
              </w:rPr>
              <w:fldChar w:fldCharType="separate"/>
            </w:r>
            <w:r>
              <w:rPr>
                <w:noProof/>
                <w:webHidden/>
              </w:rPr>
              <w:t>1</w:t>
            </w:r>
            <w:r>
              <w:rPr>
                <w:noProof/>
                <w:webHidden/>
              </w:rPr>
              <w:fldChar w:fldCharType="end"/>
            </w:r>
          </w:hyperlink>
        </w:p>
        <w:p w14:paraId="108F4D5E" w14:textId="4946176E" w:rsidR="00B6313E" w:rsidRDefault="00B6313E">
          <w:pPr>
            <w:pStyle w:val="TOC1"/>
            <w:tabs>
              <w:tab w:val="right" w:leader="dot" w:pos="9710"/>
            </w:tabs>
            <w:rPr>
              <w:noProof/>
              <w:sz w:val="22"/>
              <w:szCs w:val="22"/>
            </w:rPr>
          </w:pPr>
          <w:hyperlink w:anchor="_Toc27064082" w:history="1">
            <w:r w:rsidRPr="00B1420E">
              <w:rPr>
                <w:rStyle w:val="Hyperlink"/>
                <w:noProof/>
              </w:rPr>
              <w:t>Objectives</w:t>
            </w:r>
            <w:r>
              <w:rPr>
                <w:noProof/>
                <w:webHidden/>
              </w:rPr>
              <w:tab/>
            </w:r>
            <w:r>
              <w:rPr>
                <w:noProof/>
                <w:webHidden/>
              </w:rPr>
              <w:fldChar w:fldCharType="begin"/>
            </w:r>
            <w:r>
              <w:rPr>
                <w:noProof/>
                <w:webHidden/>
              </w:rPr>
              <w:instrText xml:space="preserve"> PAGEREF _Toc27064082 \h </w:instrText>
            </w:r>
            <w:r>
              <w:rPr>
                <w:noProof/>
                <w:webHidden/>
              </w:rPr>
            </w:r>
            <w:r>
              <w:rPr>
                <w:noProof/>
                <w:webHidden/>
              </w:rPr>
              <w:fldChar w:fldCharType="separate"/>
            </w:r>
            <w:r>
              <w:rPr>
                <w:noProof/>
                <w:webHidden/>
              </w:rPr>
              <w:t>1</w:t>
            </w:r>
            <w:r>
              <w:rPr>
                <w:noProof/>
                <w:webHidden/>
              </w:rPr>
              <w:fldChar w:fldCharType="end"/>
            </w:r>
          </w:hyperlink>
        </w:p>
        <w:p w14:paraId="6497D55B" w14:textId="2CA09FAF" w:rsidR="00B6313E" w:rsidRDefault="00B6313E">
          <w:pPr>
            <w:pStyle w:val="TOC1"/>
            <w:tabs>
              <w:tab w:val="right" w:leader="dot" w:pos="9710"/>
            </w:tabs>
            <w:rPr>
              <w:noProof/>
              <w:sz w:val="22"/>
              <w:szCs w:val="22"/>
            </w:rPr>
          </w:pPr>
          <w:hyperlink w:anchor="_Toc27064083" w:history="1">
            <w:r w:rsidRPr="00B1420E">
              <w:rPr>
                <w:rStyle w:val="Hyperlink"/>
                <w:noProof/>
              </w:rPr>
              <w:t>Milestones</w:t>
            </w:r>
            <w:r>
              <w:rPr>
                <w:noProof/>
                <w:webHidden/>
              </w:rPr>
              <w:tab/>
            </w:r>
            <w:r>
              <w:rPr>
                <w:noProof/>
                <w:webHidden/>
              </w:rPr>
              <w:fldChar w:fldCharType="begin"/>
            </w:r>
            <w:r>
              <w:rPr>
                <w:noProof/>
                <w:webHidden/>
              </w:rPr>
              <w:instrText xml:space="preserve"> PAGEREF _Toc27064083 \h </w:instrText>
            </w:r>
            <w:r>
              <w:rPr>
                <w:noProof/>
                <w:webHidden/>
              </w:rPr>
            </w:r>
            <w:r>
              <w:rPr>
                <w:noProof/>
                <w:webHidden/>
              </w:rPr>
              <w:fldChar w:fldCharType="separate"/>
            </w:r>
            <w:r>
              <w:rPr>
                <w:noProof/>
                <w:webHidden/>
              </w:rPr>
              <w:t>1</w:t>
            </w:r>
            <w:r>
              <w:rPr>
                <w:noProof/>
                <w:webHidden/>
              </w:rPr>
              <w:fldChar w:fldCharType="end"/>
            </w:r>
          </w:hyperlink>
        </w:p>
        <w:p w14:paraId="2FE0E577" w14:textId="26E8C42B" w:rsidR="00B6313E" w:rsidRDefault="00B6313E">
          <w:pPr>
            <w:pStyle w:val="TOC1"/>
            <w:tabs>
              <w:tab w:val="right" w:leader="dot" w:pos="9710"/>
            </w:tabs>
            <w:rPr>
              <w:noProof/>
              <w:sz w:val="22"/>
              <w:szCs w:val="22"/>
            </w:rPr>
          </w:pPr>
          <w:hyperlink w:anchor="_Toc27064084" w:history="1">
            <w:r w:rsidRPr="00B1420E">
              <w:rPr>
                <w:rStyle w:val="Hyperlink"/>
                <w:noProof/>
              </w:rPr>
              <w:t>Background</w:t>
            </w:r>
            <w:r>
              <w:rPr>
                <w:noProof/>
                <w:webHidden/>
              </w:rPr>
              <w:tab/>
            </w:r>
            <w:r>
              <w:rPr>
                <w:noProof/>
                <w:webHidden/>
              </w:rPr>
              <w:fldChar w:fldCharType="begin"/>
            </w:r>
            <w:r>
              <w:rPr>
                <w:noProof/>
                <w:webHidden/>
              </w:rPr>
              <w:instrText xml:space="preserve"> PAGEREF _Toc27064084 \h </w:instrText>
            </w:r>
            <w:r>
              <w:rPr>
                <w:noProof/>
                <w:webHidden/>
              </w:rPr>
            </w:r>
            <w:r>
              <w:rPr>
                <w:noProof/>
                <w:webHidden/>
              </w:rPr>
              <w:fldChar w:fldCharType="separate"/>
            </w:r>
            <w:r>
              <w:rPr>
                <w:noProof/>
                <w:webHidden/>
              </w:rPr>
              <w:t>2</w:t>
            </w:r>
            <w:r>
              <w:rPr>
                <w:noProof/>
                <w:webHidden/>
              </w:rPr>
              <w:fldChar w:fldCharType="end"/>
            </w:r>
          </w:hyperlink>
        </w:p>
        <w:p w14:paraId="61CFE52A" w14:textId="1BD9BFEA" w:rsidR="00B6313E" w:rsidRDefault="00B6313E">
          <w:pPr>
            <w:pStyle w:val="TOC1"/>
            <w:tabs>
              <w:tab w:val="right" w:leader="dot" w:pos="9710"/>
            </w:tabs>
            <w:rPr>
              <w:noProof/>
              <w:sz w:val="22"/>
              <w:szCs w:val="22"/>
            </w:rPr>
          </w:pPr>
          <w:hyperlink w:anchor="_Toc27064085" w:history="1">
            <w:r w:rsidRPr="00B1420E">
              <w:rPr>
                <w:rStyle w:val="Hyperlink"/>
                <w:noProof/>
              </w:rPr>
              <w:t>Methodology and Technical Approach</w:t>
            </w:r>
            <w:r>
              <w:rPr>
                <w:noProof/>
                <w:webHidden/>
              </w:rPr>
              <w:tab/>
            </w:r>
            <w:r>
              <w:rPr>
                <w:noProof/>
                <w:webHidden/>
              </w:rPr>
              <w:fldChar w:fldCharType="begin"/>
            </w:r>
            <w:r>
              <w:rPr>
                <w:noProof/>
                <w:webHidden/>
              </w:rPr>
              <w:instrText xml:space="preserve"> PAGEREF _Toc27064085 \h </w:instrText>
            </w:r>
            <w:r>
              <w:rPr>
                <w:noProof/>
                <w:webHidden/>
              </w:rPr>
            </w:r>
            <w:r>
              <w:rPr>
                <w:noProof/>
                <w:webHidden/>
              </w:rPr>
              <w:fldChar w:fldCharType="separate"/>
            </w:r>
            <w:r>
              <w:rPr>
                <w:noProof/>
                <w:webHidden/>
              </w:rPr>
              <w:t>2</w:t>
            </w:r>
            <w:r>
              <w:rPr>
                <w:noProof/>
                <w:webHidden/>
              </w:rPr>
              <w:fldChar w:fldCharType="end"/>
            </w:r>
          </w:hyperlink>
        </w:p>
        <w:p w14:paraId="7F975B6A" w14:textId="78CF5FF6" w:rsidR="00B6313E" w:rsidRDefault="00B6313E">
          <w:pPr>
            <w:pStyle w:val="TOC1"/>
            <w:tabs>
              <w:tab w:val="right" w:leader="dot" w:pos="9710"/>
            </w:tabs>
            <w:rPr>
              <w:noProof/>
              <w:sz w:val="22"/>
              <w:szCs w:val="22"/>
            </w:rPr>
          </w:pPr>
          <w:hyperlink w:anchor="_Toc27064086" w:history="1">
            <w:r w:rsidRPr="00B1420E">
              <w:rPr>
                <w:rStyle w:val="Hyperlink"/>
                <w:noProof/>
              </w:rPr>
              <w:t>Files</w:t>
            </w:r>
            <w:r>
              <w:rPr>
                <w:noProof/>
                <w:webHidden/>
              </w:rPr>
              <w:tab/>
            </w:r>
            <w:r>
              <w:rPr>
                <w:noProof/>
                <w:webHidden/>
              </w:rPr>
              <w:fldChar w:fldCharType="begin"/>
            </w:r>
            <w:r>
              <w:rPr>
                <w:noProof/>
                <w:webHidden/>
              </w:rPr>
              <w:instrText xml:space="preserve"> PAGEREF _Toc27064086 \h </w:instrText>
            </w:r>
            <w:r>
              <w:rPr>
                <w:noProof/>
                <w:webHidden/>
              </w:rPr>
            </w:r>
            <w:r>
              <w:rPr>
                <w:noProof/>
                <w:webHidden/>
              </w:rPr>
              <w:fldChar w:fldCharType="separate"/>
            </w:r>
            <w:r>
              <w:rPr>
                <w:noProof/>
                <w:webHidden/>
              </w:rPr>
              <w:t>3</w:t>
            </w:r>
            <w:r>
              <w:rPr>
                <w:noProof/>
                <w:webHidden/>
              </w:rPr>
              <w:fldChar w:fldCharType="end"/>
            </w:r>
          </w:hyperlink>
        </w:p>
        <w:p w14:paraId="6C9AE592" w14:textId="3841D890" w:rsidR="00B6313E" w:rsidRDefault="00B6313E">
          <w:pPr>
            <w:pStyle w:val="TOC1"/>
            <w:tabs>
              <w:tab w:val="right" w:leader="dot" w:pos="9710"/>
            </w:tabs>
            <w:rPr>
              <w:noProof/>
              <w:sz w:val="22"/>
              <w:szCs w:val="22"/>
            </w:rPr>
          </w:pPr>
          <w:hyperlink w:anchor="_Toc27064087" w:history="1">
            <w:r w:rsidRPr="00B1420E">
              <w:rPr>
                <w:rStyle w:val="Hyperlink"/>
                <w:noProof/>
              </w:rPr>
              <w:t>Results &amp; Discussion</w:t>
            </w:r>
            <w:r>
              <w:rPr>
                <w:noProof/>
                <w:webHidden/>
              </w:rPr>
              <w:tab/>
            </w:r>
            <w:r>
              <w:rPr>
                <w:noProof/>
                <w:webHidden/>
              </w:rPr>
              <w:fldChar w:fldCharType="begin"/>
            </w:r>
            <w:r>
              <w:rPr>
                <w:noProof/>
                <w:webHidden/>
              </w:rPr>
              <w:instrText xml:space="preserve"> PAGEREF _Toc27064087 \h </w:instrText>
            </w:r>
            <w:r>
              <w:rPr>
                <w:noProof/>
                <w:webHidden/>
              </w:rPr>
            </w:r>
            <w:r>
              <w:rPr>
                <w:noProof/>
                <w:webHidden/>
              </w:rPr>
              <w:fldChar w:fldCharType="separate"/>
            </w:r>
            <w:r>
              <w:rPr>
                <w:noProof/>
                <w:webHidden/>
              </w:rPr>
              <w:t>3</w:t>
            </w:r>
            <w:r>
              <w:rPr>
                <w:noProof/>
                <w:webHidden/>
              </w:rPr>
              <w:fldChar w:fldCharType="end"/>
            </w:r>
          </w:hyperlink>
        </w:p>
        <w:p w14:paraId="0D65F9D1" w14:textId="055BE9C7" w:rsidR="00B6313E" w:rsidRDefault="00B6313E">
          <w:pPr>
            <w:pStyle w:val="TOC1"/>
            <w:tabs>
              <w:tab w:val="right" w:leader="dot" w:pos="9710"/>
            </w:tabs>
            <w:rPr>
              <w:noProof/>
              <w:sz w:val="22"/>
              <w:szCs w:val="22"/>
            </w:rPr>
          </w:pPr>
          <w:hyperlink w:anchor="_Toc27064088" w:history="1">
            <w:r w:rsidRPr="00B1420E">
              <w:rPr>
                <w:rStyle w:val="Hyperlink"/>
                <w:noProof/>
              </w:rPr>
              <w:t>Conclusions</w:t>
            </w:r>
            <w:r>
              <w:rPr>
                <w:noProof/>
                <w:webHidden/>
              </w:rPr>
              <w:tab/>
            </w:r>
            <w:r>
              <w:rPr>
                <w:noProof/>
                <w:webHidden/>
              </w:rPr>
              <w:fldChar w:fldCharType="begin"/>
            </w:r>
            <w:r>
              <w:rPr>
                <w:noProof/>
                <w:webHidden/>
              </w:rPr>
              <w:instrText xml:space="preserve"> PAGEREF _Toc27064088 \h </w:instrText>
            </w:r>
            <w:r>
              <w:rPr>
                <w:noProof/>
                <w:webHidden/>
              </w:rPr>
            </w:r>
            <w:r>
              <w:rPr>
                <w:noProof/>
                <w:webHidden/>
              </w:rPr>
              <w:fldChar w:fldCharType="separate"/>
            </w:r>
            <w:r>
              <w:rPr>
                <w:noProof/>
                <w:webHidden/>
              </w:rPr>
              <w:t>9</w:t>
            </w:r>
            <w:r>
              <w:rPr>
                <w:noProof/>
                <w:webHidden/>
              </w:rPr>
              <w:fldChar w:fldCharType="end"/>
            </w:r>
          </w:hyperlink>
        </w:p>
        <w:p w14:paraId="1C2D906F" w14:textId="641302B6" w:rsidR="00B6313E" w:rsidRDefault="00B6313E">
          <w:pPr>
            <w:pStyle w:val="TOC1"/>
            <w:tabs>
              <w:tab w:val="right" w:leader="dot" w:pos="9710"/>
            </w:tabs>
            <w:rPr>
              <w:noProof/>
              <w:sz w:val="22"/>
              <w:szCs w:val="22"/>
            </w:rPr>
          </w:pPr>
          <w:hyperlink w:anchor="_Toc27064089" w:history="1">
            <w:r w:rsidRPr="00B1420E">
              <w:rPr>
                <w:rStyle w:val="Hyperlink"/>
                <w:noProof/>
              </w:rPr>
              <w:t>References</w:t>
            </w:r>
            <w:r>
              <w:rPr>
                <w:noProof/>
                <w:webHidden/>
              </w:rPr>
              <w:tab/>
            </w:r>
            <w:r>
              <w:rPr>
                <w:noProof/>
                <w:webHidden/>
              </w:rPr>
              <w:fldChar w:fldCharType="begin"/>
            </w:r>
            <w:r>
              <w:rPr>
                <w:noProof/>
                <w:webHidden/>
              </w:rPr>
              <w:instrText xml:space="preserve"> PAGEREF _Toc27064089 \h </w:instrText>
            </w:r>
            <w:r>
              <w:rPr>
                <w:noProof/>
                <w:webHidden/>
              </w:rPr>
            </w:r>
            <w:r>
              <w:rPr>
                <w:noProof/>
                <w:webHidden/>
              </w:rPr>
              <w:fldChar w:fldCharType="separate"/>
            </w:r>
            <w:r>
              <w:rPr>
                <w:noProof/>
                <w:webHidden/>
              </w:rPr>
              <w:t>9</w:t>
            </w:r>
            <w:r>
              <w:rPr>
                <w:noProof/>
                <w:webHidden/>
              </w:rPr>
              <w:fldChar w:fldCharType="end"/>
            </w:r>
          </w:hyperlink>
        </w:p>
        <w:p w14:paraId="0A6D13D5" w14:textId="1B0AAD12" w:rsidR="00964635" w:rsidRPr="006F5701" w:rsidRDefault="00A554F5" w:rsidP="009975C2">
          <w:r w:rsidRPr="006F5701">
            <w:fldChar w:fldCharType="end"/>
          </w:r>
        </w:p>
      </w:sdtContent>
    </w:sdt>
    <w:p w14:paraId="159E97B1" w14:textId="77777777" w:rsidR="00532640" w:rsidRPr="00532640" w:rsidRDefault="00532640" w:rsidP="00532640">
      <w:pPr>
        <w:pStyle w:val="Heading1"/>
      </w:pPr>
      <w:bookmarkStart w:id="4" w:name="_Toc27064082"/>
      <w:r>
        <w:t>Objectives</w:t>
      </w:r>
      <w:bookmarkEnd w:id="4"/>
    </w:p>
    <w:p w14:paraId="002E1575" w14:textId="4F1EC364" w:rsidR="00A2593E" w:rsidRPr="00BC7521" w:rsidRDefault="00BC7521" w:rsidP="00A2593E">
      <w:pPr>
        <w:pStyle w:val="ListParagraph"/>
        <w:numPr>
          <w:ilvl w:val="0"/>
          <w:numId w:val="44"/>
        </w:numPr>
        <w:rPr>
          <w:b/>
          <w:bCs/>
          <w:u w:val="single"/>
        </w:rPr>
      </w:pPr>
      <w:r w:rsidRPr="00BC7521">
        <w:rPr>
          <w:b/>
          <w:bCs/>
          <w:u w:val="single"/>
        </w:rPr>
        <w:t>Visualize the target variables</w:t>
      </w:r>
      <w:r w:rsidR="00A2593E" w:rsidRPr="00BC7521">
        <w:rPr>
          <w:b/>
          <w:bCs/>
          <w:u w:val="single"/>
        </w:rPr>
        <w:t xml:space="preserve">: </w:t>
      </w:r>
    </w:p>
    <w:p w14:paraId="02F9C6CE" w14:textId="2C4EA5C9" w:rsidR="00A2593E" w:rsidRDefault="00160B9A" w:rsidP="000F592A">
      <w:pPr>
        <w:pStyle w:val="ListParagraph"/>
        <w:numPr>
          <w:ilvl w:val="1"/>
          <w:numId w:val="44"/>
        </w:numPr>
      </w:pPr>
      <w:r>
        <w:t>Define the variables of interest</w:t>
      </w:r>
    </w:p>
    <w:p w14:paraId="434C8123" w14:textId="04EFA9C2" w:rsidR="00A2593E" w:rsidRDefault="00BC7521" w:rsidP="00A2593E">
      <w:pPr>
        <w:pStyle w:val="ListParagraph"/>
        <w:numPr>
          <w:ilvl w:val="1"/>
          <w:numId w:val="44"/>
        </w:numPr>
      </w:pPr>
      <w:r>
        <w:t xml:space="preserve">Create </w:t>
      </w:r>
      <w:r w:rsidR="00230600">
        <w:t>boxplots for depression, anxiety, and stress</w:t>
      </w:r>
    </w:p>
    <w:p w14:paraId="5D72F4DA" w14:textId="0D40B3FA" w:rsidR="00BC7521" w:rsidRDefault="00BC7521" w:rsidP="00A2593E">
      <w:pPr>
        <w:pStyle w:val="ListParagraph"/>
        <w:numPr>
          <w:ilvl w:val="1"/>
          <w:numId w:val="44"/>
        </w:numPr>
      </w:pPr>
      <w:r>
        <w:t xml:space="preserve">Create </w:t>
      </w:r>
      <w:r w:rsidR="00230600">
        <w:t>density plots for event-related potentials (ERPs)</w:t>
      </w:r>
    </w:p>
    <w:p w14:paraId="40624BDF" w14:textId="77777777" w:rsidR="00BC7521" w:rsidRPr="00A2593E" w:rsidRDefault="00BC7521" w:rsidP="00BC7521">
      <w:pPr>
        <w:pStyle w:val="ListParagraph"/>
        <w:ind w:left="1440"/>
      </w:pPr>
    </w:p>
    <w:p w14:paraId="21FAB877" w14:textId="23EA0492" w:rsidR="002242BB" w:rsidRPr="00160B9A" w:rsidRDefault="002242BB" w:rsidP="002242BB">
      <w:pPr>
        <w:pStyle w:val="ListParagraph"/>
        <w:numPr>
          <w:ilvl w:val="0"/>
          <w:numId w:val="44"/>
        </w:numPr>
        <w:rPr>
          <w:b/>
          <w:bCs/>
          <w:u w:val="single"/>
        </w:rPr>
      </w:pPr>
      <w:r w:rsidRPr="00160B9A">
        <w:rPr>
          <w:b/>
          <w:bCs/>
          <w:u w:val="single"/>
        </w:rPr>
        <w:t xml:space="preserve">Fit logistic </w:t>
      </w:r>
      <w:r w:rsidR="00900C3D">
        <w:rPr>
          <w:b/>
          <w:bCs/>
          <w:u w:val="single"/>
        </w:rPr>
        <w:t xml:space="preserve">regression </w:t>
      </w:r>
      <w:r w:rsidRPr="00160B9A">
        <w:rPr>
          <w:b/>
          <w:bCs/>
          <w:u w:val="single"/>
        </w:rPr>
        <w:t>model</w:t>
      </w:r>
      <w:r w:rsidR="00900C3D">
        <w:rPr>
          <w:b/>
          <w:bCs/>
          <w:u w:val="single"/>
        </w:rPr>
        <w:t>s</w:t>
      </w:r>
      <w:r>
        <w:rPr>
          <w:b/>
          <w:bCs/>
          <w:u w:val="single"/>
        </w:rPr>
        <w:t xml:space="preserve"> and visualize distributions by binary response</w:t>
      </w:r>
      <w:r>
        <w:rPr>
          <w:b/>
          <w:bCs/>
          <w:u w:val="single"/>
        </w:rPr>
        <w:t>:</w:t>
      </w:r>
    </w:p>
    <w:p w14:paraId="57D60A4D" w14:textId="69858121" w:rsidR="00160B9A" w:rsidRDefault="00160B9A" w:rsidP="00160B9A">
      <w:pPr>
        <w:pStyle w:val="ListParagraph"/>
        <w:numPr>
          <w:ilvl w:val="1"/>
          <w:numId w:val="44"/>
        </w:numPr>
      </w:pPr>
      <w:r>
        <w:t xml:space="preserve">Use presence of </w:t>
      </w:r>
      <w:r w:rsidRPr="00160B9A">
        <w:rPr>
          <w:i/>
          <w:iCs/>
        </w:rPr>
        <w:t>Bifidobacterium</w:t>
      </w:r>
      <w:r>
        <w:t xml:space="preserve"> as the binary </w:t>
      </w:r>
      <w:r w:rsidR="00262ADA">
        <w:t>response</w:t>
      </w:r>
      <w:r>
        <w:t xml:space="preserve"> variable</w:t>
      </w:r>
    </w:p>
    <w:p w14:paraId="34B4C0EB" w14:textId="6AAB970B" w:rsidR="00A2593E" w:rsidRDefault="00160B9A" w:rsidP="00A2593E">
      <w:pPr>
        <w:pStyle w:val="ListParagraph"/>
        <w:numPr>
          <w:ilvl w:val="1"/>
          <w:numId w:val="44"/>
        </w:numPr>
      </w:pPr>
      <w:r>
        <w:t xml:space="preserve">Use each of the </w:t>
      </w:r>
      <w:r w:rsidR="00262ADA">
        <w:t>measures of mental health as predictors</w:t>
      </w:r>
    </w:p>
    <w:p w14:paraId="0036BA6A" w14:textId="77777777" w:rsidR="00BC7521" w:rsidRDefault="00BC7521" w:rsidP="00BC7521">
      <w:pPr>
        <w:pStyle w:val="ListParagraph"/>
        <w:ind w:left="1440"/>
      </w:pPr>
    </w:p>
    <w:p w14:paraId="2537012F" w14:textId="77777777" w:rsidR="00BA4264" w:rsidRPr="00160B9A" w:rsidRDefault="00BA4264" w:rsidP="00BA4264">
      <w:pPr>
        <w:pStyle w:val="ListParagraph"/>
        <w:numPr>
          <w:ilvl w:val="0"/>
          <w:numId w:val="44"/>
        </w:numPr>
        <w:rPr>
          <w:b/>
          <w:bCs/>
          <w:u w:val="single"/>
        </w:rPr>
      </w:pPr>
      <w:r>
        <w:rPr>
          <w:b/>
          <w:bCs/>
          <w:u w:val="single"/>
        </w:rPr>
        <w:t>A</w:t>
      </w:r>
      <w:r w:rsidRPr="00160B9A">
        <w:rPr>
          <w:b/>
          <w:bCs/>
          <w:u w:val="single"/>
        </w:rPr>
        <w:t>nalyze logistic model fits:</w:t>
      </w:r>
    </w:p>
    <w:p w14:paraId="56B77FD4" w14:textId="77777777" w:rsidR="006155EB" w:rsidRPr="005F4A8B" w:rsidRDefault="006155EB" w:rsidP="006155EB">
      <w:pPr>
        <w:pStyle w:val="ListParagraph"/>
        <w:numPr>
          <w:ilvl w:val="1"/>
          <w:numId w:val="44"/>
        </w:numPr>
      </w:pPr>
      <w:r>
        <w:t>Do any of the predictor variables have significant effects?</w:t>
      </w:r>
    </w:p>
    <w:p w14:paraId="7358267A" w14:textId="5A5AC8A2" w:rsidR="00A2593E" w:rsidRDefault="00160B9A" w:rsidP="00A2593E">
      <w:pPr>
        <w:pStyle w:val="ListParagraph"/>
        <w:numPr>
          <w:ilvl w:val="1"/>
          <w:numId w:val="44"/>
        </w:numPr>
      </w:pPr>
      <w:r>
        <w:t>Which model has the highest AIC value?</w:t>
      </w:r>
    </w:p>
    <w:p w14:paraId="67CFDE0B" w14:textId="2BF7F33E" w:rsidR="00160B9A" w:rsidRDefault="00160B9A" w:rsidP="00A2593E">
      <w:pPr>
        <w:pStyle w:val="ListParagraph"/>
        <w:numPr>
          <w:ilvl w:val="1"/>
          <w:numId w:val="44"/>
        </w:numPr>
      </w:pPr>
      <w:r>
        <w:t>Which model has the lowest AIC value?</w:t>
      </w:r>
    </w:p>
    <w:p w14:paraId="6E0FA8C9" w14:textId="77777777" w:rsidR="00FF3ABF" w:rsidRDefault="002431E5" w:rsidP="00FF3ABF">
      <w:pPr>
        <w:pStyle w:val="Heading1"/>
      </w:pPr>
      <w:bookmarkStart w:id="5" w:name="_Toc27064083"/>
      <w:r>
        <w:t>Milestones</w:t>
      </w:r>
      <w:bookmarkEnd w:id="5"/>
      <w:r>
        <w:t xml:space="preserve"> </w:t>
      </w:r>
    </w:p>
    <w:p w14:paraId="69CB1F34" w14:textId="77777777" w:rsidR="00621DD1" w:rsidRDefault="00621DD1" w:rsidP="00621DD1">
      <w:pPr>
        <w:pStyle w:val="ListParagraph"/>
        <w:numPr>
          <w:ilvl w:val="0"/>
          <w:numId w:val="43"/>
        </w:numPr>
      </w:pPr>
      <w:r>
        <w:t xml:space="preserve">Download and store the raw data into a </w:t>
      </w:r>
      <w:proofErr w:type="spellStart"/>
      <w:r>
        <w:t>github</w:t>
      </w:r>
      <w:proofErr w:type="spellEnd"/>
      <w:r>
        <w:t xml:space="preserve"> repository</w:t>
      </w:r>
    </w:p>
    <w:p w14:paraId="3078F538" w14:textId="77777777" w:rsidR="00621DD1" w:rsidRDefault="00621DD1" w:rsidP="00621DD1">
      <w:pPr>
        <w:pStyle w:val="ListParagraph"/>
        <w:numPr>
          <w:ilvl w:val="0"/>
          <w:numId w:val="43"/>
        </w:numPr>
      </w:pPr>
      <w:r>
        <w:t>Format data sets for input into R</w:t>
      </w:r>
    </w:p>
    <w:p w14:paraId="2B642B54" w14:textId="77777777" w:rsidR="00621DD1" w:rsidRDefault="00621DD1" w:rsidP="00621DD1">
      <w:pPr>
        <w:pStyle w:val="ListParagraph"/>
        <w:numPr>
          <w:ilvl w:val="0"/>
          <w:numId w:val="43"/>
        </w:numPr>
      </w:pPr>
      <w:r>
        <w:t>Generate exploratory analysis graphs</w:t>
      </w:r>
    </w:p>
    <w:p w14:paraId="3CDF0205" w14:textId="76CD1B98" w:rsidR="00621DD1" w:rsidRPr="00910FDF" w:rsidRDefault="00621DD1" w:rsidP="00621DD1">
      <w:pPr>
        <w:pStyle w:val="ListParagraph"/>
        <w:numPr>
          <w:ilvl w:val="0"/>
          <w:numId w:val="43"/>
        </w:numPr>
      </w:pPr>
      <w:r>
        <w:lastRenderedPageBreak/>
        <w:t xml:space="preserve">Test </w:t>
      </w:r>
      <w:r w:rsidR="00C717AD">
        <w:t>logistic regression</w:t>
      </w:r>
      <w:r>
        <w:t xml:space="preserve"> models </w:t>
      </w:r>
    </w:p>
    <w:p w14:paraId="525D3EC0" w14:textId="35A87CB9" w:rsidR="00910FDF" w:rsidRPr="00910FDF" w:rsidRDefault="00621DD1" w:rsidP="00910FDF">
      <w:pPr>
        <w:pStyle w:val="ListParagraph"/>
        <w:numPr>
          <w:ilvl w:val="0"/>
          <w:numId w:val="43"/>
        </w:numPr>
      </w:pPr>
      <w:r>
        <w:t>Reporting the results: Due 12/13/2019</w:t>
      </w:r>
    </w:p>
    <w:p w14:paraId="5E3D29C9" w14:textId="77777777" w:rsidR="00AD7CEA" w:rsidRPr="00AD7CEA" w:rsidRDefault="00C067DA" w:rsidP="00AD7CEA">
      <w:pPr>
        <w:pStyle w:val="Heading1"/>
      </w:pPr>
      <w:bookmarkStart w:id="6" w:name="_Toc27064084"/>
      <w:r w:rsidRPr="006F5701">
        <w:t>Background</w:t>
      </w:r>
      <w:bookmarkEnd w:id="6"/>
    </w:p>
    <w:p w14:paraId="2BD9B273" w14:textId="5C4FED19" w:rsidR="00D05059" w:rsidRDefault="005C7FC9" w:rsidP="00AD7CEA">
      <w:pPr>
        <w:rPr>
          <w:rFonts w:eastAsiaTheme="majorEastAsia"/>
        </w:rPr>
      </w:pPr>
      <w:r w:rsidRPr="005C7FC9">
        <w:rPr>
          <w:rFonts w:eastAsiaTheme="majorEastAsia"/>
        </w:rPr>
        <w:t>Chronic stress is recognized to play a key role in many facets of human health. These range from mental health in anxiety</w:t>
      </w:r>
      <w:r>
        <w:rPr>
          <w:rFonts w:eastAsiaTheme="majorEastAsia"/>
        </w:rPr>
        <w:t>,</w:t>
      </w:r>
      <w:r w:rsidRPr="005C7FC9">
        <w:rPr>
          <w:rFonts w:eastAsiaTheme="majorEastAsia"/>
        </w:rPr>
        <w:t xml:space="preserve"> depression, </w:t>
      </w:r>
      <w:r>
        <w:rPr>
          <w:rFonts w:eastAsiaTheme="majorEastAsia"/>
        </w:rPr>
        <w:t xml:space="preserve">and stress </w:t>
      </w:r>
      <w:r w:rsidRPr="005C7FC9">
        <w:rPr>
          <w:rFonts w:eastAsiaTheme="majorEastAsia"/>
        </w:rPr>
        <w:t xml:space="preserve">to physical health including gastrointestinal </w:t>
      </w:r>
      <w:r>
        <w:rPr>
          <w:rFonts w:eastAsiaTheme="majorEastAsia"/>
        </w:rPr>
        <w:t>composition</w:t>
      </w:r>
      <w:r w:rsidRPr="005C7FC9">
        <w:rPr>
          <w:rFonts w:eastAsiaTheme="majorEastAsia"/>
        </w:rPr>
        <w:t xml:space="preserve">. </w:t>
      </w:r>
      <w:r w:rsidR="00CE1B71">
        <w:rPr>
          <w:rFonts w:eastAsiaTheme="majorEastAsia"/>
        </w:rPr>
        <w:t xml:space="preserve">Emotional response to different stimuli and situations could also be impacted. </w:t>
      </w:r>
      <w:r w:rsidRPr="005C7FC9">
        <w:rPr>
          <w:rFonts w:eastAsiaTheme="majorEastAsia"/>
        </w:rPr>
        <w:t xml:space="preserve">Prebiotic consumption, which changes the </w:t>
      </w:r>
      <w:r w:rsidR="00CE1B71">
        <w:rPr>
          <w:rFonts w:eastAsiaTheme="majorEastAsia"/>
        </w:rPr>
        <w:t>gastrointestinal</w:t>
      </w:r>
      <w:r w:rsidRPr="005C7FC9">
        <w:rPr>
          <w:rFonts w:eastAsiaTheme="majorEastAsia"/>
        </w:rPr>
        <w:t xml:space="preserve"> microbiota in a way that benefits host health, is one potential treatment being explored to alleviate conditions related to these aspects of mental and physical health.</w:t>
      </w:r>
    </w:p>
    <w:p w14:paraId="7451A6C5" w14:textId="7633D1F9" w:rsidR="00613655" w:rsidRPr="00613655" w:rsidRDefault="00DE252D" w:rsidP="00613655">
      <w:pPr>
        <w:rPr>
          <w:rFonts w:eastAsiaTheme="majorEastAsia"/>
        </w:rPr>
      </w:pPr>
      <w:r>
        <w:rPr>
          <w:rFonts w:eastAsiaTheme="majorEastAsia"/>
        </w:rPr>
        <w:t>P</w:t>
      </w:r>
      <w:r w:rsidR="00613655" w:rsidRPr="00613655">
        <w:rPr>
          <w:rFonts w:eastAsiaTheme="majorEastAsia"/>
        </w:rPr>
        <w:t xml:space="preserve">rebiotics </w:t>
      </w:r>
      <w:r>
        <w:rPr>
          <w:rFonts w:eastAsiaTheme="majorEastAsia"/>
        </w:rPr>
        <w:t>are the substrate</w:t>
      </w:r>
      <w:r w:rsidR="00262ADA">
        <w:rPr>
          <w:rFonts w:eastAsiaTheme="majorEastAsia"/>
        </w:rPr>
        <w:t>s</w:t>
      </w:r>
      <w:r>
        <w:rPr>
          <w:rFonts w:eastAsiaTheme="majorEastAsia"/>
        </w:rPr>
        <w:t xml:space="preserve"> which feed the microbes in the gastrointestinal tract. Therefore, prebiotic dietary fiber </w:t>
      </w:r>
      <w:r w:rsidR="00613655" w:rsidRPr="00613655">
        <w:rPr>
          <w:rFonts w:eastAsiaTheme="majorEastAsia"/>
        </w:rPr>
        <w:t xml:space="preserve">can be utilized to influence microbial populations. In humans, </w:t>
      </w:r>
      <w:r w:rsidR="00613655" w:rsidRPr="00262ADA">
        <w:rPr>
          <w:rFonts w:eastAsiaTheme="majorEastAsia"/>
          <w:i/>
          <w:iCs/>
        </w:rPr>
        <w:t xml:space="preserve">Bifidobacterium </w:t>
      </w:r>
      <w:proofErr w:type="spellStart"/>
      <w:r w:rsidR="00613655" w:rsidRPr="00262ADA">
        <w:rPr>
          <w:rFonts w:eastAsiaTheme="majorEastAsia"/>
          <w:i/>
          <w:iCs/>
        </w:rPr>
        <w:t>longum</w:t>
      </w:r>
      <w:proofErr w:type="spellEnd"/>
      <w:r w:rsidR="00613655" w:rsidRPr="00613655">
        <w:rPr>
          <w:rFonts w:eastAsiaTheme="majorEastAsia"/>
        </w:rPr>
        <w:t xml:space="preserve"> 1714 decreased self-reported anxiety (</w:t>
      </w:r>
      <w:proofErr w:type="gramStart"/>
      <w:r w:rsidR="00613655" w:rsidRPr="00613655">
        <w:rPr>
          <w:rFonts w:eastAsiaTheme="majorEastAsia"/>
        </w:rPr>
        <w:t>F(</w:t>
      </w:r>
      <w:proofErr w:type="gramEnd"/>
      <w:r w:rsidR="00613655" w:rsidRPr="00613655">
        <w:rPr>
          <w:rFonts w:eastAsiaTheme="majorEastAsia"/>
        </w:rPr>
        <w:t xml:space="preserve">1, 21) = 6.39, p = 0.02) and stress (t(18) = 2.32, p = 0.03) compared to the control </w:t>
      </w:r>
      <w:r w:rsidR="00575D1B">
        <w:rPr>
          <w:rFonts w:eastAsiaTheme="majorEastAsia"/>
        </w:rPr>
        <w:t>[1]</w:t>
      </w:r>
      <w:r w:rsidR="00613655" w:rsidRPr="00613655">
        <w:rPr>
          <w:rFonts w:eastAsiaTheme="majorEastAsia"/>
        </w:rPr>
        <w:t xml:space="preserve">. In addition, when participants consumed a probiotic treatment consisting of </w:t>
      </w:r>
      <w:r w:rsidR="00613655" w:rsidRPr="00262ADA">
        <w:rPr>
          <w:rFonts w:eastAsiaTheme="majorEastAsia"/>
          <w:i/>
          <w:iCs/>
        </w:rPr>
        <w:t xml:space="preserve">Lactobacillus </w:t>
      </w:r>
      <w:proofErr w:type="spellStart"/>
      <w:r w:rsidR="00613655" w:rsidRPr="00262ADA">
        <w:rPr>
          <w:rFonts w:eastAsiaTheme="majorEastAsia"/>
          <w:i/>
          <w:iCs/>
        </w:rPr>
        <w:t>helveticus</w:t>
      </w:r>
      <w:proofErr w:type="spellEnd"/>
      <w:r w:rsidR="00613655" w:rsidRPr="00613655">
        <w:rPr>
          <w:rFonts w:eastAsiaTheme="majorEastAsia"/>
        </w:rPr>
        <w:t xml:space="preserve"> R0052 and </w:t>
      </w:r>
      <w:r w:rsidR="00613655" w:rsidRPr="00262ADA">
        <w:rPr>
          <w:rFonts w:eastAsiaTheme="majorEastAsia"/>
          <w:i/>
          <w:iCs/>
        </w:rPr>
        <w:t xml:space="preserve">Bifidobacterium </w:t>
      </w:r>
      <w:proofErr w:type="spellStart"/>
      <w:r w:rsidR="00613655" w:rsidRPr="00262ADA">
        <w:rPr>
          <w:rFonts w:eastAsiaTheme="majorEastAsia"/>
          <w:i/>
          <w:iCs/>
        </w:rPr>
        <w:t>longum</w:t>
      </w:r>
      <w:proofErr w:type="spellEnd"/>
      <w:r w:rsidR="00613655" w:rsidRPr="00613655">
        <w:rPr>
          <w:rFonts w:eastAsiaTheme="majorEastAsia"/>
        </w:rPr>
        <w:t xml:space="preserve"> R017, they had a decrease in psychological distress compared to the control in the Hopkins Symptom Checklist-90 scale (p &lt; 0.05), the Hospital Anxiety and Depression Scale (global score, p &lt; 0.05), and </w:t>
      </w:r>
      <w:r w:rsidR="00262ADA">
        <w:rPr>
          <w:rFonts w:eastAsiaTheme="majorEastAsia"/>
        </w:rPr>
        <w:t>urinary free-cortisol</w:t>
      </w:r>
      <w:r w:rsidR="00613655" w:rsidRPr="00613655">
        <w:rPr>
          <w:rFonts w:eastAsiaTheme="majorEastAsia"/>
        </w:rPr>
        <w:t xml:space="preserve"> concentration (p &lt; 0.05) </w:t>
      </w:r>
      <w:r w:rsidR="00575D1B">
        <w:rPr>
          <w:rFonts w:eastAsiaTheme="majorEastAsia"/>
        </w:rPr>
        <w:t>[2]</w:t>
      </w:r>
      <w:r w:rsidR="00613655" w:rsidRPr="00613655">
        <w:rPr>
          <w:rFonts w:eastAsiaTheme="majorEastAsia"/>
        </w:rPr>
        <w:t xml:space="preserve">. Moreover, consumption of 100 mL of fermented milk with </w:t>
      </w:r>
      <w:r w:rsidR="00613655" w:rsidRPr="00262ADA">
        <w:rPr>
          <w:rFonts w:eastAsiaTheme="majorEastAsia"/>
          <w:i/>
          <w:iCs/>
        </w:rPr>
        <w:t xml:space="preserve">Lactobacillus </w:t>
      </w:r>
      <w:proofErr w:type="spellStart"/>
      <w:r w:rsidR="00613655" w:rsidRPr="00262ADA">
        <w:rPr>
          <w:rFonts w:eastAsiaTheme="majorEastAsia"/>
          <w:i/>
          <w:iCs/>
        </w:rPr>
        <w:t>casei</w:t>
      </w:r>
      <w:proofErr w:type="spellEnd"/>
      <w:r w:rsidR="00613655" w:rsidRPr="00613655">
        <w:rPr>
          <w:rFonts w:eastAsiaTheme="majorEastAsia"/>
        </w:rPr>
        <w:t xml:space="preserve"> strain Shirota each day for 11 weeks was shown to decrease sleep disturbances in students caused by academic stress </w:t>
      </w:r>
      <w:r w:rsidR="00575D1B">
        <w:rPr>
          <w:rFonts w:eastAsiaTheme="majorEastAsia"/>
        </w:rPr>
        <w:t>[3]</w:t>
      </w:r>
      <w:r w:rsidR="00613655" w:rsidRPr="00613655">
        <w:rPr>
          <w:rFonts w:eastAsiaTheme="majorEastAsia"/>
        </w:rPr>
        <w:t>.</w:t>
      </w:r>
    </w:p>
    <w:p w14:paraId="1A60BAD9" w14:textId="2709ABD1" w:rsidR="000B67DE" w:rsidRPr="00AD7CEA" w:rsidRDefault="00613655" w:rsidP="00683104">
      <w:pPr>
        <w:rPr>
          <w:rFonts w:eastAsiaTheme="majorEastAsia"/>
        </w:rPr>
      </w:pPr>
      <w:r w:rsidRPr="00613655">
        <w:rPr>
          <w:rFonts w:eastAsiaTheme="majorEastAsia"/>
        </w:rPr>
        <w:t xml:space="preserve">One limitation of many of these human studies on probiotics and prebiotics is reliance on participant surveys to measure outcomes such as subjective stress and mood. Therefore, a gap that needs to be filled in this field of research includes increased incorporation of objective markers of cognition and stress. The current study is valuable in adding an additional clinical trial to the emerging field of prebiotics and mental health in humans. Moreover, it is innovative by examining quantitative measures of stress and cognitive processing in response to prebiotic consumption. The objective of the study was to determine the effect of prebiotic dietary fiber consumption of </w:t>
      </w:r>
      <w:proofErr w:type="spellStart"/>
      <w:r w:rsidR="00683104">
        <w:rPr>
          <w:rFonts w:eastAsiaTheme="majorEastAsia"/>
        </w:rPr>
        <w:t>fructooligosaccharides</w:t>
      </w:r>
      <w:proofErr w:type="spellEnd"/>
      <w:r w:rsidR="00683104">
        <w:rPr>
          <w:rFonts w:eastAsiaTheme="majorEastAsia"/>
        </w:rPr>
        <w:t xml:space="preserve"> (FOS)</w:t>
      </w:r>
      <w:r w:rsidRPr="00613655">
        <w:rPr>
          <w:rFonts w:eastAsiaTheme="majorEastAsia"/>
        </w:rPr>
        <w:t xml:space="preserve"> and </w:t>
      </w:r>
      <w:proofErr w:type="spellStart"/>
      <w:r w:rsidR="00683104">
        <w:rPr>
          <w:rFonts w:eastAsiaTheme="majorEastAsia"/>
        </w:rPr>
        <w:t>galactooligosaccharides</w:t>
      </w:r>
      <w:proofErr w:type="spellEnd"/>
      <w:r w:rsidRPr="00613655">
        <w:rPr>
          <w:rFonts w:eastAsiaTheme="majorEastAsia"/>
        </w:rPr>
        <w:t xml:space="preserve"> </w:t>
      </w:r>
      <w:r w:rsidR="00683104">
        <w:rPr>
          <w:rFonts w:eastAsiaTheme="majorEastAsia"/>
        </w:rPr>
        <w:t xml:space="preserve">(GOS) </w:t>
      </w:r>
      <w:r w:rsidRPr="00613655">
        <w:rPr>
          <w:rFonts w:eastAsiaTheme="majorEastAsia"/>
        </w:rPr>
        <w:t xml:space="preserve">on the </w:t>
      </w:r>
      <w:r w:rsidR="00683104">
        <w:rPr>
          <w:rFonts w:eastAsiaTheme="majorEastAsia"/>
        </w:rPr>
        <w:t>gastrointestinal</w:t>
      </w:r>
      <w:r w:rsidRPr="00613655">
        <w:rPr>
          <w:rFonts w:eastAsiaTheme="majorEastAsia"/>
        </w:rPr>
        <w:t xml:space="preserve"> microbiota and behavioral and biological measures of cognition and stress among healthy adults in a randomized, controlled, crossover trial. </w:t>
      </w:r>
      <w:r w:rsidR="001F2D15">
        <w:rPr>
          <w:rFonts w:eastAsiaTheme="majorEastAsia"/>
        </w:rPr>
        <w:t xml:space="preserve">For this </w:t>
      </w:r>
      <w:proofErr w:type="gramStart"/>
      <w:r w:rsidR="001F2D15">
        <w:rPr>
          <w:rFonts w:eastAsiaTheme="majorEastAsia"/>
        </w:rPr>
        <w:t>particular project</w:t>
      </w:r>
      <w:proofErr w:type="gramEnd"/>
      <w:r w:rsidR="001F2D15">
        <w:rPr>
          <w:rFonts w:eastAsiaTheme="majorEastAsia"/>
        </w:rPr>
        <w:t>, i</w:t>
      </w:r>
      <w:r w:rsidR="00683104">
        <w:rPr>
          <w:rFonts w:eastAsiaTheme="majorEastAsia"/>
        </w:rPr>
        <w:t xml:space="preserve">t was hypothesized that measures of mental health </w:t>
      </w:r>
      <w:r w:rsidR="001F2D15">
        <w:rPr>
          <w:rFonts w:eastAsiaTheme="majorEastAsia"/>
        </w:rPr>
        <w:t xml:space="preserve">and emotional response </w:t>
      </w:r>
      <w:r w:rsidR="00683104">
        <w:rPr>
          <w:rFonts w:eastAsiaTheme="majorEastAsia"/>
        </w:rPr>
        <w:t xml:space="preserve">could predict presence or absence of </w:t>
      </w:r>
      <w:r w:rsidR="00683104" w:rsidRPr="00683104">
        <w:rPr>
          <w:rFonts w:eastAsiaTheme="majorEastAsia"/>
          <w:i/>
          <w:iCs/>
        </w:rPr>
        <w:t>Bifidobacterium</w:t>
      </w:r>
      <w:r w:rsidR="00683104">
        <w:rPr>
          <w:rFonts w:eastAsiaTheme="majorEastAsia"/>
        </w:rPr>
        <w:t>, which is a genus known to be increased by consumption of certain types of prebiotic dietary fiber.</w:t>
      </w:r>
    </w:p>
    <w:p w14:paraId="599FBCD8" w14:textId="77777777" w:rsidR="001C3F28" w:rsidRDefault="001C3F28" w:rsidP="001C3F28">
      <w:pPr>
        <w:pStyle w:val="Heading1"/>
      </w:pPr>
      <w:bookmarkStart w:id="7" w:name="_Toc27064085"/>
      <w:r w:rsidRPr="006F5701">
        <w:t>Methodology</w:t>
      </w:r>
      <w:r>
        <w:t xml:space="preserve"> and Technical Approach</w:t>
      </w:r>
      <w:bookmarkEnd w:id="7"/>
    </w:p>
    <w:p w14:paraId="02EA0DA8" w14:textId="45023374" w:rsidR="00D62CBD" w:rsidRPr="00D10738" w:rsidRDefault="00D62CBD" w:rsidP="005E43E7">
      <w:r w:rsidRPr="00D62CBD">
        <w:rPr>
          <w:b/>
          <w:bCs/>
        </w:rPr>
        <w:t>Participants.</w:t>
      </w:r>
      <w:r w:rsidR="00D10738">
        <w:rPr>
          <w:b/>
          <w:bCs/>
        </w:rPr>
        <w:t xml:space="preserve"> </w:t>
      </w:r>
      <w:r w:rsidR="00D10738" w:rsidRPr="00D10738">
        <w:t xml:space="preserve">Healthy adults (n = 24) </w:t>
      </w:r>
      <w:r w:rsidR="005757A4">
        <w:t>25</w:t>
      </w:r>
      <w:r w:rsidR="00D10738" w:rsidRPr="00D10738">
        <w:t>-45 years of age</w:t>
      </w:r>
    </w:p>
    <w:p w14:paraId="188ED691" w14:textId="0C348FDA" w:rsidR="00D10738" w:rsidRDefault="00D10738" w:rsidP="005E43E7">
      <w:r w:rsidRPr="00D10738">
        <w:rPr>
          <w:b/>
          <w:bCs/>
        </w:rPr>
        <w:t xml:space="preserve">Experimental design and treatments. </w:t>
      </w:r>
      <w:r w:rsidRPr="00D10738">
        <w:t xml:space="preserve">The study had a randomized, placebo-controlled, </w:t>
      </w:r>
      <w:r w:rsidR="005A3E23">
        <w:t xml:space="preserve">double-blinded, </w:t>
      </w:r>
      <w:r w:rsidRPr="00D10738">
        <w:t xml:space="preserve">crossover design. It included two 4-week treatment periods of dairy-based beverages separated by at least a 4-week washout period. Administration of treatments was conducted in a counterbalanced order. The prebiotic </w:t>
      </w:r>
      <w:r w:rsidR="00BC11F4">
        <w:t xml:space="preserve">(PRE) </w:t>
      </w:r>
      <w:r w:rsidRPr="00D10738">
        <w:t xml:space="preserve">treatment consisted of 8 oz of commercially available Lactaid low-fat 1% milk, 5 g of FOS, and 5 g of GOS. The control </w:t>
      </w:r>
      <w:r w:rsidR="00BC11F4">
        <w:t xml:space="preserve">(CON) </w:t>
      </w:r>
      <w:r w:rsidRPr="00D10738">
        <w:t>treatment consisted of 8 oz of Lactaid low-fat 1% milk with no added dietary prebiotic fiber. The soluble nature of the FOS and GOS prebiotic fibers enabled subject blinding. Data collection occurred prior to beginning each treatment (baseline) and immediately following each treatment. Therefore, data were collected on four total occasions after the initial screening visit.</w:t>
      </w:r>
      <w:r w:rsidR="006A15DB">
        <w:t xml:space="preserve"> A schematic of the study design is displayed below.</w:t>
      </w:r>
    </w:p>
    <w:p w14:paraId="577F5006" w14:textId="5DB2F5B5" w:rsidR="006A15DB" w:rsidRPr="00D10738" w:rsidRDefault="006A15DB" w:rsidP="005E43E7">
      <w:r>
        <w:rPr>
          <w:noProof/>
        </w:rPr>
        <w:lastRenderedPageBreak/>
        <w:drawing>
          <wp:inline distT="0" distB="0" distL="0" distR="0" wp14:anchorId="2E186841" wp14:editId="45D682AA">
            <wp:extent cx="3695700" cy="19452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4764" cy="2007951"/>
                    </a:xfrm>
                    <a:prstGeom prst="rect">
                      <a:avLst/>
                    </a:prstGeom>
                    <a:noFill/>
                  </pic:spPr>
                </pic:pic>
              </a:graphicData>
            </a:graphic>
          </wp:inline>
        </w:drawing>
      </w:r>
    </w:p>
    <w:p w14:paraId="601C86DB" w14:textId="21852C03" w:rsidR="005E43E7" w:rsidRDefault="00D62CBD" w:rsidP="005E43E7">
      <w:r w:rsidRPr="00D62CBD">
        <w:rPr>
          <w:b/>
          <w:bCs/>
        </w:rPr>
        <w:t xml:space="preserve">Mental </w:t>
      </w:r>
      <w:r w:rsidR="002F1684">
        <w:rPr>
          <w:b/>
          <w:bCs/>
        </w:rPr>
        <w:t>h</w:t>
      </w:r>
      <w:r w:rsidRPr="00D62CBD">
        <w:rPr>
          <w:b/>
          <w:bCs/>
        </w:rPr>
        <w:t>ealth.</w:t>
      </w:r>
      <w:r>
        <w:t xml:space="preserve"> </w:t>
      </w:r>
      <w:r w:rsidR="00E072E6" w:rsidRPr="00E072E6">
        <w:t>The methodology for this study included</w:t>
      </w:r>
      <w:r w:rsidR="00E072E6">
        <w:t xml:space="preserve"> self-reported measures of mental health </w:t>
      </w:r>
      <w:r w:rsidR="00DD4991">
        <w:t>using</w:t>
      </w:r>
      <w:r w:rsidR="00E072E6">
        <w:t xml:space="preserve"> the Depression, Anxiety, Stress Scales </w:t>
      </w:r>
      <w:r w:rsidR="00DD4991">
        <w:t xml:space="preserve">(DASS-42) questionnaire. This questionnaire was comprised of 42 items separated into subscales to examine different areas of mental health. </w:t>
      </w:r>
    </w:p>
    <w:p w14:paraId="2190A838" w14:textId="664647E1" w:rsidR="00DD4991" w:rsidRDefault="00D62CBD" w:rsidP="005E43E7">
      <w:r w:rsidRPr="00D62CBD">
        <w:rPr>
          <w:b/>
          <w:bCs/>
        </w:rPr>
        <w:t>Emotion.</w:t>
      </w:r>
      <w:r>
        <w:t xml:space="preserve"> </w:t>
      </w:r>
      <w:r w:rsidR="00B558B0">
        <w:t>Electroencephalography (EEG) was used to measure brain activity response to neutral, positive, and negative image stimuli during the Emotional Image Task. Participants wore a 60-electrode cap and event-related potentials (ERPs) were determined. The analysis was focused on the ERPs of the midline electrodes.</w:t>
      </w:r>
    </w:p>
    <w:p w14:paraId="3E129E7A" w14:textId="1DB0EBC4" w:rsidR="00DD4991" w:rsidRDefault="00D62CBD" w:rsidP="005E43E7">
      <w:r w:rsidRPr="00D62CBD">
        <w:rPr>
          <w:b/>
          <w:bCs/>
        </w:rPr>
        <w:t>Microbiota.</w:t>
      </w:r>
      <w:r>
        <w:t xml:space="preserve"> </w:t>
      </w:r>
      <w:r w:rsidR="00B558B0">
        <w:t xml:space="preserve">Gastrointestinal microbiota </w:t>
      </w:r>
      <w:proofErr w:type="gramStart"/>
      <w:r w:rsidR="00B558B0">
        <w:t>were</w:t>
      </w:r>
      <w:proofErr w:type="gramEnd"/>
      <w:r w:rsidR="00B558B0">
        <w:t xml:space="preserve"> measured using</w:t>
      </w:r>
      <w:r>
        <w:t xml:space="preserve"> relative abundance. Fecal samples were collected before and after each treatment period. </w:t>
      </w:r>
      <w:r w:rsidRPr="00D62CBD">
        <w:t xml:space="preserve">Fecal microbial DNA was extracted utilizing the </w:t>
      </w:r>
      <w:proofErr w:type="spellStart"/>
      <w:r w:rsidRPr="00D62CBD">
        <w:t>PowerLyzer</w:t>
      </w:r>
      <w:proofErr w:type="spellEnd"/>
      <w:r w:rsidRPr="00D62CBD">
        <w:t xml:space="preserve"> </w:t>
      </w:r>
      <w:proofErr w:type="spellStart"/>
      <w:r w:rsidRPr="00D62CBD">
        <w:t>PowerSoil</w:t>
      </w:r>
      <w:proofErr w:type="spellEnd"/>
      <w:r w:rsidRPr="00D62CBD">
        <w:t xml:space="preserve"> DNA Isolation Kit (MO BIO Laboratories, Inc., Carlsbad, CA, USA). After extraction, the V4 region of the 16S bacterial rRNA gene was amplified using a </w:t>
      </w:r>
      <w:proofErr w:type="spellStart"/>
      <w:r w:rsidRPr="00D62CBD">
        <w:t>Fluidigm</w:t>
      </w:r>
      <w:proofErr w:type="spellEnd"/>
      <w:r w:rsidRPr="00D62CBD">
        <w:t xml:space="preserve"> Access Array system prior to high-throughput sequencing on an Illumina </w:t>
      </w:r>
      <w:proofErr w:type="spellStart"/>
      <w:r w:rsidRPr="00D62CBD">
        <w:t>HiSeq</w:t>
      </w:r>
      <w:proofErr w:type="spellEnd"/>
      <w:r w:rsidRPr="00D62CBD">
        <w:t xml:space="preserve">. Sequencing was performed at the W. M. Keck Center for Biotechnology at the University of Illinois at Urbana-Champaign. QIIME2.0 and DADA2 software were used to analyze the high-quality sequence data following the sequencing process. Taxonomy was assigned with the </w:t>
      </w:r>
      <w:proofErr w:type="spellStart"/>
      <w:r w:rsidRPr="00D62CBD">
        <w:t>GreenGenes</w:t>
      </w:r>
      <w:proofErr w:type="spellEnd"/>
      <w:r w:rsidRPr="00D62CBD">
        <w:t xml:space="preserve"> 13_8 99% OTU reference database.</w:t>
      </w:r>
    </w:p>
    <w:p w14:paraId="52C221DB" w14:textId="2FDE54DA" w:rsidR="00A04483" w:rsidRPr="00E072E6" w:rsidRDefault="00A04483" w:rsidP="005E43E7">
      <w:r w:rsidRPr="005A3E23">
        <w:rPr>
          <w:b/>
          <w:bCs/>
        </w:rPr>
        <w:t>Statistical Analysis.</w:t>
      </w:r>
      <w:r>
        <w:t xml:space="preserve"> Logistic regression models were utilized with </w:t>
      </w:r>
      <w:r w:rsidRPr="00A04483">
        <w:rPr>
          <w:i/>
          <w:iCs/>
        </w:rPr>
        <w:t>Bifidobacterium</w:t>
      </w:r>
      <w:r>
        <w:t xml:space="preserve"> presence or absence as the binary response variable and stress, depression to anxiety ratio, and response to neutral, positive, or negative images as the predictor variables. The family used in the models was binomial. The identity link function and </w:t>
      </w:r>
      <w:proofErr w:type="spellStart"/>
      <w:r>
        <w:t>probit</w:t>
      </w:r>
      <w:proofErr w:type="spellEnd"/>
      <w:r>
        <w:t xml:space="preserve"> link function were compared for each predictor and treatment group.</w:t>
      </w:r>
    </w:p>
    <w:p w14:paraId="416E57F9" w14:textId="77777777" w:rsidR="009D1FFA" w:rsidRDefault="00814A2A" w:rsidP="009975C2">
      <w:pPr>
        <w:pStyle w:val="Heading1"/>
        <w:rPr>
          <w:rFonts w:eastAsiaTheme="minorEastAsia"/>
        </w:rPr>
      </w:pPr>
      <w:bookmarkStart w:id="8" w:name="_Toc27064086"/>
      <w:r>
        <w:rPr>
          <w:rFonts w:eastAsiaTheme="minorEastAsia"/>
        </w:rPr>
        <w:t>Files</w:t>
      </w:r>
      <w:bookmarkEnd w:id="8"/>
    </w:p>
    <w:p w14:paraId="2F59300A" w14:textId="43A904E8" w:rsidR="005C0137" w:rsidRDefault="00E9582D" w:rsidP="005C0137">
      <w:hyperlink r:id="rId11" w:history="1">
        <w:r w:rsidRPr="00E9582D">
          <w:rPr>
            <w:color w:val="0000FF"/>
            <w:u w:val="single"/>
          </w:rPr>
          <w:t>https://github.com</w:t>
        </w:r>
        <w:r w:rsidRPr="00E9582D">
          <w:rPr>
            <w:color w:val="0000FF"/>
            <w:u w:val="single"/>
          </w:rPr>
          <w:t>/</w:t>
        </w:r>
        <w:r w:rsidRPr="00E9582D">
          <w:rPr>
            <w:color w:val="0000FF"/>
            <w:u w:val="single"/>
          </w:rPr>
          <w:t>annemarie5/prebiotic</w:t>
        </w:r>
      </w:hyperlink>
    </w:p>
    <w:p w14:paraId="462DFE90" w14:textId="60C7B6AC" w:rsidR="00016C7F" w:rsidRDefault="00016C7F" w:rsidP="005C0137">
      <w:r>
        <w:t>Once open the above link, download all files with the commit message “</w:t>
      </w:r>
      <w:r w:rsidRPr="00016C7F">
        <w:t>BYOD Final Project - use these files</w:t>
      </w:r>
      <w:r>
        <w:t>.”</w:t>
      </w:r>
    </w:p>
    <w:p w14:paraId="68B7DC84" w14:textId="71B34B5E" w:rsidR="002C0690" w:rsidRPr="005C0137" w:rsidRDefault="006A2410" w:rsidP="005C0137">
      <w:r>
        <w:t>The main R markdown document is “</w:t>
      </w:r>
      <w:proofErr w:type="spellStart"/>
      <w:r w:rsidRPr="006A2410">
        <w:t>Krug_BYOD_</w:t>
      </w:r>
      <w:proofErr w:type="gramStart"/>
      <w:r w:rsidRPr="006A2410">
        <w:t>final.Rmd</w:t>
      </w:r>
      <w:proofErr w:type="spellEnd"/>
      <w:proofErr w:type="gramEnd"/>
      <w:r>
        <w:t>.”</w:t>
      </w:r>
    </w:p>
    <w:p w14:paraId="0B94B6BE" w14:textId="77777777" w:rsidR="00277F84" w:rsidRDefault="005C0137" w:rsidP="00277F84">
      <w:pPr>
        <w:pStyle w:val="Heading1"/>
      </w:pPr>
      <w:bookmarkStart w:id="9" w:name="_Toc27064087"/>
      <w:r>
        <w:t>Results &amp; Discussion</w:t>
      </w:r>
      <w:bookmarkEnd w:id="9"/>
    </w:p>
    <w:p w14:paraId="34A78ED3" w14:textId="484A5E2E" w:rsidR="007044AC" w:rsidRDefault="007044AC" w:rsidP="000F592A">
      <w:pPr>
        <w:pStyle w:val="ListParagraph"/>
        <w:numPr>
          <w:ilvl w:val="0"/>
          <w:numId w:val="46"/>
        </w:numPr>
        <w:rPr>
          <w:b/>
          <w:bCs/>
          <w:u w:val="single"/>
        </w:rPr>
      </w:pPr>
      <w:r w:rsidRPr="00BC7521">
        <w:rPr>
          <w:b/>
          <w:bCs/>
          <w:u w:val="single"/>
        </w:rPr>
        <w:t xml:space="preserve">Visualize the target variables: </w:t>
      </w:r>
    </w:p>
    <w:p w14:paraId="680BE466" w14:textId="692A943D" w:rsidR="000F592A" w:rsidRPr="000F592A" w:rsidRDefault="000F592A" w:rsidP="000F592A">
      <w:r>
        <w:t>The outcome variable for this experiment is presence of Bifidobacterium. The predictor variables are stress, ratio of depression to anxiety, and ERPs in responsive to neutral, positive, and negative image stimuli.</w:t>
      </w:r>
      <w:r w:rsidR="00230600">
        <w:t xml:space="preserve"> Depression, anxiety, and stress are visualized by boxplots in </w:t>
      </w:r>
      <w:r w:rsidR="00230600" w:rsidRPr="00230600">
        <w:rPr>
          <w:b/>
          <w:bCs/>
        </w:rPr>
        <w:t>Figure 1</w:t>
      </w:r>
      <w:r w:rsidR="00230600">
        <w:t xml:space="preserve">, </w:t>
      </w:r>
      <w:r w:rsidR="00230600" w:rsidRPr="00230600">
        <w:rPr>
          <w:b/>
          <w:bCs/>
        </w:rPr>
        <w:t>Figure 2</w:t>
      </w:r>
      <w:r w:rsidR="00230600">
        <w:t xml:space="preserve">, and </w:t>
      </w:r>
      <w:r w:rsidR="00230600" w:rsidRPr="00230600">
        <w:rPr>
          <w:b/>
          <w:bCs/>
        </w:rPr>
        <w:t>Figure 3</w:t>
      </w:r>
      <w:r w:rsidR="00230600">
        <w:t>, respectively.</w:t>
      </w:r>
    </w:p>
    <w:p w14:paraId="1B1F1503" w14:textId="119233E7" w:rsidR="007044AC" w:rsidRDefault="00230600" w:rsidP="000F592A">
      <w:r w:rsidRPr="00230600">
        <w:lastRenderedPageBreak/>
        <w:drawing>
          <wp:inline distT="0" distB="0" distL="0" distR="0" wp14:anchorId="47636C30" wp14:editId="70F2B4E0">
            <wp:extent cx="4707088" cy="2905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3537" cy="2958479"/>
                    </a:xfrm>
                    <a:prstGeom prst="rect">
                      <a:avLst/>
                    </a:prstGeom>
                  </pic:spPr>
                </pic:pic>
              </a:graphicData>
            </a:graphic>
          </wp:inline>
        </w:drawing>
      </w:r>
    </w:p>
    <w:p w14:paraId="30DDD759" w14:textId="5A83872D" w:rsidR="00230600" w:rsidRDefault="00230600" w:rsidP="000F592A">
      <w:r w:rsidRPr="00230600">
        <w:drawing>
          <wp:inline distT="0" distB="0" distL="0" distR="0" wp14:anchorId="243340E7" wp14:editId="34570785">
            <wp:extent cx="4352128" cy="2686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7970" cy="2732858"/>
                    </a:xfrm>
                    <a:prstGeom prst="rect">
                      <a:avLst/>
                    </a:prstGeom>
                  </pic:spPr>
                </pic:pic>
              </a:graphicData>
            </a:graphic>
          </wp:inline>
        </w:drawing>
      </w:r>
    </w:p>
    <w:p w14:paraId="02E5A07E" w14:textId="73C51166" w:rsidR="00230600" w:rsidRDefault="00230600" w:rsidP="000F592A">
      <w:r w:rsidRPr="00230600">
        <w:lastRenderedPageBreak/>
        <w:drawing>
          <wp:inline distT="0" distB="0" distL="0" distR="0" wp14:anchorId="6A39792D" wp14:editId="46523234">
            <wp:extent cx="4410075" cy="272181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8129" cy="2751473"/>
                    </a:xfrm>
                    <a:prstGeom prst="rect">
                      <a:avLst/>
                    </a:prstGeom>
                  </pic:spPr>
                </pic:pic>
              </a:graphicData>
            </a:graphic>
          </wp:inline>
        </w:drawing>
      </w:r>
    </w:p>
    <w:p w14:paraId="4ED9F04A" w14:textId="44558472" w:rsidR="007044AC" w:rsidRDefault="00230600" w:rsidP="00230600">
      <w:r>
        <w:t>The ERPs are displayed by density plots for each of the image categories</w:t>
      </w:r>
      <w:r w:rsidR="00BC11F4">
        <w:t>, which are neutral, positive, and negative.</w:t>
      </w:r>
      <w:r w:rsidR="00443136">
        <w:t xml:space="preserve"> Response to neutral image stimuli </w:t>
      </w:r>
      <w:r w:rsidR="00BC11F4">
        <w:t>by treatment group is</w:t>
      </w:r>
      <w:r w:rsidR="00443136">
        <w:t xml:space="preserve"> displayed in </w:t>
      </w:r>
      <w:r w:rsidR="00443136" w:rsidRPr="00443136">
        <w:rPr>
          <w:b/>
          <w:bCs/>
        </w:rPr>
        <w:t>Figure 4</w:t>
      </w:r>
      <w:r w:rsidR="00443136">
        <w:t>.</w:t>
      </w:r>
    </w:p>
    <w:p w14:paraId="495B4112" w14:textId="77777777" w:rsidR="00E842E6" w:rsidRDefault="00E842E6" w:rsidP="00443136">
      <w:r w:rsidRPr="00E842E6">
        <w:drawing>
          <wp:inline distT="0" distB="0" distL="0" distR="0" wp14:anchorId="6317C914" wp14:editId="4139D0B0">
            <wp:extent cx="3950865" cy="243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8424" cy="2467753"/>
                    </a:xfrm>
                    <a:prstGeom prst="rect">
                      <a:avLst/>
                    </a:prstGeom>
                  </pic:spPr>
                </pic:pic>
              </a:graphicData>
            </a:graphic>
          </wp:inline>
        </w:drawing>
      </w:r>
    </w:p>
    <w:p w14:paraId="7E73CD0C" w14:textId="439A1D94" w:rsidR="00443136" w:rsidRDefault="00443136" w:rsidP="00443136">
      <w:r>
        <w:t xml:space="preserve">Response to positive images </w:t>
      </w:r>
      <w:r w:rsidR="00A237DB">
        <w:t>by treatment group is</w:t>
      </w:r>
      <w:r>
        <w:t xml:space="preserve"> displayed in </w:t>
      </w:r>
      <w:r w:rsidRPr="00443136">
        <w:rPr>
          <w:b/>
          <w:bCs/>
        </w:rPr>
        <w:t>Figure 5</w:t>
      </w:r>
      <w:r>
        <w:t>.</w:t>
      </w:r>
    </w:p>
    <w:p w14:paraId="0C3813BE" w14:textId="6A33A789" w:rsidR="00443136" w:rsidRDefault="00045EF7" w:rsidP="00443136">
      <w:r w:rsidRPr="00045EF7">
        <w:lastRenderedPageBreak/>
        <w:drawing>
          <wp:inline distT="0" distB="0" distL="0" distR="0" wp14:anchorId="5AAF2C9A" wp14:editId="5DF3D03D">
            <wp:extent cx="4105275" cy="253369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4926" cy="2545826"/>
                    </a:xfrm>
                    <a:prstGeom prst="rect">
                      <a:avLst/>
                    </a:prstGeom>
                  </pic:spPr>
                </pic:pic>
              </a:graphicData>
            </a:graphic>
          </wp:inline>
        </w:drawing>
      </w:r>
    </w:p>
    <w:p w14:paraId="3ECADCC5" w14:textId="4B28E6D5" w:rsidR="00443136" w:rsidRDefault="00443136" w:rsidP="00443136">
      <w:r>
        <w:t xml:space="preserve">Response to negative images </w:t>
      </w:r>
      <w:r w:rsidR="00A237DB">
        <w:t>by treatment group is</w:t>
      </w:r>
      <w:r>
        <w:t xml:space="preserve"> displayed in </w:t>
      </w:r>
      <w:r w:rsidRPr="00443136">
        <w:rPr>
          <w:b/>
          <w:bCs/>
        </w:rPr>
        <w:t>Figure 6</w:t>
      </w:r>
      <w:r>
        <w:t>.</w:t>
      </w:r>
    </w:p>
    <w:p w14:paraId="4E89E5BC" w14:textId="1B04A2FA" w:rsidR="00443136" w:rsidRDefault="00045EF7" w:rsidP="00443136">
      <w:r w:rsidRPr="00045EF7">
        <w:drawing>
          <wp:inline distT="0" distB="0" distL="0" distR="0" wp14:anchorId="61A6D461" wp14:editId="0A25BD32">
            <wp:extent cx="4105275" cy="253369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9555" cy="2548683"/>
                    </a:xfrm>
                    <a:prstGeom prst="rect">
                      <a:avLst/>
                    </a:prstGeom>
                  </pic:spPr>
                </pic:pic>
              </a:graphicData>
            </a:graphic>
          </wp:inline>
        </w:drawing>
      </w:r>
    </w:p>
    <w:p w14:paraId="1BED1C20" w14:textId="7CA72522" w:rsidR="0093549C" w:rsidRPr="00A2593E" w:rsidRDefault="0093549C" w:rsidP="00443136">
      <w:r>
        <w:t>Overall, the density plots for the three image categories show that there is increased variance in ERP microvolt response in the CON group compared to the PRE group. Also, there is a greater clustering of responses near zero microvolts in the PRE group compared to the CON group.</w:t>
      </w:r>
      <w:r w:rsidR="00C20507">
        <w:t xml:space="preserve"> This could indicate a normalizing effect of response to emotional images with prebiotic consumption.</w:t>
      </w:r>
    </w:p>
    <w:p w14:paraId="7DB364CA" w14:textId="77777777" w:rsidR="00900C3D" w:rsidRPr="00160B9A" w:rsidRDefault="00900C3D" w:rsidP="001713B6">
      <w:pPr>
        <w:pStyle w:val="ListParagraph"/>
        <w:numPr>
          <w:ilvl w:val="0"/>
          <w:numId w:val="46"/>
        </w:numPr>
        <w:rPr>
          <w:b/>
          <w:bCs/>
          <w:u w:val="single"/>
        </w:rPr>
      </w:pPr>
      <w:r w:rsidRPr="00160B9A">
        <w:rPr>
          <w:b/>
          <w:bCs/>
          <w:u w:val="single"/>
        </w:rPr>
        <w:t xml:space="preserve">Fit logistic </w:t>
      </w:r>
      <w:r>
        <w:rPr>
          <w:b/>
          <w:bCs/>
          <w:u w:val="single"/>
        </w:rPr>
        <w:t xml:space="preserve">regression </w:t>
      </w:r>
      <w:r w:rsidRPr="00160B9A">
        <w:rPr>
          <w:b/>
          <w:bCs/>
          <w:u w:val="single"/>
        </w:rPr>
        <w:t>model</w:t>
      </w:r>
      <w:r>
        <w:rPr>
          <w:b/>
          <w:bCs/>
          <w:u w:val="single"/>
        </w:rPr>
        <w:t>s and visualize distributions by binary response:</w:t>
      </w:r>
    </w:p>
    <w:p w14:paraId="1849040E" w14:textId="3FF11C40" w:rsidR="007044AC" w:rsidRDefault="0023361E" w:rsidP="00097062">
      <w:r>
        <w:t xml:space="preserve">A logistic regression model summary is presented </w:t>
      </w:r>
      <w:r w:rsidRPr="0023361E">
        <w:rPr>
          <w:b/>
          <w:bCs/>
        </w:rPr>
        <w:t>Table 1</w:t>
      </w:r>
      <w:r>
        <w:t xml:space="preserve"> of the next objective</w:t>
      </w:r>
      <w:r w:rsidR="00DC6BA9">
        <w:t xml:space="preserve"> (Obj 3)</w:t>
      </w:r>
      <w:r>
        <w:t xml:space="preserve">. The current objective focuses on visualization by the binary response variable </w:t>
      </w:r>
      <w:r w:rsidRPr="0023361E">
        <w:rPr>
          <w:i/>
          <w:iCs/>
        </w:rPr>
        <w:t>Bifidobacterium</w:t>
      </w:r>
      <w:r>
        <w:t xml:space="preserve">. </w:t>
      </w:r>
      <w:r w:rsidR="00097062">
        <w:t xml:space="preserve">The continuous variable </w:t>
      </w:r>
      <w:r w:rsidR="00097062" w:rsidRPr="00097062">
        <w:rPr>
          <w:i/>
          <w:iCs/>
        </w:rPr>
        <w:t>Bifidobacterium</w:t>
      </w:r>
      <w:r w:rsidR="00097062">
        <w:t xml:space="preserve"> relative abundance was created into a new binary response variable representing presence (1) or absence (0) of </w:t>
      </w:r>
      <w:r w:rsidR="00097062" w:rsidRPr="00097062">
        <w:rPr>
          <w:i/>
          <w:iCs/>
        </w:rPr>
        <w:t>Bifidobacterium</w:t>
      </w:r>
      <w:r w:rsidR="00097062">
        <w:t xml:space="preserve">. The following figures visualize plots of the binary response on the x-axis and distribution of continuous predictor variable on the y-axis. </w:t>
      </w:r>
      <w:r w:rsidR="00EC2272" w:rsidRPr="00EC2272">
        <w:rPr>
          <w:b/>
          <w:bCs/>
        </w:rPr>
        <w:t>Figure 7</w:t>
      </w:r>
      <w:r w:rsidR="00EC2272">
        <w:t xml:space="preserve"> displays stress in the </w:t>
      </w:r>
      <w:r w:rsidR="00DC6BA9">
        <w:t>CON</w:t>
      </w:r>
      <w:r w:rsidR="00EC2272">
        <w:t xml:space="preserve"> group and </w:t>
      </w:r>
      <w:r w:rsidR="00EC2272" w:rsidRPr="00EC2272">
        <w:rPr>
          <w:b/>
          <w:bCs/>
        </w:rPr>
        <w:t>Figure 8</w:t>
      </w:r>
      <w:r w:rsidR="00EC2272">
        <w:t xml:space="preserve"> displays stress in the </w:t>
      </w:r>
      <w:r w:rsidR="00DC6BA9">
        <w:t>PRE</w:t>
      </w:r>
      <w:r w:rsidR="00EC2272">
        <w:t xml:space="preserve"> group.</w:t>
      </w:r>
    </w:p>
    <w:p w14:paraId="5DBF3E7A" w14:textId="37AF16E7" w:rsidR="00EC2272" w:rsidRDefault="00EC2272" w:rsidP="00097062">
      <w:r>
        <w:rPr>
          <w:noProof/>
        </w:rPr>
        <w:lastRenderedPageBreak/>
        <w:drawing>
          <wp:inline distT="0" distB="0" distL="0" distR="0" wp14:anchorId="23F70C13" wp14:editId="6D90AC2A">
            <wp:extent cx="6451278" cy="199072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81486" cy="2000047"/>
                    </a:xfrm>
                    <a:prstGeom prst="rect">
                      <a:avLst/>
                    </a:prstGeom>
                    <a:noFill/>
                  </pic:spPr>
                </pic:pic>
              </a:graphicData>
            </a:graphic>
          </wp:inline>
        </w:drawing>
      </w:r>
    </w:p>
    <w:p w14:paraId="530E70E3" w14:textId="3EE8A6A6" w:rsidR="003E5C3F" w:rsidRDefault="003E5C3F" w:rsidP="00097062">
      <w:r w:rsidRPr="003E5C3F">
        <w:rPr>
          <w:b/>
          <w:bCs/>
        </w:rPr>
        <w:t>Figure 9</w:t>
      </w:r>
      <w:r>
        <w:t xml:space="preserve"> and </w:t>
      </w:r>
      <w:r w:rsidRPr="003E5C3F">
        <w:rPr>
          <w:b/>
          <w:bCs/>
        </w:rPr>
        <w:t>Figure 10</w:t>
      </w:r>
      <w:r>
        <w:t xml:space="preserve"> display </w:t>
      </w:r>
      <w:r w:rsidR="00DC6BA9">
        <w:t xml:space="preserve">the </w:t>
      </w:r>
      <w:r>
        <w:t xml:space="preserve">ratio of depression to anxiety in the </w:t>
      </w:r>
      <w:r w:rsidR="00DC6BA9">
        <w:t>CON</w:t>
      </w:r>
      <w:r>
        <w:t xml:space="preserve"> group and </w:t>
      </w:r>
      <w:r w:rsidR="00DC6BA9">
        <w:t>PRE</w:t>
      </w:r>
      <w:r>
        <w:t xml:space="preserve"> group, respectively.</w:t>
      </w:r>
      <w:r w:rsidR="00B751C2">
        <w:t xml:space="preserve"> </w:t>
      </w:r>
    </w:p>
    <w:p w14:paraId="7E1E09C9" w14:textId="1B2D61C7" w:rsidR="003E5C3F" w:rsidRDefault="009309BB" w:rsidP="00097062">
      <w:r>
        <w:rPr>
          <w:noProof/>
        </w:rPr>
        <w:drawing>
          <wp:inline distT="0" distB="0" distL="0" distR="0" wp14:anchorId="48120D47" wp14:editId="6087D4A5">
            <wp:extent cx="6440170" cy="198685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509802" cy="2008336"/>
                    </a:xfrm>
                    <a:prstGeom prst="rect">
                      <a:avLst/>
                    </a:prstGeom>
                    <a:noFill/>
                  </pic:spPr>
                </pic:pic>
              </a:graphicData>
            </a:graphic>
          </wp:inline>
        </w:drawing>
      </w:r>
    </w:p>
    <w:p w14:paraId="035BC5EB" w14:textId="644F338F" w:rsidR="00014328" w:rsidRDefault="00014328" w:rsidP="00014328">
      <w:r w:rsidRPr="003E5C3F">
        <w:rPr>
          <w:b/>
          <w:bCs/>
        </w:rPr>
        <w:t xml:space="preserve">Figure </w:t>
      </w:r>
      <w:r>
        <w:rPr>
          <w:b/>
          <w:bCs/>
        </w:rPr>
        <w:t>11</w:t>
      </w:r>
      <w:r>
        <w:t xml:space="preserve"> and </w:t>
      </w:r>
      <w:r w:rsidRPr="003E5C3F">
        <w:rPr>
          <w:b/>
          <w:bCs/>
        </w:rPr>
        <w:t>Figure 1</w:t>
      </w:r>
      <w:r>
        <w:rPr>
          <w:b/>
          <w:bCs/>
        </w:rPr>
        <w:t>2</w:t>
      </w:r>
      <w:r>
        <w:t xml:space="preserve"> display </w:t>
      </w:r>
      <w:r>
        <w:t>response to neutral images</w:t>
      </w:r>
      <w:r>
        <w:t xml:space="preserve"> in the </w:t>
      </w:r>
      <w:r w:rsidR="00DC6BA9">
        <w:t>CON</w:t>
      </w:r>
      <w:r>
        <w:t xml:space="preserve"> group and </w:t>
      </w:r>
      <w:r w:rsidR="00DC6BA9">
        <w:t>PRE</w:t>
      </w:r>
      <w:r>
        <w:t xml:space="preserve"> group, respectively.</w:t>
      </w:r>
    </w:p>
    <w:p w14:paraId="1A169019" w14:textId="2487250A" w:rsidR="00014328" w:rsidRDefault="00244FAF" w:rsidP="00014328">
      <w:r>
        <w:rPr>
          <w:noProof/>
        </w:rPr>
        <w:drawing>
          <wp:inline distT="0" distB="0" distL="0" distR="0" wp14:anchorId="5831B0AB" wp14:editId="7D524373">
            <wp:extent cx="6423374" cy="1981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45476" cy="1988017"/>
                    </a:xfrm>
                    <a:prstGeom prst="rect">
                      <a:avLst/>
                    </a:prstGeom>
                    <a:noFill/>
                  </pic:spPr>
                </pic:pic>
              </a:graphicData>
            </a:graphic>
          </wp:inline>
        </w:drawing>
      </w:r>
    </w:p>
    <w:p w14:paraId="72C47BEB" w14:textId="49FAD64F" w:rsidR="00014328" w:rsidRDefault="00014328" w:rsidP="00014328">
      <w:r w:rsidRPr="003E5C3F">
        <w:rPr>
          <w:b/>
          <w:bCs/>
        </w:rPr>
        <w:t xml:space="preserve">Figure </w:t>
      </w:r>
      <w:r>
        <w:rPr>
          <w:b/>
          <w:bCs/>
        </w:rPr>
        <w:t>13</w:t>
      </w:r>
      <w:r>
        <w:t xml:space="preserve"> and </w:t>
      </w:r>
      <w:r w:rsidRPr="003E5C3F">
        <w:rPr>
          <w:b/>
          <w:bCs/>
        </w:rPr>
        <w:t xml:space="preserve">Figure </w:t>
      </w:r>
      <w:r>
        <w:rPr>
          <w:b/>
          <w:bCs/>
        </w:rPr>
        <w:t>14</w:t>
      </w:r>
      <w:r>
        <w:t xml:space="preserve"> display response to </w:t>
      </w:r>
      <w:r>
        <w:t>positive</w:t>
      </w:r>
      <w:r>
        <w:t xml:space="preserve"> images in the </w:t>
      </w:r>
      <w:r w:rsidR="00DC6BA9">
        <w:t>CON</w:t>
      </w:r>
      <w:r>
        <w:t xml:space="preserve"> group and </w:t>
      </w:r>
      <w:r w:rsidR="00DC6BA9">
        <w:t>PRE</w:t>
      </w:r>
      <w:r>
        <w:t xml:space="preserve"> group, respectively.</w:t>
      </w:r>
    </w:p>
    <w:p w14:paraId="747C2037" w14:textId="6F109A7C" w:rsidR="00014328" w:rsidRDefault="00AD0017" w:rsidP="00014328">
      <w:r>
        <w:rPr>
          <w:noProof/>
        </w:rPr>
        <w:lastRenderedPageBreak/>
        <w:drawing>
          <wp:inline distT="0" distB="0" distL="0" distR="0" wp14:anchorId="3BE2A539" wp14:editId="44561079">
            <wp:extent cx="6392545" cy="1972161"/>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25161" cy="1982223"/>
                    </a:xfrm>
                    <a:prstGeom prst="rect">
                      <a:avLst/>
                    </a:prstGeom>
                    <a:noFill/>
                  </pic:spPr>
                </pic:pic>
              </a:graphicData>
            </a:graphic>
          </wp:inline>
        </w:drawing>
      </w:r>
    </w:p>
    <w:p w14:paraId="370CDBDF" w14:textId="6A797B77" w:rsidR="00014328" w:rsidRDefault="00014328" w:rsidP="00097062">
      <w:r w:rsidRPr="003E5C3F">
        <w:rPr>
          <w:b/>
          <w:bCs/>
        </w:rPr>
        <w:t xml:space="preserve">Figure </w:t>
      </w:r>
      <w:r>
        <w:rPr>
          <w:b/>
          <w:bCs/>
        </w:rPr>
        <w:t>15</w:t>
      </w:r>
      <w:r>
        <w:t xml:space="preserve"> and </w:t>
      </w:r>
      <w:r w:rsidRPr="003E5C3F">
        <w:rPr>
          <w:b/>
          <w:bCs/>
        </w:rPr>
        <w:t xml:space="preserve">Figure </w:t>
      </w:r>
      <w:r>
        <w:rPr>
          <w:b/>
          <w:bCs/>
        </w:rPr>
        <w:t>16</w:t>
      </w:r>
      <w:r>
        <w:t xml:space="preserve"> display response to ne</w:t>
      </w:r>
      <w:r>
        <w:t>gative</w:t>
      </w:r>
      <w:r>
        <w:t xml:space="preserve"> images in the </w:t>
      </w:r>
      <w:r w:rsidR="000B7CAD">
        <w:t>CON</w:t>
      </w:r>
      <w:r>
        <w:t xml:space="preserve"> group and </w:t>
      </w:r>
      <w:r w:rsidR="000B7CAD">
        <w:t>PRE</w:t>
      </w:r>
      <w:r>
        <w:t xml:space="preserve"> group, respectively.</w:t>
      </w:r>
    </w:p>
    <w:p w14:paraId="0F06A600" w14:textId="4DD8C548" w:rsidR="00014328" w:rsidRDefault="003D653C" w:rsidP="00097062">
      <w:r>
        <w:rPr>
          <w:noProof/>
        </w:rPr>
        <w:drawing>
          <wp:inline distT="0" distB="0" distL="0" distR="0" wp14:anchorId="08728C24" wp14:editId="16BA64F1">
            <wp:extent cx="6415405" cy="1979390"/>
            <wp:effectExtent l="0" t="0" r="444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468591" cy="1995800"/>
                    </a:xfrm>
                    <a:prstGeom prst="rect">
                      <a:avLst/>
                    </a:prstGeom>
                    <a:noFill/>
                  </pic:spPr>
                </pic:pic>
              </a:graphicData>
            </a:graphic>
          </wp:inline>
        </w:drawing>
      </w:r>
    </w:p>
    <w:p w14:paraId="101541E3" w14:textId="7500C84F" w:rsidR="00B751C2" w:rsidRDefault="00B751C2" w:rsidP="00097062">
      <w:r>
        <w:t xml:space="preserve">Overall, these plots show that there are more data points in both the PRE group and CON group that have </w:t>
      </w:r>
      <w:r w:rsidRPr="00B751C2">
        <w:rPr>
          <w:i/>
          <w:iCs/>
        </w:rPr>
        <w:t>Bifidobacterium</w:t>
      </w:r>
      <w:r>
        <w:t xml:space="preserve"> present. Also, there is quite a bit of variance in the y-axis variable when </w:t>
      </w:r>
      <w:r w:rsidRPr="00B751C2">
        <w:rPr>
          <w:i/>
          <w:iCs/>
        </w:rPr>
        <w:t>Bifidobacterium</w:t>
      </w:r>
      <w:r>
        <w:t xml:space="preserve"> is present. These factors make it difficult to make inferences on the data from visual inspection.</w:t>
      </w:r>
      <w:r w:rsidR="00B33C85">
        <w:t xml:space="preserve"> Actual coefficient estimates from the logistic regression models are presented in Obj 3 below.</w:t>
      </w:r>
    </w:p>
    <w:p w14:paraId="3A11698C" w14:textId="77777777" w:rsidR="00C80475" w:rsidRDefault="00C80475" w:rsidP="00097062"/>
    <w:p w14:paraId="442D4A14" w14:textId="436DFE93" w:rsidR="007044AC" w:rsidRPr="00160B9A" w:rsidRDefault="00097062" w:rsidP="007044AC">
      <w:pPr>
        <w:pStyle w:val="ListParagraph"/>
        <w:numPr>
          <w:ilvl w:val="0"/>
          <w:numId w:val="46"/>
        </w:numPr>
        <w:rPr>
          <w:b/>
          <w:bCs/>
          <w:u w:val="single"/>
        </w:rPr>
      </w:pPr>
      <w:r>
        <w:rPr>
          <w:b/>
          <w:bCs/>
          <w:u w:val="single"/>
        </w:rPr>
        <w:t>A</w:t>
      </w:r>
      <w:r w:rsidR="007044AC" w:rsidRPr="00160B9A">
        <w:rPr>
          <w:b/>
          <w:bCs/>
          <w:u w:val="single"/>
        </w:rPr>
        <w:t xml:space="preserve">nalyze logistic </w:t>
      </w:r>
      <w:r w:rsidR="002D2787">
        <w:rPr>
          <w:b/>
          <w:bCs/>
          <w:u w:val="single"/>
        </w:rPr>
        <w:t xml:space="preserve">regression </w:t>
      </w:r>
      <w:r w:rsidR="007044AC" w:rsidRPr="00160B9A">
        <w:rPr>
          <w:b/>
          <w:bCs/>
          <w:u w:val="single"/>
        </w:rPr>
        <w:t>model fits:</w:t>
      </w:r>
    </w:p>
    <w:p w14:paraId="6596CDB1" w14:textId="2B9EFA04" w:rsidR="00627131" w:rsidRDefault="00F12404" w:rsidP="00627131">
      <w:r>
        <w:t xml:space="preserve">None of the </w:t>
      </w:r>
      <w:r w:rsidR="006155EB">
        <w:t xml:space="preserve">predictor variables </w:t>
      </w:r>
      <w:r>
        <w:t xml:space="preserve">tested </w:t>
      </w:r>
      <w:r w:rsidR="006155EB">
        <w:t>have significant effects</w:t>
      </w:r>
      <w:r>
        <w:t xml:space="preserve"> on presence of </w:t>
      </w:r>
      <w:r w:rsidRPr="00F12404">
        <w:rPr>
          <w:i/>
          <w:iCs/>
        </w:rPr>
        <w:t>Bifidobacterium</w:t>
      </w:r>
      <w:r>
        <w:t>. The</w:t>
      </w:r>
      <w:r w:rsidR="007044AC">
        <w:t xml:space="preserve"> model </w:t>
      </w:r>
      <w:r>
        <w:t>with</w:t>
      </w:r>
      <w:r w:rsidR="007044AC">
        <w:t xml:space="preserve"> the highest AIC value</w:t>
      </w:r>
      <w:r>
        <w:t xml:space="preserve">, which means the least good fit, used the identity link function with the predictor the ratio of depression to anxiety in the prebiotic group. This model has an AIC of 25.377. The model with the lowest AIC value, which means the best fit, used the identity link function with the predictor the ERP response to neutral images in the prebiotic group. The model has an AIC of 13.781. The predictor from this model also has the </w:t>
      </w:r>
      <w:r w:rsidR="00627131">
        <w:t xml:space="preserve">lowest p-value at p = 0.1550. However, this is still not a significant effect. </w:t>
      </w:r>
      <w:r w:rsidR="00627131" w:rsidRPr="00627131">
        <w:rPr>
          <w:b/>
          <w:bCs/>
        </w:rPr>
        <w:t>Table 1</w:t>
      </w:r>
      <w:r w:rsidR="00627131">
        <w:t xml:space="preserve"> </w:t>
      </w:r>
      <w:r w:rsidR="00C80475">
        <w:t xml:space="preserve">on the following page </w:t>
      </w:r>
      <w:r w:rsidR="00627131">
        <w:t>summarizes the logistic regression models by predictor and treatment group.</w:t>
      </w:r>
    </w:p>
    <w:p w14:paraId="41313C8A" w14:textId="18EC52DA" w:rsidR="00C80475" w:rsidRDefault="00C80475" w:rsidP="00627131"/>
    <w:p w14:paraId="3D332B12" w14:textId="6F081C04" w:rsidR="00C80475" w:rsidRDefault="00C80475" w:rsidP="00627131"/>
    <w:p w14:paraId="2527B46D" w14:textId="7F416D85" w:rsidR="00C80475" w:rsidRDefault="00C80475" w:rsidP="00627131"/>
    <w:p w14:paraId="0C1382CD" w14:textId="638DB322" w:rsidR="00C80475" w:rsidRDefault="00C80475" w:rsidP="00627131"/>
    <w:p w14:paraId="4E1E1630" w14:textId="73460C6C" w:rsidR="00C80475" w:rsidRDefault="00C80475" w:rsidP="00627131"/>
    <w:p w14:paraId="51D50A81" w14:textId="77777777" w:rsidR="00C80475" w:rsidRDefault="00C80475" w:rsidP="00627131"/>
    <w:tbl>
      <w:tblPr>
        <w:tblStyle w:val="TableGrid"/>
        <w:tblW w:w="0" w:type="auto"/>
        <w:tblLook w:val="04A0" w:firstRow="1" w:lastRow="0" w:firstColumn="1" w:lastColumn="0" w:noHBand="0" w:noVBand="1"/>
      </w:tblPr>
      <w:tblGrid>
        <w:gridCol w:w="1423"/>
        <w:gridCol w:w="1452"/>
        <w:gridCol w:w="1310"/>
        <w:gridCol w:w="1380"/>
        <w:gridCol w:w="1450"/>
        <w:gridCol w:w="1314"/>
        <w:gridCol w:w="1381"/>
      </w:tblGrid>
      <w:tr w:rsidR="009A16BC" w14:paraId="574ADC67" w14:textId="77777777" w:rsidTr="00674D4B">
        <w:tc>
          <w:tcPr>
            <w:tcW w:w="9710" w:type="dxa"/>
            <w:gridSpan w:val="7"/>
          </w:tcPr>
          <w:p w14:paraId="79E16775" w14:textId="655DEDF8" w:rsidR="009A16BC" w:rsidRPr="009A16BC" w:rsidRDefault="009A16BC" w:rsidP="009A16BC">
            <w:r w:rsidRPr="00627131">
              <w:rPr>
                <w:b/>
                <w:bCs/>
              </w:rPr>
              <w:lastRenderedPageBreak/>
              <w:t>Table 1.</w:t>
            </w:r>
            <w:r w:rsidRPr="009A16BC">
              <w:t xml:space="preserve"> </w:t>
            </w:r>
            <w:r w:rsidR="00630034">
              <w:t>Logistic regression model</w:t>
            </w:r>
            <w:r w:rsidRPr="009A16BC">
              <w:t xml:space="preserve"> summaries </w:t>
            </w:r>
            <w:r w:rsidR="009B5747">
              <w:t xml:space="preserve">of </w:t>
            </w:r>
            <w:r w:rsidR="009B5747" w:rsidRPr="008C6423">
              <w:rPr>
                <w:i/>
                <w:iCs/>
              </w:rPr>
              <w:t>Bifidobacte</w:t>
            </w:r>
            <w:r w:rsidR="008C6423">
              <w:rPr>
                <w:i/>
                <w:iCs/>
              </w:rPr>
              <w:t>ri</w:t>
            </w:r>
            <w:r w:rsidR="009B5747" w:rsidRPr="008C6423">
              <w:rPr>
                <w:i/>
                <w:iCs/>
              </w:rPr>
              <w:t>um</w:t>
            </w:r>
            <w:r w:rsidR="009B5747">
              <w:t xml:space="preserve"> presence </w:t>
            </w:r>
            <w:r w:rsidRPr="009A16BC">
              <w:t>by treatment and predictor variable</w:t>
            </w:r>
          </w:p>
        </w:tc>
      </w:tr>
      <w:tr w:rsidR="009A16BC" w14:paraId="3545BC6D" w14:textId="77777777" w:rsidTr="00971D70">
        <w:tc>
          <w:tcPr>
            <w:tcW w:w="1423" w:type="dxa"/>
          </w:tcPr>
          <w:p w14:paraId="6DF640A5" w14:textId="7AC468E8" w:rsidR="009A16BC" w:rsidRPr="00EB37FC" w:rsidRDefault="009A16BC" w:rsidP="009A16BC">
            <w:pPr>
              <w:rPr>
                <w:b/>
                <w:bCs/>
              </w:rPr>
            </w:pPr>
          </w:p>
        </w:tc>
        <w:tc>
          <w:tcPr>
            <w:tcW w:w="4142" w:type="dxa"/>
            <w:gridSpan w:val="3"/>
          </w:tcPr>
          <w:p w14:paraId="48533473" w14:textId="67F01AD2" w:rsidR="009A16BC" w:rsidRPr="00EB37FC" w:rsidRDefault="009A16BC" w:rsidP="009A16BC">
            <w:pPr>
              <w:rPr>
                <w:b/>
                <w:bCs/>
              </w:rPr>
            </w:pPr>
            <w:r w:rsidRPr="00EB37FC">
              <w:rPr>
                <w:b/>
                <w:bCs/>
              </w:rPr>
              <w:t xml:space="preserve">Family = </w:t>
            </w:r>
            <w:proofErr w:type="gramStart"/>
            <w:r w:rsidRPr="00EB37FC">
              <w:rPr>
                <w:b/>
                <w:bCs/>
              </w:rPr>
              <w:t>binomial(</w:t>
            </w:r>
            <w:proofErr w:type="gramEnd"/>
            <w:r w:rsidRPr="00EB37FC">
              <w:rPr>
                <w:b/>
                <w:bCs/>
              </w:rPr>
              <w:t>)</w:t>
            </w:r>
          </w:p>
        </w:tc>
        <w:tc>
          <w:tcPr>
            <w:tcW w:w="4145" w:type="dxa"/>
            <w:gridSpan w:val="3"/>
          </w:tcPr>
          <w:p w14:paraId="358E75B0" w14:textId="6F7DD7AB" w:rsidR="009A16BC" w:rsidRPr="00EB37FC" w:rsidRDefault="009A16BC" w:rsidP="009A16BC">
            <w:pPr>
              <w:rPr>
                <w:b/>
                <w:bCs/>
              </w:rPr>
            </w:pPr>
            <w:r w:rsidRPr="00EB37FC">
              <w:rPr>
                <w:b/>
                <w:bCs/>
              </w:rPr>
              <w:t xml:space="preserve">Family = </w:t>
            </w:r>
            <w:proofErr w:type="gramStart"/>
            <w:r w:rsidRPr="00EB37FC">
              <w:rPr>
                <w:b/>
                <w:bCs/>
              </w:rPr>
              <w:t>binomial(</w:t>
            </w:r>
            <w:proofErr w:type="gramEnd"/>
            <w:r w:rsidRPr="00EB37FC">
              <w:rPr>
                <w:b/>
                <w:bCs/>
              </w:rPr>
              <w:t>link = "</w:t>
            </w:r>
            <w:proofErr w:type="spellStart"/>
            <w:r w:rsidRPr="00EB37FC">
              <w:rPr>
                <w:b/>
                <w:bCs/>
              </w:rPr>
              <w:t>probit</w:t>
            </w:r>
            <w:proofErr w:type="spellEnd"/>
            <w:r w:rsidRPr="00EB37FC">
              <w:rPr>
                <w:b/>
                <w:bCs/>
              </w:rPr>
              <w:t>")</w:t>
            </w:r>
          </w:p>
        </w:tc>
      </w:tr>
      <w:tr w:rsidR="009A16BC" w14:paraId="64A7E321" w14:textId="77777777" w:rsidTr="00EB37FC">
        <w:tc>
          <w:tcPr>
            <w:tcW w:w="1423" w:type="dxa"/>
          </w:tcPr>
          <w:p w14:paraId="4F5A731E" w14:textId="5BF996E6" w:rsidR="009A16BC" w:rsidRPr="00EB37FC" w:rsidRDefault="003632B6" w:rsidP="009A16BC">
            <w:pPr>
              <w:rPr>
                <w:b/>
                <w:bCs/>
              </w:rPr>
            </w:pPr>
            <w:r w:rsidRPr="00EB37FC">
              <w:rPr>
                <w:b/>
                <w:bCs/>
              </w:rPr>
              <w:t xml:space="preserve">Predictor: </w:t>
            </w:r>
            <w:proofErr w:type="spellStart"/>
            <w:r w:rsidRPr="00EB37FC">
              <w:rPr>
                <w:b/>
                <w:bCs/>
              </w:rPr>
              <w:t>Trt</w:t>
            </w:r>
            <w:proofErr w:type="spellEnd"/>
          </w:p>
        </w:tc>
        <w:tc>
          <w:tcPr>
            <w:tcW w:w="1452" w:type="dxa"/>
          </w:tcPr>
          <w:p w14:paraId="5BFF37B7" w14:textId="48F9DBB8" w:rsidR="009A16BC" w:rsidRPr="00EB37FC" w:rsidRDefault="009A16BC" w:rsidP="009A16BC">
            <w:pPr>
              <w:rPr>
                <w:b/>
                <w:bCs/>
              </w:rPr>
            </w:pPr>
            <w:r w:rsidRPr="00EB37FC">
              <w:rPr>
                <w:b/>
                <w:bCs/>
              </w:rPr>
              <w:t>Estimate ± SE</w:t>
            </w:r>
          </w:p>
        </w:tc>
        <w:tc>
          <w:tcPr>
            <w:tcW w:w="1310" w:type="dxa"/>
          </w:tcPr>
          <w:p w14:paraId="69093DF2" w14:textId="1BFFFF6A" w:rsidR="009A16BC" w:rsidRPr="00EB37FC" w:rsidRDefault="009A16BC" w:rsidP="009A16BC">
            <w:pPr>
              <w:rPr>
                <w:b/>
                <w:bCs/>
              </w:rPr>
            </w:pPr>
            <w:r w:rsidRPr="00EB37FC">
              <w:rPr>
                <w:b/>
                <w:bCs/>
              </w:rPr>
              <w:t>p-value</w:t>
            </w:r>
          </w:p>
        </w:tc>
        <w:tc>
          <w:tcPr>
            <w:tcW w:w="1380" w:type="dxa"/>
          </w:tcPr>
          <w:p w14:paraId="229A5E48" w14:textId="3EB483D0" w:rsidR="009A16BC" w:rsidRPr="00EB37FC" w:rsidRDefault="009A16BC" w:rsidP="009A16BC">
            <w:pPr>
              <w:rPr>
                <w:b/>
                <w:bCs/>
              </w:rPr>
            </w:pPr>
            <w:r w:rsidRPr="00EB37FC">
              <w:rPr>
                <w:b/>
                <w:bCs/>
              </w:rPr>
              <w:t>AIC</w:t>
            </w:r>
          </w:p>
        </w:tc>
        <w:tc>
          <w:tcPr>
            <w:tcW w:w="1450" w:type="dxa"/>
          </w:tcPr>
          <w:p w14:paraId="171FC32E" w14:textId="1CDB0F98" w:rsidR="009A16BC" w:rsidRPr="00EB37FC" w:rsidRDefault="009A16BC" w:rsidP="009A16BC">
            <w:pPr>
              <w:rPr>
                <w:b/>
                <w:bCs/>
              </w:rPr>
            </w:pPr>
            <w:r w:rsidRPr="00EB37FC">
              <w:rPr>
                <w:b/>
                <w:bCs/>
              </w:rPr>
              <w:t>Estimate ± SE</w:t>
            </w:r>
          </w:p>
        </w:tc>
        <w:tc>
          <w:tcPr>
            <w:tcW w:w="1314" w:type="dxa"/>
          </w:tcPr>
          <w:p w14:paraId="388F7914" w14:textId="1AF20261" w:rsidR="009A16BC" w:rsidRPr="00EB37FC" w:rsidRDefault="009A16BC" w:rsidP="009A16BC">
            <w:pPr>
              <w:rPr>
                <w:b/>
                <w:bCs/>
              </w:rPr>
            </w:pPr>
            <w:r w:rsidRPr="00EB37FC">
              <w:rPr>
                <w:b/>
                <w:bCs/>
              </w:rPr>
              <w:t>p-value</w:t>
            </w:r>
          </w:p>
        </w:tc>
        <w:tc>
          <w:tcPr>
            <w:tcW w:w="1381" w:type="dxa"/>
          </w:tcPr>
          <w:p w14:paraId="7324C509" w14:textId="5151F3A4" w:rsidR="009A16BC" w:rsidRPr="00EB37FC" w:rsidRDefault="009A16BC" w:rsidP="009A16BC">
            <w:pPr>
              <w:rPr>
                <w:b/>
                <w:bCs/>
              </w:rPr>
            </w:pPr>
            <w:r w:rsidRPr="00EB37FC">
              <w:rPr>
                <w:b/>
                <w:bCs/>
              </w:rPr>
              <w:t>AIC</w:t>
            </w:r>
          </w:p>
        </w:tc>
      </w:tr>
      <w:tr w:rsidR="009A16BC" w14:paraId="12ACDEA1" w14:textId="77777777" w:rsidTr="00EB37FC">
        <w:tc>
          <w:tcPr>
            <w:tcW w:w="1423" w:type="dxa"/>
          </w:tcPr>
          <w:p w14:paraId="17C14261" w14:textId="0E9576AD" w:rsidR="009A16BC" w:rsidRDefault="009A16BC" w:rsidP="009A16BC">
            <w:r>
              <w:t>Stress: CON</w:t>
            </w:r>
          </w:p>
        </w:tc>
        <w:tc>
          <w:tcPr>
            <w:tcW w:w="1452" w:type="dxa"/>
          </w:tcPr>
          <w:p w14:paraId="6C1C5176" w14:textId="51D9702F" w:rsidR="009A16BC" w:rsidRDefault="00952001" w:rsidP="009A16BC">
            <w:r>
              <w:t>-0.04 ± 0.09</w:t>
            </w:r>
          </w:p>
        </w:tc>
        <w:tc>
          <w:tcPr>
            <w:tcW w:w="1310" w:type="dxa"/>
          </w:tcPr>
          <w:p w14:paraId="156E0DFC" w14:textId="44DAE092" w:rsidR="009A16BC" w:rsidRDefault="00952001" w:rsidP="009A16BC">
            <w:r>
              <w:t>0.6665</w:t>
            </w:r>
          </w:p>
        </w:tc>
        <w:tc>
          <w:tcPr>
            <w:tcW w:w="1380" w:type="dxa"/>
          </w:tcPr>
          <w:p w14:paraId="3A1B489A" w14:textId="0EAEFF5F" w:rsidR="009A16BC" w:rsidRDefault="00952001" w:rsidP="009A16BC">
            <w:r>
              <w:t>21.911</w:t>
            </w:r>
          </w:p>
        </w:tc>
        <w:tc>
          <w:tcPr>
            <w:tcW w:w="1450" w:type="dxa"/>
          </w:tcPr>
          <w:p w14:paraId="43BCFD6F" w14:textId="0540E3B4" w:rsidR="009A16BC" w:rsidRDefault="006C7800" w:rsidP="009A16BC">
            <w:r>
              <w:t>-0.02 ± 0.05</w:t>
            </w:r>
          </w:p>
        </w:tc>
        <w:tc>
          <w:tcPr>
            <w:tcW w:w="1314" w:type="dxa"/>
          </w:tcPr>
          <w:p w14:paraId="44535BB9" w14:textId="3FACA4C1" w:rsidR="009A16BC" w:rsidRDefault="006C7800" w:rsidP="009A16BC">
            <w:r>
              <w:t>0.63028</w:t>
            </w:r>
          </w:p>
        </w:tc>
        <w:tc>
          <w:tcPr>
            <w:tcW w:w="1381" w:type="dxa"/>
          </w:tcPr>
          <w:p w14:paraId="4CF29E39" w14:textId="138FCFA0" w:rsidR="009A16BC" w:rsidRDefault="006C7800" w:rsidP="009A16BC">
            <w:r>
              <w:t>21.885</w:t>
            </w:r>
          </w:p>
        </w:tc>
      </w:tr>
      <w:tr w:rsidR="009A16BC" w14:paraId="5788D84A" w14:textId="77777777" w:rsidTr="00EB37FC">
        <w:tc>
          <w:tcPr>
            <w:tcW w:w="1423" w:type="dxa"/>
          </w:tcPr>
          <w:p w14:paraId="0CE58BE0" w14:textId="7A7BB884" w:rsidR="009A16BC" w:rsidRDefault="009A16BC" w:rsidP="009A16BC">
            <w:r>
              <w:t>Stress: PRE</w:t>
            </w:r>
          </w:p>
        </w:tc>
        <w:tc>
          <w:tcPr>
            <w:tcW w:w="1452" w:type="dxa"/>
          </w:tcPr>
          <w:p w14:paraId="5D33CB7E" w14:textId="2D96A00A" w:rsidR="009A16BC" w:rsidRDefault="00952001" w:rsidP="009A16BC">
            <w:r>
              <w:t>0.05 ± 0.10</w:t>
            </w:r>
          </w:p>
        </w:tc>
        <w:tc>
          <w:tcPr>
            <w:tcW w:w="1310" w:type="dxa"/>
          </w:tcPr>
          <w:p w14:paraId="271286AE" w14:textId="1AF489FE" w:rsidR="009A16BC" w:rsidRDefault="00952001" w:rsidP="009A16BC">
            <w:r>
              <w:t>0.605</w:t>
            </w:r>
          </w:p>
        </w:tc>
        <w:tc>
          <w:tcPr>
            <w:tcW w:w="1380" w:type="dxa"/>
          </w:tcPr>
          <w:p w14:paraId="0CC575E4" w14:textId="03DF4919" w:rsidR="009A16BC" w:rsidRDefault="00952001" w:rsidP="009A16BC">
            <w:r>
              <w:t>25.299</w:t>
            </w:r>
          </w:p>
        </w:tc>
        <w:tc>
          <w:tcPr>
            <w:tcW w:w="1450" w:type="dxa"/>
          </w:tcPr>
          <w:p w14:paraId="0E48538B" w14:textId="4FC1A6DB" w:rsidR="009A16BC" w:rsidRDefault="006C7800" w:rsidP="009A16BC">
            <w:r>
              <w:t>0.03 ± 0.05</w:t>
            </w:r>
          </w:p>
        </w:tc>
        <w:tc>
          <w:tcPr>
            <w:tcW w:w="1314" w:type="dxa"/>
          </w:tcPr>
          <w:p w14:paraId="07B9B951" w14:textId="175DB76D" w:rsidR="009A16BC" w:rsidRDefault="006C7800" w:rsidP="009A16BC">
            <w:r>
              <w:t>0.5877</w:t>
            </w:r>
          </w:p>
        </w:tc>
        <w:tc>
          <w:tcPr>
            <w:tcW w:w="1381" w:type="dxa"/>
          </w:tcPr>
          <w:p w14:paraId="7B070647" w14:textId="4B3A1750" w:rsidR="009A16BC" w:rsidRDefault="006C7800" w:rsidP="009A16BC">
            <w:r>
              <w:t>25.298</w:t>
            </w:r>
          </w:p>
        </w:tc>
      </w:tr>
      <w:tr w:rsidR="00971D70" w14:paraId="06BE7BA1" w14:textId="77777777" w:rsidTr="00EB37FC">
        <w:tc>
          <w:tcPr>
            <w:tcW w:w="1423" w:type="dxa"/>
          </w:tcPr>
          <w:p w14:paraId="37DE6A85" w14:textId="2CC133BC" w:rsidR="00971D70" w:rsidRDefault="00971D70" w:rsidP="00971D70">
            <w:r>
              <w:t>Dep/</w:t>
            </w:r>
            <w:proofErr w:type="spellStart"/>
            <w:proofErr w:type="gramStart"/>
            <w:r>
              <w:t>Anx:CON</w:t>
            </w:r>
            <w:proofErr w:type="spellEnd"/>
            <w:proofErr w:type="gramEnd"/>
          </w:p>
        </w:tc>
        <w:tc>
          <w:tcPr>
            <w:tcW w:w="1452" w:type="dxa"/>
          </w:tcPr>
          <w:p w14:paraId="6AA94FC6" w14:textId="19777620" w:rsidR="00971D70" w:rsidRDefault="00971D70" w:rsidP="00971D70">
            <w:r>
              <w:t>0.02 ± 0.27</w:t>
            </w:r>
          </w:p>
        </w:tc>
        <w:tc>
          <w:tcPr>
            <w:tcW w:w="1310" w:type="dxa"/>
          </w:tcPr>
          <w:p w14:paraId="7C664880" w14:textId="00875B43" w:rsidR="00971D70" w:rsidRDefault="00971D70" w:rsidP="00971D70">
            <w:r>
              <w:t>0.9375</w:t>
            </w:r>
          </w:p>
        </w:tc>
        <w:tc>
          <w:tcPr>
            <w:tcW w:w="1380" w:type="dxa"/>
          </w:tcPr>
          <w:p w14:paraId="7AF85414" w14:textId="7F293858" w:rsidR="00971D70" w:rsidRDefault="00971D70" w:rsidP="00971D70">
            <w:r>
              <w:t>22.079</w:t>
            </w:r>
          </w:p>
        </w:tc>
        <w:tc>
          <w:tcPr>
            <w:tcW w:w="1450" w:type="dxa"/>
          </w:tcPr>
          <w:p w14:paraId="23BE6D97" w14:textId="3A23FF09" w:rsidR="00971D70" w:rsidRDefault="00A07D79" w:rsidP="00971D70">
            <w:r>
              <w:t xml:space="preserve">0.01 </w:t>
            </w:r>
            <w:r w:rsidR="00971D70" w:rsidRPr="00B56BD7">
              <w:t>±</w:t>
            </w:r>
            <w:r>
              <w:t xml:space="preserve"> 0.14</w:t>
            </w:r>
          </w:p>
        </w:tc>
        <w:tc>
          <w:tcPr>
            <w:tcW w:w="1314" w:type="dxa"/>
          </w:tcPr>
          <w:p w14:paraId="5B7F0A1A" w14:textId="6ADF384E" w:rsidR="00971D70" w:rsidRDefault="00A07D79" w:rsidP="00971D70">
            <w:r>
              <w:t>0.92656</w:t>
            </w:r>
          </w:p>
        </w:tc>
        <w:tc>
          <w:tcPr>
            <w:tcW w:w="1381" w:type="dxa"/>
          </w:tcPr>
          <w:p w14:paraId="33B375E4" w14:textId="0226C42D" w:rsidR="00971D70" w:rsidRDefault="00A07D79" w:rsidP="00971D70">
            <w:r>
              <w:t>22.078</w:t>
            </w:r>
          </w:p>
        </w:tc>
      </w:tr>
      <w:tr w:rsidR="00971D70" w14:paraId="5977D40F" w14:textId="77777777" w:rsidTr="00EB37FC">
        <w:tc>
          <w:tcPr>
            <w:tcW w:w="1423" w:type="dxa"/>
          </w:tcPr>
          <w:p w14:paraId="5499941F" w14:textId="510DD46B" w:rsidR="00971D70" w:rsidRDefault="00971D70" w:rsidP="00971D70">
            <w:r>
              <w:t>Dep/</w:t>
            </w:r>
            <w:proofErr w:type="spellStart"/>
            <w:r>
              <w:t>Anx</w:t>
            </w:r>
            <w:proofErr w:type="spellEnd"/>
            <w:r>
              <w:t>: PRE</w:t>
            </w:r>
          </w:p>
        </w:tc>
        <w:tc>
          <w:tcPr>
            <w:tcW w:w="1452" w:type="dxa"/>
          </w:tcPr>
          <w:p w14:paraId="22D451CA" w14:textId="0ADB1E45" w:rsidR="00971D70" w:rsidRDefault="00971D70" w:rsidP="00971D70">
            <w:r>
              <w:t xml:space="preserve">0.21 </w:t>
            </w:r>
            <w:r w:rsidRPr="00A45C05">
              <w:t>±</w:t>
            </w:r>
            <w:r>
              <w:t xml:space="preserve"> 0.46</w:t>
            </w:r>
          </w:p>
        </w:tc>
        <w:tc>
          <w:tcPr>
            <w:tcW w:w="1310" w:type="dxa"/>
          </w:tcPr>
          <w:p w14:paraId="465274C5" w14:textId="7AA3CDC9" w:rsidR="00971D70" w:rsidRDefault="00971D70" w:rsidP="00971D70">
            <w:r>
              <w:t>0.645</w:t>
            </w:r>
          </w:p>
        </w:tc>
        <w:tc>
          <w:tcPr>
            <w:tcW w:w="1380" w:type="dxa"/>
          </w:tcPr>
          <w:p w14:paraId="645680DB" w14:textId="07C63CED" w:rsidR="00971D70" w:rsidRDefault="00971D70" w:rsidP="00971D70">
            <w:r>
              <w:t>25.377</w:t>
            </w:r>
          </w:p>
        </w:tc>
        <w:tc>
          <w:tcPr>
            <w:tcW w:w="1450" w:type="dxa"/>
          </w:tcPr>
          <w:p w14:paraId="659A42D9" w14:textId="3EEF1CAC" w:rsidR="00971D70" w:rsidRDefault="00A07D79" w:rsidP="00971D70">
            <w:r>
              <w:t xml:space="preserve">0.13 </w:t>
            </w:r>
            <w:r w:rsidR="00971D70" w:rsidRPr="00B56BD7">
              <w:t>±</w:t>
            </w:r>
            <w:r>
              <w:t xml:space="preserve"> 0.24</w:t>
            </w:r>
          </w:p>
        </w:tc>
        <w:tc>
          <w:tcPr>
            <w:tcW w:w="1314" w:type="dxa"/>
          </w:tcPr>
          <w:p w14:paraId="6A03713F" w14:textId="6E883EB1" w:rsidR="00971D70" w:rsidRDefault="00A07D79" w:rsidP="00971D70">
            <w:r>
              <w:t>0.5992</w:t>
            </w:r>
          </w:p>
        </w:tc>
        <w:tc>
          <w:tcPr>
            <w:tcW w:w="1381" w:type="dxa"/>
          </w:tcPr>
          <w:p w14:paraId="211C65BD" w14:textId="232A9593" w:rsidR="00971D70" w:rsidRDefault="00A07D79" w:rsidP="00971D70">
            <w:r>
              <w:t>25.35</w:t>
            </w:r>
          </w:p>
        </w:tc>
      </w:tr>
      <w:tr w:rsidR="00971D70" w14:paraId="5917F766" w14:textId="77777777" w:rsidTr="00EB37FC">
        <w:tc>
          <w:tcPr>
            <w:tcW w:w="1423" w:type="dxa"/>
          </w:tcPr>
          <w:p w14:paraId="650F1977" w14:textId="07C08AC2" w:rsidR="00971D70" w:rsidRDefault="00971D70" w:rsidP="00971D70">
            <w:r>
              <w:t>Neutral: CON</w:t>
            </w:r>
          </w:p>
        </w:tc>
        <w:tc>
          <w:tcPr>
            <w:tcW w:w="1452" w:type="dxa"/>
          </w:tcPr>
          <w:p w14:paraId="0F50D827" w14:textId="746C5C14" w:rsidR="00971D70" w:rsidRDefault="000740BD" w:rsidP="00971D70">
            <w:r>
              <w:t xml:space="preserve">0.04 </w:t>
            </w:r>
            <w:r w:rsidR="00971D70" w:rsidRPr="00A45C05">
              <w:t>±</w:t>
            </w:r>
            <w:r>
              <w:t xml:space="preserve"> 0.03</w:t>
            </w:r>
          </w:p>
        </w:tc>
        <w:tc>
          <w:tcPr>
            <w:tcW w:w="1310" w:type="dxa"/>
          </w:tcPr>
          <w:p w14:paraId="2B81158E" w14:textId="480FEF56" w:rsidR="00971D70" w:rsidRDefault="000740BD" w:rsidP="00971D70">
            <w:r>
              <w:t>0.2481</w:t>
            </w:r>
          </w:p>
        </w:tc>
        <w:tc>
          <w:tcPr>
            <w:tcW w:w="1380" w:type="dxa"/>
          </w:tcPr>
          <w:p w14:paraId="1224A3B5" w14:textId="27BD22B6" w:rsidR="00971D70" w:rsidRDefault="000740BD" w:rsidP="00971D70">
            <w:r>
              <w:t>18.248</w:t>
            </w:r>
          </w:p>
        </w:tc>
        <w:tc>
          <w:tcPr>
            <w:tcW w:w="1450" w:type="dxa"/>
          </w:tcPr>
          <w:p w14:paraId="22A9164C" w14:textId="683E6D9E" w:rsidR="00971D70" w:rsidRDefault="000740BD" w:rsidP="00971D70">
            <w:r>
              <w:t xml:space="preserve">0.02 </w:t>
            </w:r>
            <w:r w:rsidR="00971D70" w:rsidRPr="00B56BD7">
              <w:t>±</w:t>
            </w:r>
            <w:r>
              <w:t xml:space="preserve"> 0.02</w:t>
            </w:r>
          </w:p>
        </w:tc>
        <w:tc>
          <w:tcPr>
            <w:tcW w:w="1314" w:type="dxa"/>
          </w:tcPr>
          <w:p w14:paraId="4BC91649" w14:textId="6781903B" w:rsidR="00971D70" w:rsidRDefault="000740BD" w:rsidP="00971D70">
            <w:r>
              <w:t>0.2093</w:t>
            </w:r>
          </w:p>
        </w:tc>
        <w:tc>
          <w:tcPr>
            <w:tcW w:w="1381" w:type="dxa"/>
          </w:tcPr>
          <w:p w14:paraId="7C68BC97" w14:textId="6E5C344F" w:rsidR="00971D70" w:rsidRDefault="000740BD" w:rsidP="00971D70">
            <w:r>
              <w:t>18.121</w:t>
            </w:r>
          </w:p>
        </w:tc>
      </w:tr>
      <w:tr w:rsidR="00971D70" w14:paraId="4E760FE1" w14:textId="77777777" w:rsidTr="00EB37FC">
        <w:tc>
          <w:tcPr>
            <w:tcW w:w="1423" w:type="dxa"/>
          </w:tcPr>
          <w:p w14:paraId="077AD85A" w14:textId="00904DEB" w:rsidR="00971D70" w:rsidRDefault="00971D70" w:rsidP="00971D70">
            <w:r>
              <w:t>Neutral: PRE</w:t>
            </w:r>
          </w:p>
        </w:tc>
        <w:tc>
          <w:tcPr>
            <w:tcW w:w="1452" w:type="dxa"/>
          </w:tcPr>
          <w:p w14:paraId="0ECAB570" w14:textId="3F5B20C3" w:rsidR="00971D70" w:rsidRDefault="000740BD" w:rsidP="00971D70">
            <w:r>
              <w:t xml:space="preserve">0.04 </w:t>
            </w:r>
            <w:r w:rsidR="00971D70" w:rsidRPr="00A45C05">
              <w:t>±</w:t>
            </w:r>
            <w:r>
              <w:t xml:space="preserve"> 0.03</w:t>
            </w:r>
          </w:p>
        </w:tc>
        <w:tc>
          <w:tcPr>
            <w:tcW w:w="1310" w:type="dxa"/>
          </w:tcPr>
          <w:p w14:paraId="119F3AC5" w14:textId="5652A794" w:rsidR="00971D70" w:rsidRDefault="000740BD" w:rsidP="00971D70">
            <w:r>
              <w:t>0.1550</w:t>
            </w:r>
          </w:p>
        </w:tc>
        <w:tc>
          <w:tcPr>
            <w:tcW w:w="1380" w:type="dxa"/>
          </w:tcPr>
          <w:p w14:paraId="249E4A12" w14:textId="1B6C30BE" w:rsidR="00971D70" w:rsidRDefault="000740BD" w:rsidP="00971D70">
            <w:r>
              <w:t>13.781</w:t>
            </w:r>
          </w:p>
        </w:tc>
        <w:tc>
          <w:tcPr>
            <w:tcW w:w="1450" w:type="dxa"/>
          </w:tcPr>
          <w:p w14:paraId="678C5859" w14:textId="435F4173" w:rsidR="00971D70" w:rsidRDefault="000740BD" w:rsidP="00971D70">
            <w:r>
              <w:t xml:space="preserve">0.02 </w:t>
            </w:r>
            <w:r w:rsidR="00971D70" w:rsidRPr="00B56BD7">
              <w:t>±</w:t>
            </w:r>
            <w:r>
              <w:t xml:space="preserve"> 0.01</w:t>
            </w:r>
          </w:p>
        </w:tc>
        <w:tc>
          <w:tcPr>
            <w:tcW w:w="1314" w:type="dxa"/>
          </w:tcPr>
          <w:p w14:paraId="0E2636EF" w14:textId="63E558CF" w:rsidR="00971D70" w:rsidRDefault="000740BD" w:rsidP="00971D70">
            <w:r>
              <w:t>0.1889</w:t>
            </w:r>
          </w:p>
        </w:tc>
        <w:tc>
          <w:tcPr>
            <w:tcW w:w="1381" w:type="dxa"/>
          </w:tcPr>
          <w:p w14:paraId="6B16382D" w14:textId="3F726607" w:rsidR="00971D70" w:rsidRDefault="000740BD" w:rsidP="00971D70">
            <w:r>
              <w:t>14.078</w:t>
            </w:r>
          </w:p>
        </w:tc>
      </w:tr>
      <w:tr w:rsidR="00971D70" w14:paraId="712E60F0" w14:textId="77777777" w:rsidTr="00EB37FC">
        <w:tc>
          <w:tcPr>
            <w:tcW w:w="1423" w:type="dxa"/>
          </w:tcPr>
          <w:p w14:paraId="224C1C8E" w14:textId="33C4A88B" w:rsidR="00971D70" w:rsidRDefault="00971D70" w:rsidP="00971D70">
            <w:r>
              <w:t>Positive: CON</w:t>
            </w:r>
          </w:p>
        </w:tc>
        <w:tc>
          <w:tcPr>
            <w:tcW w:w="1452" w:type="dxa"/>
          </w:tcPr>
          <w:p w14:paraId="5CF04A0D" w14:textId="1C0EEDF8" w:rsidR="00971D70" w:rsidRDefault="005B593D" w:rsidP="00971D70">
            <w:r>
              <w:t xml:space="preserve">0.05 </w:t>
            </w:r>
            <w:r w:rsidR="00971D70" w:rsidRPr="00A45C05">
              <w:t>±</w:t>
            </w:r>
            <w:r>
              <w:t xml:space="preserve"> 0.04</w:t>
            </w:r>
          </w:p>
        </w:tc>
        <w:tc>
          <w:tcPr>
            <w:tcW w:w="1310" w:type="dxa"/>
          </w:tcPr>
          <w:p w14:paraId="0955C618" w14:textId="63AA79C7" w:rsidR="00971D70" w:rsidRDefault="005B593D" w:rsidP="00971D70">
            <w:r>
              <w:t>0.2970</w:t>
            </w:r>
          </w:p>
        </w:tc>
        <w:tc>
          <w:tcPr>
            <w:tcW w:w="1380" w:type="dxa"/>
          </w:tcPr>
          <w:p w14:paraId="3A9D3360" w14:textId="0E2369EF" w:rsidR="00971D70" w:rsidRDefault="005B593D" w:rsidP="00971D70">
            <w:r>
              <w:t>17.945</w:t>
            </w:r>
          </w:p>
        </w:tc>
        <w:tc>
          <w:tcPr>
            <w:tcW w:w="1450" w:type="dxa"/>
          </w:tcPr>
          <w:p w14:paraId="3BC8CD9B" w14:textId="48F9797E" w:rsidR="00971D70" w:rsidRDefault="001F1E25" w:rsidP="00971D70">
            <w:r>
              <w:t>0.03 ± 0.03</w:t>
            </w:r>
          </w:p>
        </w:tc>
        <w:tc>
          <w:tcPr>
            <w:tcW w:w="1314" w:type="dxa"/>
          </w:tcPr>
          <w:p w14:paraId="21848415" w14:textId="1227826E" w:rsidR="00971D70" w:rsidRDefault="001F1E25" w:rsidP="00971D70">
            <w:r>
              <w:t>0.2783</w:t>
            </w:r>
          </w:p>
        </w:tc>
        <w:tc>
          <w:tcPr>
            <w:tcW w:w="1381" w:type="dxa"/>
          </w:tcPr>
          <w:p w14:paraId="73CBEC1F" w14:textId="0711BCEB" w:rsidR="00971D70" w:rsidRDefault="001F1E25" w:rsidP="00971D70">
            <w:r>
              <w:t>17.85</w:t>
            </w:r>
          </w:p>
        </w:tc>
      </w:tr>
      <w:tr w:rsidR="00674D4B" w14:paraId="6B1016DE" w14:textId="77777777" w:rsidTr="00EB37FC">
        <w:tc>
          <w:tcPr>
            <w:tcW w:w="1423" w:type="dxa"/>
          </w:tcPr>
          <w:p w14:paraId="1B49C4CF" w14:textId="7D2E9784" w:rsidR="00674D4B" w:rsidRDefault="00674D4B" w:rsidP="00674D4B">
            <w:r>
              <w:t>Positive: PRE</w:t>
            </w:r>
          </w:p>
        </w:tc>
        <w:tc>
          <w:tcPr>
            <w:tcW w:w="1452" w:type="dxa"/>
          </w:tcPr>
          <w:p w14:paraId="78100925" w14:textId="436E532E" w:rsidR="00674D4B" w:rsidRDefault="00674D4B" w:rsidP="00674D4B">
            <w:r>
              <w:t xml:space="preserve">-0.004 </w:t>
            </w:r>
            <w:r w:rsidRPr="00A45C05">
              <w:t>±</w:t>
            </w:r>
            <w:r>
              <w:t xml:space="preserve"> 0.03</w:t>
            </w:r>
          </w:p>
        </w:tc>
        <w:tc>
          <w:tcPr>
            <w:tcW w:w="1310" w:type="dxa"/>
          </w:tcPr>
          <w:p w14:paraId="1A3BC961" w14:textId="3E7045CD" w:rsidR="00674D4B" w:rsidRDefault="00674D4B" w:rsidP="00674D4B">
            <w:r>
              <w:t>0.8875</w:t>
            </w:r>
          </w:p>
        </w:tc>
        <w:tc>
          <w:tcPr>
            <w:tcW w:w="1380" w:type="dxa"/>
          </w:tcPr>
          <w:p w14:paraId="02A94850" w14:textId="223DA8F6" w:rsidR="00674D4B" w:rsidRDefault="00674D4B" w:rsidP="00674D4B">
            <w:r>
              <w:t>16.296</w:t>
            </w:r>
          </w:p>
        </w:tc>
        <w:tc>
          <w:tcPr>
            <w:tcW w:w="1450" w:type="dxa"/>
          </w:tcPr>
          <w:p w14:paraId="3347CFC6" w14:textId="41EBC229" w:rsidR="00674D4B" w:rsidRDefault="00674D4B" w:rsidP="00674D4B">
            <w:r>
              <w:t xml:space="preserve">-0.002 </w:t>
            </w:r>
            <w:r w:rsidRPr="00B56BD7">
              <w:t>±</w:t>
            </w:r>
            <w:r>
              <w:t xml:space="preserve"> 0.01</w:t>
            </w:r>
          </w:p>
        </w:tc>
        <w:tc>
          <w:tcPr>
            <w:tcW w:w="1314" w:type="dxa"/>
          </w:tcPr>
          <w:p w14:paraId="64FAA6F0" w14:textId="0C846A80" w:rsidR="00674D4B" w:rsidRDefault="00674D4B" w:rsidP="00674D4B">
            <w:r>
              <w:t>0.86969</w:t>
            </w:r>
          </w:p>
        </w:tc>
        <w:tc>
          <w:tcPr>
            <w:tcW w:w="1381" w:type="dxa"/>
          </w:tcPr>
          <w:p w14:paraId="7EE32504" w14:textId="4EF66E8A" w:rsidR="00674D4B" w:rsidRDefault="00674D4B" w:rsidP="00674D4B">
            <w:r>
              <w:t>16.293</w:t>
            </w:r>
          </w:p>
        </w:tc>
      </w:tr>
      <w:tr w:rsidR="00971D70" w14:paraId="6CE1A320" w14:textId="77777777" w:rsidTr="00EB37FC">
        <w:tc>
          <w:tcPr>
            <w:tcW w:w="1423" w:type="dxa"/>
          </w:tcPr>
          <w:p w14:paraId="634A2BC5" w14:textId="66CF075F" w:rsidR="00971D70" w:rsidRDefault="00971D70" w:rsidP="00971D70">
            <w:proofErr w:type="spellStart"/>
            <w:proofErr w:type="gramStart"/>
            <w:r>
              <w:t>Negative:CON</w:t>
            </w:r>
            <w:proofErr w:type="spellEnd"/>
            <w:proofErr w:type="gramEnd"/>
          </w:p>
        </w:tc>
        <w:tc>
          <w:tcPr>
            <w:tcW w:w="1452" w:type="dxa"/>
          </w:tcPr>
          <w:p w14:paraId="2F7E1EC7" w14:textId="113274C0" w:rsidR="00971D70" w:rsidRDefault="001F1E25" w:rsidP="00971D70">
            <w:r>
              <w:t xml:space="preserve">0.03 </w:t>
            </w:r>
            <w:r w:rsidR="00971D70" w:rsidRPr="00A45C05">
              <w:t>±</w:t>
            </w:r>
            <w:r>
              <w:t xml:space="preserve"> 0.03</w:t>
            </w:r>
          </w:p>
        </w:tc>
        <w:tc>
          <w:tcPr>
            <w:tcW w:w="1310" w:type="dxa"/>
          </w:tcPr>
          <w:p w14:paraId="146F7596" w14:textId="6596E25D" w:rsidR="00971D70" w:rsidRDefault="001F1E25" w:rsidP="00971D70">
            <w:r>
              <w:t>0.2936</w:t>
            </w:r>
          </w:p>
        </w:tc>
        <w:tc>
          <w:tcPr>
            <w:tcW w:w="1380" w:type="dxa"/>
          </w:tcPr>
          <w:p w14:paraId="12FEC54D" w14:textId="5C1F3E9A" w:rsidR="00971D70" w:rsidRDefault="001F1E25" w:rsidP="00971D70">
            <w:r>
              <w:t>18.616</w:t>
            </w:r>
          </w:p>
        </w:tc>
        <w:tc>
          <w:tcPr>
            <w:tcW w:w="1450" w:type="dxa"/>
          </w:tcPr>
          <w:p w14:paraId="52E3CB3A" w14:textId="2ACA13C0" w:rsidR="00971D70" w:rsidRDefault="001F1E25" w:rsidP="00971D70">
            <w:r>
              <w:t xml:space="preserve">0.01 </w:t>
            </w:r>
            <w:r w:rsidR="00971D70" w:rsidRPr="00B56BD7">
              <w:t>±</w:t>
            </w:r>
            <w:r>
              <w:t xml:space="preserve"> 0.01</w:t>
            </w:r>
          </w:p>
        </w:tc>
        <w:tc>
          <w:tcPr>
            <w:tcW w:w="1314" w:type="dxa"/>
          </w:tcPr>
          <w:p w14:paraId="07F84904" w14:textId="5DE35E65" w:rsidR="00971D70" w:rsidRDefault="001F1E25" w:rsidP="00971D70">
            <w:r>
              <w:t>0.2780</w:t>
            </w:r>
          </w:p>
        </w:tc>
        <w:tc>
          <w:tcPr>
            <w:tcW w:w="1381" w:type="dxa"/>
          </w:tcPr>
          <w:p w14:paraId="5B15C2DE" w14:textId="47DBE023" w:rsidR="00971D70" w:rsidRDefault="001F1E25" w:rsidP="00971D70">
            <w:r>
              <w:t>18.596</w:t>
            </w:r>
          </w:p>
        </w:tc>
      </w:tr>
      <w:tr w:rsidR="009A16BC" w14:paraId="6A919A54" w14:textId="77777777" w:rsidTr="00EB37FC">
        <w:tc>
          <w:tcPr>
            <w:tcW w:w="1423" w:type="dxa"/>
          </w:tcPr>
          <w:p w14:paraId="273BF2B8" w14:textId="3F8C6CFF" w:rsidR="009A16BC" w:rsidRDefault="009A16BC" w:rsidP="009A16BC">
            <w:r>
              <w:t>Negative: PRE</w:t>
            </w:r>
          </w:p>
        </w:tc>
        <w:tc>
          <w:tcPr>
            <w:tcW w:w="1452" w:type="dxa"/>
          </w:tcPr>
          <w:p w14:paraId="41DB4C7E" w14:textId="6329B0D2" w:rsidR="009A16BC" w:rsidRDefault="001F1E25" w:rsidP="009A16BC">
            <w:r>
              <w:t xml:space="preserve">0.02 </w:t>
            </w:r>
            <w:r w:rsidRPr="00B56BD7">
              <w:t>±</w:t>
            </w:r>
            <w:r>
              <w:t xml:space="preserve"> 0.04</w:t>
            </w:r>
          </w:p>
        </w:tc>
        <w:tc>
          <w:tcPr>
            <w:tcW w:w="1310" w:type="dxa"/>
          </w:tcPr>
          <w:p w14:paraId="15125AD6" w14:textId="0BBCDE0F" w:rsidR="009A16BC" w:rsidRDefault="001F1E25" w:rsidP="009A16BC">
            <w:r>
              <w:t>0.53722</w:t>
            </w:r>
          </w:p>
        </w:tc>
        <w:tc>
          <w:tcPr>
            <w:tcW w:w="1380" w:type="dxa"/>
          </w:tcPr>
          <w:p w14:paraId="7C338E25" w14:textId="22CC7F8C" w:rsidR="009A16BC" w:rsidRDefault="001F1E25" w:rsidP="009A16BC">
            <w:r>
              <w:t>15.949</w:t>
            </w:r>
          </w:p>
        </w:tc>
        <w:tc>
          <w:tcPr>
            <w:tcW w:w="1450" w:type="dxa"/>
          </w:tcPr>
          <w:p w14:paraId="60E10971" w14:textId="2DD83576" w:rsidR="009A16BC" w:rsidRDefault="001F1E25" w:rsidP="009A16BC">
            <w:r>
              <w:t xml:space="preserve">0.01 </w:t>
            </w:r>
            <w:r w:rsidRPr="00B56BD7">
              <w:t>±</w:t>
            </w:r>
            <w:r>
              <w:t xml:space="preserve"> 0.02</w:t>
            </w:r>
          </w:p>
        </w:tc>
        <w:tc>
          <w:tcPr>
            <w:tcW w:w="1314" w:type="dxa"/>
          </w:tcPr>
          <w:p w14:paraId="34341263" w14:textId="21C6EEAF" w:rsidR="009A16BC" w:rsidRDefault="004A2D84" w:rsidP="009A16BC">
            <w:r>
              <w:t>0.48283</w:t>
            </w:r>
          </w:p>
        </w:tc>
        <w:tc>
          <w:tcPr>
            <w:tcW w:w="1381" w:type="dxa"/>
          </w:tcPr>
          <w:p w14:paraId="4CB22DBD" w14:textId="748E674F" w:rsidR="009A16BC" w:rsidRDefault="004A2D84" w:rsidP="009A16BC">
            <w:r>
              <w:t>15.88</w:t>
            </w:r>
          </w:p>
        </w:tc>
      </w:tr>
    </w:tbl>
    <w:p w14:paraId="58662203" w14:textId="77777777" w:rsidR="009A16BC" w:rsidRDefault="009A16BC" w:rsidP="009A16BC"/>
    <w:p w14:paraId="3C6A273C" w14:textId="77777777" w:rsidR="009A4345" w:rsidRDefault="009A4345" w:rsidP="009975C2">
      <w:pPr>
        <w:pStyle w:val="Heading1"/>
        <w:rPr>
          <w:rFonts w:eastAsiaTheme="minorEastAsia"/>
        </w:rPr>
      </w:pPr>
      <w:bookmarkStart w:id="10" w:name="_Toc27064088"/>
      <w:r>
        <w:rPr>
          <w:rFonts w:eastAsiaTheme="minorEastAsia"/>
        </w:rPr>
        <w:t>Conclusions</w:t>
      </w:r>
      <w:bookmarkEnd w:id="10"/>
    </w:p>
    <w:p w14:paraId="43D8D0F9" w14:textId="785AD3DC" w:rsidR="00BD4C9D" w:rsidRPr="00AD7CEA" w:rsidRDefault="00BD4C9D" w:rsidP="00BD4C9D">
      <w:pPr>
        <w:rPr>
          <w:rFonts w:eastAsiaTheme="majorEastAsia"/>
        </w:rPr>
      </w:pPr>
      <w:r>
        <w:rPr>
          <w:rFonts w:eastAsiaTheme="majorEastAsia"/>
        </w:rPr>
        <w:t xml:space="preserve">The </w:t>
      </w:r>
      <w:r>
        <w:rPr>
          <w:rFonts w:eastAsiaTheme="majorEastAsia"/>
        </w:rPr>
        <w:t>goal</w:t>
      </w:r>
      <w:r>
        <w:rPr>
          <w:rFonts w:eastAsiaTheme="majorEastAsia"/>
        </w:rPr>
        <w:t xml:space="preserve"> of th</w:t>
      </w:r>
      <w:r>
        <w:rPr>
          <w:rFonts w:eastAsiaTheme="majorEastAsia"/>
        </w:rPr>
        <w:t>is</w:t>
      </w:r>
      <w:r>
        <w:rPr>
          <w:rFonts w:eastAsiaTheme="majorEastAsia"/>
        </w:rPr>
        <w:t xml:space="preserve"> </w:t>
      </w:r>
      <w:r w:rsidR="00A50444">
        <w:rPr>
          <w:rFonts w:eastAsiaTheme="majorEastAsia"/>
        </w:rPr>
        <w:t xml:space="preserve">study </w:t>
      </w:r>
      <w:r>
        <w:rPr>
          <w:rFonts w:eastAsiaTheme="majorEastAsia"/>
        </w:rPr>
        <w:t xml:space="preserve">was to determine </w:t>
      </w:r>
      <w:r w:rsidR="00A50444">
        <w:rPr>
          <w:rFonts w:eastAsiaTheme="majorEastAsia"/>
        </w:rPr>
        <w:t xml:space="preserve">whether </w:t>
      </w:r>
      <w:r w:rsidR="00A50444" w:rsidRPr="00A50444">
        <w:rPr>
          <w:rFonts w:eastAsiaTheme="majorEastAsia"/>
          <w:i/>
          <w:iCs/>
        </w:rPr>
        <w:t>Bifidobacterium</w:t>
      </w:r>
      <w:r w:rsidR="00A50444">
        <w:rPr>
          <w:rFonts w:eastAsiaTheme="majorEastAsia"/>
        </w:rPr>
        <w:t xml:space="preserve"> presence or absence could be predicted from different measures of mental health and emotional response to images. </w:t>
      </w:r>
      <w:r>
        <w:rPr>
          <w:rFonts w:eastAsiaTheme="majorEastAsia"/>
        </w:rPr>
        <w:t>Mental health was measured using the DASS-42 questionnaire</w:t>
      </w:r>
      <w:r w:rsidR="00F14F2D">
        <w:rPr>
          <w:rFonts w:eastAsiaTheme="majorEastAsia"/>
        </w:rPr>
        <w:t xml:space="preserve">. </w:t>
      </w:r>
      <w:r w:rsidR="00DD79B4">
        <w:rPr>
          <w:rFonts w:eastAsiaTheme="majorEastAsia"/>
        </w:rPr>
        <w:t>Due to literature in the field often finding that these self-report surveys are not sufficiently sensitive or objective to detect differences, r</w:t>
      </w:r>
      <w:r w:rsidR="00F14F2D">
        <w:rPr>
          <w:rFonts w:eastAsiaTheme="majorEastAsia"/>
        </w:rPr>
        <w:t>esponses to neutral, positive, and negative images were collected using EEG</w:t>
      </w:r>
      <w:r w:rsidR="00DD79B4">
        <w:rPr>
          <w:rFonts w:eastAsiaTheme="majorEastAsia"/>
        </w:rPr>
        <w:t xml:space="preserve"> to serve as an objective measure of mental health</w:t>
      </w:r>
      <w:r w:rsidR="00F14F2D">
        <w:rPr>
          <w:rFonts w:eastAsiaTheme="majorEastAsia"/>
        </w:rPr>
        <w:t xml:space="preserve">. </w:t>
      </w:r>
      <w:r w:rsidR="00F14F2D" w:rsidRPr="00F14F2D">
        <w:rPr>
          <w:rFonts w:eastAsiaTheme="majorEastAsia"/>
          <w:i/>
          <w:iCs/>
        </w:rPr>
        <w:t>Bifidobacterium</w:t>
      </w:r>
      <w:r w:rsidR="00F14F2D">
        <w:rPr>
          <w:rFonts w:eastAsiaTheme="majorEastAsia"/>
        </w:rPr>
        <w:t xml:space="preserve"> DNA was collected from fecal samples and sequenced to determine relative abundance. </w:t>
      </w:r>
      <w:r w:rsidR="00F14F2D">
        <w:rPr>
          <w:rFonts w:eastAsiaTheme="majorEastAsia"/>
        </w:rPr>
        <w:t xml:space="preserve">Logistic regression was conducted with </w:t>
      </w:r>
      <w:r w:rsidR="00F14F2D" w:rsidRPr="00DD79B4">
        <w:rPr>
          <w:rFonts w:eastAsiaTheme="majorEastAsia"/>
          <w:i/>
          <w:iCs/>
        </w:rPr>
        <w:t>Bifidobacterium</w:t>
      </w:r>
      <w:r w:rsidR="00F14F2D">
        <w:rPr>
          <w:rFonts w:eastAsiaTheme="majorEastAsia"/>
        </w:rPr>
        <w:t xml:space="preserve"> presence or absence as the binary response variable.</w:t>
      </w:r>
      <w:r w:rsidR="00F14F2D">
        <w:rPr>
          <w:rFonts w:eastAsiaTheme="majorEastAsia"/>
        </w:rPr>
        <w:t xml:space="preserve"> From these models, it was concluded that </w:t>
      </w:r>
      <w:r w:rsidR="00A50444">
        <w:rPr>
          <w:rFonts w:eastAsiaTheme="majorEastAsia"/>
        </w:rPr>
        <w:t>ratio of depression to anxiety</w:t>
      </w:r>
      <w:r w:rsidR="00F14F2D">
        <w:rPr>
          <w:rFonts w:eastAsiaTheme="majorEastAsia"/>
        </w:rPr>
        <w:t xml:space="preserve">, stress, and response to neutral, positive, and negative images did not have a significant effect on presence of </w:t>
      </w:r>
      <w:r w:rsidR="00F14F2D" w:rsidRPr="00F14F2D">
        <w:rPr>
          <w:rFonts w:eastAsiaTheme="majorEastAsia"/>
          <w:i/>
          <w:iCs/>
        </w:rPr>
        <w:t>Bifidobacterium</w:t>
      </w:r>
      <w:r w:rsidR="00F14F2D">
        <w:rPr>
          <w:rFonts w:eastAsiaTheme="majorEastAsia"/>
        </w:rPr>
        <w:t xml:space="preserve">. The predictor closest to significance was response to neutral images in the prebiotic group in the model using the identity link function (p = 0.1550). A limitation of the study was small sample size due to rejection </w:t>
      </w:r>
      <w:r w:rsidR="00DD79B4">
        <w:rPr>
          <w:rFonts w:eastAsiaTheme="majorEastAsia"/>
        </w:rPr>
        <w:t xml:space="preserve">of some EEG trials due to equipment recording errors. In the future, a similar emotional image task will be utilized that has greater trial number and a greater number of total participants in the study. This research is important in helping to standardize objective methods of measuring mental </w:t>
      </w:r>
      <w:proofErr w:type="gramStart"/>
      <w:r w:rsidR="00DD79B4">
        <w:rPr>
          <w:rFonts w:eastAsiaTheme="majorEastAsia"/>
        </w:rPr>
        <w:t>health, and</w:t>
      </w:r>
      <w:proofErr w:type="gramEnd"/>
      <w:r w:rsidR="00DD79B4">
        <w:rPr>
          <w:rFonts w:eastAsiaTheme="majorEastAsia"/>
        </w:rPr>
        <w:t xml:space="preserve"> may help to develop future treatment for people with conditions such as depression, anxiety disorders</w:t>
      </w:r>
      <w:r w:rsidR="004208FA">
        <w:rPr>
          <w:rFonts w:eastAsiaTheme="majorEastAsia"/>
        </w:rPr>
        <w:t>, and autism.</w:t>
      </w:r>
    </w:p>
    <w:p w14:paraId="2A7D07E2" w14:textId="38AD05F3" w:rsidR="009A4345" w:rsidRPr="006B3AAA" w:rsidRDefault="00D57448" w:rsidP="006B3AAA">
      <w:pPr>
        <w:pStyle w:val="Heading1"/>
        <w:rPr>
          <w:rStyle w:val="Hyperlink"/>
          <w:rFonts w:eastAsiaTheme="minorEastAsia"/>
          <w:color w:val="1481AB" w:themeColor="accent1" w:themeShade="BF"/>
          <w:u w:val="none"/>
        </w:rPr>
      </w:pPr>
      <w:bookmarkStart w:id="11" w:name="_Toc27064089"/>
      <w:r>
        <w:rPr>
          <w:rFonts w:eastAsiaTheme="minorEastAsia"/>
        </w:rPr>
        <w:t>References</w:t>
      </w:r>
      <w:bookmarkEnd w:id="11"/>
      <w:r w:rsidR="009A4345">
        <w:fldChar w:fldCharType="begin"/>
      </w:r>
      <w:r w:rsidR="009A4345">
        <w:instrText xml:space="preserve"> ADDIN ZOTERO_BIBL {"uncited":[],"omitted":[],"custom":[]} CSL_BIBLIOGRAPHY </w:instrText>
      </w:r>
      <w:r w:rsidR="009A4345">
        <w:fldChar w:fldCharType="separate"/>
      </w:r>
    </w:p>
    <w:p w14:paraId="118A2FD8" w14:textId="2202E6FC" w:rsidR="006B3AAA" w:rsidRDefault="006B3AAA" w:rsidP="009A4345">
      <w:r>
        <w:t xml:space="preserve">[1] </w:t>
      </w:r>
      <w:r w:rsidRPr="00A80E54">
        <w:t xml:space="preserve">Allen, A. P. </w:t>
      </w:r>
      <w:r w:rsidRPr="00A80E54">
        <w:rPr>
          <w:i/>
          <w:iCs/>
        </w:rPr>
        <w:t>et al.</w:t>
      </w:r>
      <w:r w:rsidRPr="00A80E54">
        <w:t xml:space="preserve"> Bifidobacterium longum 1714 as a translational psychobiotic: modulation of stress, electrophysiology and neurocognition in healthy volunteers. </w:t>
      </w:r>
      <w:r w:rsidRPr="00A80E54">
        <w:rPr>
          <w:i/>
          <w:iCs/>
        </w:rPr>
        <w:t>Transl. Psychiatry</w:t>
      </w:r>
      <w:r w:rsidRPr="00A80E54">
        <w:t xml:space="preserve"> </w:t>
      </w:r>
      <w:r w:rsidRPr="00A80E54">
        <w:rPr>
          <w:b/>
          <w:bCs/>
        </w:rPr>
        <w:t>6</w:t>
      </w:r>
      <w:r w:rsidRPr="00A80E54">
        <w:t>, e939–e939 (2016).</w:t>
      </w:r>
    </w:p>
    <w:p w14:paraId="4046B17B" w14:textId="0C50FD4B" w:rsidR="006B3AAA" w:rsidRPr="00A80E54" w:rsidRDefault="006B3AAA" w:rsidP="006B3AAA">
      <w:r>
        <w:t xml:space="preserve">[2] </w:t>
      </w:r>
      <w:r w:rsidRPr="00A80E54">
        <w:t xml:space="preserve">Messaoudi, M. </w:t>
      </w:r>
      <w:r w:rsidRPr="00A80E54">
        <w:rPr>
          <w:i/>
          <w:iCs/>
        </w:rPr>
        <w:t>et al.</w:t>
      </w:r>
      <w:r w:rsidRPr="00A80E54">
        <w:t xml:space="preserve">  Assessment of psychotropic-like properties of a probiotic formulation (Lactobacillus helveticus R0052 and Bifidobacterium longum R0175) in rats and human subjects . </w:t>
      </w:r>
      <w:r w:rsidRPr="00A80E54">
        <w:rPr>
          <w:i/>
          <w:iCs/>
        </w:rPr>
        <w:t>Br. J. Nutr.</w:t>
      </w:r>
      <w:r w:rsidRPr="00A80E54">
        <w:t xml:space="preserve"> </w:t>
      </w:r>
      <w:r w:rsidRPr="00A80E54">
        <w:rPr>
          <w:b/>
          <w:bCs/>
        </w:rPr>
        <w:t>105</w:t>
      </w:r>
      <w:r w:rsidRPr="00A80E54">
        <w:t>, 755–764 (2011).</w:t>
      </w:r>
    </w:p>
    <w:p w14:paraId="6E97E2DA" w14:textId="77777777" w:rsidR="006B3AAA" w:rsidRPr="00A80E54" w:rsidRDefault="006B3AAA" w:rsidP="006B3AAA">
      <w:r>
        <w:t xml:space="preserve">[3] </w:t>
      </w:r>
      <w:r w:rsidRPr="00A80E54">
        <w:t xml:space="preserve">Takada, M. </w:t>
      </w:r>
      <w:r w:rsidRPr="00A80E54">
        <w:rPr>
          <w:i/>
          <w:iCs/>
        </w:rPr>
        <w:t>et al.</w:t>
      </w:r>
      <w:r w:rsidRPr="00A80E54">
        <w:t xml:space="preserve"> Beneficial effects of Lactobacillus casei strain Shirota on academic stress-induced sleep disturbance in healthy adults: A double-blind, randomised, placebo-controlled trial. </w:t>
      </w:r>
      <w:r w:rsidRPr="00A80E54">
        <w:rPr>
          <w:i/>
          <w:iCs/>
        </w:rPr>
        <w:t>Benef. Microbes</w:t>
      </w:r>
      <w:r w:rsidRPr="00A80E54">
        <w:t xml:space="preserve"> </w:t>
      </w:r>
      <w:r w:rsidRPr="00A80E54">
        <w:rPr>
          <w:b/>
          <w:bCs/>
        </w:rPr>
        <w:t>8</w:t>
      </w:r>
      <w:r w:rsidRPr="00A80E54">
        <w:t>, 153–162 (2017).</w:t>
      </w:r>
    </w:p>
    <w:p w14:paraId="64640432" w14:textId="53E6BF1A" w:rsidR="006B3AAA" w:rsidRDefault="006B3AAA" w:rsidP="009A4345"/>
    <w:p w14:paraId="19A42905" w14:textId="77777777" w:rsidR="009A4345" w:rsidRPr="009A4345" w:rsidRDefault="009A4345" w:rsidP="009A4345">
      <w:pPr>
        <w:pStyle w:val="Bibliography"/>
        <w:rPr>
          <w:rFonts w:ascii="Corbel"/>
        </w:rPr>
      </w:pPr>
    </w:p>
    <w:p w14:paraId="49C655F8" w14:textId="08FCE7E8" w:rsidR="009A4345" w:rsidRPr="009A4345" w:rsidRDefault="009A4345" w:rsidP="00DD2C0C">
      <w:r>
        <w:fldChar w:fldCharType="end"/>
      </w:r>
    </w:p>
    <w:p w14:paraId="58DCEAED" w14:textId="77777777" w:rsidR="009975C2" w:rsidRPr="009975C2" w:rsidRDefault="009975C2" w:rsidP="009975C2"/>
    <w:sectPr w:rsidR="009975C2" w:rsidRPr="009975C2" w:rsidSect="000502A4">
      <w:headerReference w:type="default" r:id="rId23"/>
      <w:footerReference w:type="default" r:id="rId24"/>
      <w:pgSz w:w="12240" w:h="15840"/>
      <w:pgMar w:top="1440" w:right="1080" w:bottom="1080" w:left="1440" w:header="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63323" w14:textId="77777777" w:rsidR="005C6ABA" w:rsidRDefault="005C6ABA" w:rsidP="009975C2">
      <w:r>
        <w:separator/>
      </w:r>
    </w:p>
  </w:endnote>
  <w:endnote w:type="continuationSeparator" w:id="0">
    <w:p w14:paraId="1F09C14E" w14:textId="77777777" w:rsidR="005C6ABA" w:rsidRDefault="005C6ABA" w:rsidP="00997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6878137"/>
      <w:docPartObj>
        <w:docPartGallery w:val="Page Numbers (Bottom of Page)"/>
        <w:docPartUnique/>
      </w:docPartObj>
    </w:sdtPr>
    <w:sdtEndPr>
      <w:rPr>
        <w:noProof/>
        <w:color w:val="215D4B" w:themeColor="accent4" w:themeShade="80"/>
      </w:rPr>
    </w:sdtEndPr>
    <w:sdtContent>
      <w:p w14:paraId="5EF49892" w14:textId="77777777" w:rsidR="00674D4B" w:rsidRPr="00262819" w:rsidRDefault="00674D4B">
        <w:pPr>
          <w:pStyle w:val="Footer"/>
          <w:rPr>
            <w:color w:val="215D4B" w:themeColor="accent4" w:themeShade="80"/>
          </w:rPr>
        </w:pPr>
        <w:r w:rsidRPr="00262819">
          <w:rPr>
            <w:color w:val="215D4B" w:themeColor="accent4" w:themeShade="80"/>
          </w:rPr>
          <w:t xml:space="preserve">Page | </w:t>
        </w:r>
        <w:r w:rsidRPr="00262819">
          <w:rPr>
            <w:color w:val="215D4B" w:themeColor="accent4" w:themeShade="80"/>
          </w:rPr>
          <w:fldChar w:fldCharType="begin"/>
        </w:r>
        <w:r w:rsidRPr="00262819">
          <w:rPr>
            <w:color w:val="215D4B" w:themeColor="accent4" w:themeShade="80"/>
          </w:rPr>
          <w:instrText xml:space="preserve"> PAGE   \* MERGEFORMAT </w:instrText>
        </w:r>
        <w:r w:rsidRPr="00262819">
          <w:rPr>
            <w:color w:val="215D4B" w:themeColor="accent4" w:themeShade="80"/>
          </w:rPr>
          <w:fldChar w:fldCharType="separate"/>
        </w:r>
        <w:r>
          <w:rPr>
            <w:noProof/>
            <w:color w:val="215D4B" w:themeColor="accent4" w:themeShade="80"/>
          </w:rPr>
          <w:t>9</w:t>
        </w:r>
        <w:r w:rsidRPr="00262819">
          <w:rPr>
            <w:noProof/>
            <w:color w:val="215D4B" w:themeColor="accent4" w:themeShade="80"/>
          </w:rPr>
          <w:fldChar w:fldCharType="end"/>
        </w:r>
      </w:p>
    </w:sdtContent>
  </w:sdt>
  <w:p w14:paraId="688E042F" w14:textId="5DA764E5" w:rsidR="00674D4B" w:rsidRPr="00E038D5" w:rsidRDefault="00674D4B" w:rsidP="00776368">
    <w:pPr>
      <w:pStyle w:val="Footer"/>
      <w:jc w:val="right"/>
    </w:pPr>
    <w:r>
      <w:t>Annemarie Krug | arkrug2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E1B97" w14:textId="77777777" w:rsidR="005C6ABA" w:rsidRDefault="005C6ABA" w:rsidP="009975C2">
      <w:r>
        <w:separator/>
      </w:r>
    </w:p>
  </w:footnote>
  <w:footnote w:type="continuationSeparator" w:id="0">
    <w:p w14:paraId="1657733F" w14:textId="77777777" w:rsidR="005C6ABA" w:rsidRDefault="005C6ABA" w:rsidP="009975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CEB69" w14:textId="5FB5CD92" w:rsidR="00674D4B" w:rsidRPr="00262819" w:rsidRDefault="00674D4B" w:rsidP="007F1951">
    <w:pPr>
      <w:pStyle w:val="Heading1"/>
      <w:rPr>
        <w:i/>
        <w:color w:val="215D4B" w:themeColor="accent4" w:themeShade="80"/>
      </w:rPr>
    </w:pPr>
    <w:r>
      <w:rPr>
        <w:i/>
        <w:color w:val="215D4B" w:themeColor="accent4" w:themeShade="80"/>
      </w:rPr>
      <w:t>CPSC 541 BYOD Final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94CD3"/>
    <w:multiLevelType w:val="hybridMultilevel"/>
    <w:tmpl w:val="311A0D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1177DF"/>
    <w:multiLevelType w:val="hybridMultilevel"/>
    <w:tmpl w:val="97365B1E"/>
    <w:lvl w:ilvl="0" w:tplc="E2EAEEF4">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801A80"/>
    <w:multiLevelType w:val="hybridMultilevel"/>
    <w:tmpl w:val="E2CEA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1F2C97"/>
    <w:multiLevelType w:val="hybridMultilevel"/>
    <w:tmpl w:val="BFC2F656"/>
    <w:lvl w:ilvl="0" w:tplc="CDDC27EC">
      <w:start w:val="1"/>
      <w:numFmt w:val="decimal"/>
      <w:lvlText w:val="Obj %1."/>
      <w:lvlJc w:val="left"/>
      <w:pPr>
        <w:ind w:left="720" w:hanging="360"/>
      </w:pPr>
      <w:rPr>
        <w:rFonts w:hint="default"/>
        <w:b/>
        <w:i/>
        <w:color w:val="00206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495671"/>
    <w:multiLevelType w:val="hybridMultilevel"/>
    <w:tmpl w:val="D7686726"/>
    <w:lvl w:ilvl="0" w:tplc="0458FC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8178AB"/>
    <w:multiLevelType w:val="hybridMultilevel"/>
    <w:tmpl w:val="ADD0A768"/>
    <w:lvl w:ilvl="0" w:tplc="3000E96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986D01"/>
    <w:multiLevelType w:val="hybridMultilevel"/>
    <w:tmpl w:val="3BDAA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8A52DF"/>
    <w:multiLevelType w:val="hybridMultilevel"/>
    <w:tmpl w:val="1C205384"/>
    <w:lvl w:ilvl="0" w:tplc="0409001B">
      <w:start w:val="1"/>
      <w:numFmt w:val="lowerRoman"/>
      <w:lvlText w:val="%1."/>
      <w:lvlJc w:val="righ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8" w15:restartNumberingAfterBreak="0">
    <w:nsid w:val="10634EA1"/>
    <w:multiLevelType w:val="hybridMultilevel"/>
    <w:tmpl w:val="681EA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335205"/>
    <w:multiLevelType w:val="hybridMultilevel"/>
    <w:tmpl w:val="A60EE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50589A"/>
    <w:multiLevelType w:val="hybridMultilevel"/>
    <w:tmpl w:val="8FE6E7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B76618"/>
    <w:multiLevelType w:val="hybridMultilevel"/>
    <w:tmpl w:val="0706B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F271DF"/>
    <w:multiLevelType w:val="hybridMultilevel"/>
    <w:tmpl w:val="85F8F110"/>
    <w:lvl w:ilvl="0" w:tplc="B24697EC">
      <w:start w:val="1"/>
      <w:numFmt w:val="bullet"/>
      <w:lvlText w:val="●"/>
      <w:lvlJc w:val="left"/>
      <w:pPr>
        <w:tabs>
          <w:tab w:val="num" w:pos="720"/>
        </w:tabs>
        <w:ind w:left="720" w:hanging="360"/>
      </w:pPr>
      <w:rPr>
        <w:rFonts w:ascii="Arial" w:hAnsi="Arial" w:hint="default"/>
      </w:rPr>
    </w:lvl>
    <w:lvl w:ilvl="1" w:tplc="A66C1506">
      <w:start w:val="1931"/>
      <w:numFmt w:val="bullet"/>
      <w:lvlText w:val="-"/>
      <w:lvlJc w:val="left"/>
      <w:pPr>
        <w:tabs>
          <w:tab w:val="num" w:pos="1440"/>
        </w:tabs>
        <w:ind w:left="1440" w:hanging="360"/>
      </w:pPr>
      <w:rPr>
        <w:rFonts w:ascii="Arial" w:hAnsi="Arial" w:hint="default"/>
      </w:rPr>
    </w:lvl>
    <w:lvl w:ilvl="2" w:tplc="EA0C7852" w:tentative="1">
      <w:start w:val="1"/>
      <w:numFmt w:val="bullet"/>
      <w:lvlText w:val="●"/>
      <w:lvlJc w:val="left"/>
      <w:pPr>
        <w:tabs>
          <w:tab w:val="num" w:pos="2160"/>
        </w:tabs>
        <w:ind w:left="2160" w:hanging="360"/>
      </w:pPr>
      <w:rPr>
        <w:rFonts w:ascii="Arial" w:hAnsi="Arial" w:hint="default"/>
      </w:rPr>
    </w:lvl>
    <w:lvl w:ilvl="3" w:tplc="85768D40" w:tentative="1">
      <w:start w:val="1"/>
      <w:numFmt w:val="bullet"/>
      <w:lvlText w:val="●"/>
      <w:lvlJc w:val="left"/>
      <w:pPr>
        <w:tabs>
          <w:tab w:val="num" w:pos="2880"/>
        </w:tabs>
        <w:ind w:left="2880" w:hanging="360"/>
      </w:pPr>
      <w:rPr>
        <w:rFonts w:ascii="Arial" w:hAnsi="Arial" w:hint="default"/>
      </w:rPr>
    </w:lvl>
    <w:lvl w:ilvl="4" w:tplc="31B41E78" w:tentative="1">
      <w:start w:val="1"/>
      <w:numFmt w:val="bullet"/>
      <w:lvlText w:val="●"/>
      <w:lvlJc w:val="left"/>
      <w:pPr>
        <w:tabs>
          <w:tab w:val="num" w:pos="3600"/>
        </w:tabs>
        <w:ind w:left="3600" w:hanging="360"/>
      </w:pPr>
      <w:rPr>
        <w:rFonts w:ascii="Arial" w:hAnsi="Arial" w:hint="default"/>
      </w:rPr>
    </w:lvl>
    <w:lvl w:ilvl="5" w:tplc="68480746" w:tentative="1">
      <w:start w:val="1"/>
      <w:numFmt w:val="bullet"/>
      <w:lvlText w:val="●"/>
      <w:lvlJc w:val="left"/>
      <w:pPr>
        <w:tabs>
          <w:tab w:val="num" w:pos="4320"/>
        </w:tabs>
        <w:ind w:left="4320" w:hanging="360"/>
      </w:pPr>
      <w:rPr>
        <w:rFonts w:ascii="Arial" w:hAnsi="Arial" w:hint="default"/>
      </w:rPr>
    </w:lvl>
    <w:lvl w:ilvl="6" w:tplc="42A4FE86" w:tentative="1">
      <w:start w:val="1"/>
      <w:numFmt w:val="bullet"/>
      <w:lvlText w:val="●"/>
      <w:lvlJc w:val="left"/>
      <w:pPr>
        <w:tabs>
          <w:tab w:val="num" w:pos="5040"/>
        </w:tabs>
        <w:ind w:left="5040" w:hanging="360"/>
      </w:pPr>
      <w:rPr>
        <w:rFonts w:ascii="Arial" w:hAnsi="Arial" w:hint="default"/>
      </w:rPr>
    </w:lvl>
    <w:lvl w:ilvl="7" w:tplc="108E6DA8" w:tentative="1">
      <w:start w:val="1"/>
      <w:numFmt w:val="bullet"/>
      <w:lvlText w:val="●"/>
      <w:lvlJc w:val="left"/>
      <w:pPr>
        <w:tabs>
          <w:tab w:val="num" w:pos="5760"/>
        </w:tabs>
        <w:ind w:left="5760" w:hanging="360"/>
      </w:pPr>
      <w:rPr>
        <w:rFonts w:ascii="Arial" w:hAnsi="Arial" w:hint="default"/>
      </w:rPr>
    </w:lvl>
    <w:lvl w:ilvl="8" w:tplc="5B4C04B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F2F7DDD"/>
    <w:multiLevelType w:val="hybridMultilevel"/>
    <w:tmpl w:val="992EF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0A1348"/>
    <w:multiLevelType w:val="hybridMultilevel"/>
    <w:tmpl w:val="CE68E6B4"/>
    <w:lvl w:ilvl="0" w:tplc="CDDC27EC">
      <w:start w:val="1"/>
      <w:numFmt w:val="decimal"/>
      <w:lvlText w:val="Obj %1."/>
      <w:lvlJc w:val="left"/>
      <w:pPr>
        <w:ind w:left="360" w:hanging="360"/>
      </w:pPr>
      <w:rPr>
        <w:rFonts w:hint="default"/>
        <w:b/>
        <w:i/>
        <w:color w:val="00206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153A1E"/>
    <w:multiLevelType w:val="hybridMultilevel"/>
    <w:tmpl w:val="BFC2F656"/>
    <w:lvl w:ilvl="0" w:tplc="CDDC27EC">
      <w:start w:val="1"/>
      <w:numFmt w:val="decimal"/>
      <w:lvlText w:val="Obj %1."/>
      <w:lvlJc w:val="left"/>
      <w:pPr>
        <w:ind w:left="360" w:hanging="360"/>
      </w:pPr>
      <w:rPr>
        <w:rFonts w:hint="default"/>
        <w:b/>
        <w:i/>
        <w:color w:val="002060"/>
        <w:sz w:val="2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3C042B7"/>
    <w:multiLevelType w:val="hybridMultilevel"/>
    <w:tmpl w:val="47B6968A"/>
    <w:lvl w:ilvl="0" w:tplc="A5F095E8">
      <w:start w:val="1"/>
      <w:numFmt w:val="bullet"/>
      <w:lvlText w:val="●"/>
      <w:lvlJc w:val="left"/>
      <w:pPr>
        <w:tabs>
          <w:tab w:val="num" w:pos="720"/>
        </w:tabs>
        <w:ind w:left="720" w:hanging="360"/>
      </w:pPr>
      <w:rPr>
        <w:rFonts w:ascii="Arial" w:hAnsi="Arial" w:hint="default"/>
      </w:rPr>
    </w:lvl>
    <w:lvl w:ilvl="1" w:tplc="93F00280">
      <w:start w:val="3308"/>
      <w:numFmt w:val="bullet"/>
      <w:lvlText w:val="-"/>
      <w:lvlJc w:val="left"/>
      <w:pPr>
        <w:tabs>
          <w:tab w:val="num" w:pos="1440"/>
        </w:tabs>
        <w:ind w:left="1440" w:hanging="360"/>
      </w:pPr>
      <w:rPr>
        <w:rFonts w:ascii="Arial" w:hAnsi="Arial" w:hint="default"/>
      </w:rPr>
    </w:lvl>
    <w:lvl w:ilvl="2" w:tplc="2C0400E2" w:tentative="1">
      <w:start w:val="1"/>
      <w:numFmt w:val="bullet"/>
      <w:lvlText w:val="●"/>
      <w:lvlJc w:val="left"/>
      <w:pPr>
        <w:tabs>
          <w:tab w:val="num" w:pos="2160"/>
        </w:tabs>
        <w:ind w:left="2160" w:hanging="360"/>
      </w:pPr>
      <w:rPr>
        <w:rFonts w:ascii="Arial" w:hAnsi="Arial" w:hint="default"/>
      </w:rPr>
    </w:lvl>
    <w:lvl w:ilvl="3" w:tplc="3AE26AC0" w:tentative="1">
      <w:start w:val="1"/>
      <w:numFmt w:val="bullet"/>
      <w:lvlText w:val="●"/>
      <w:lvlJc w:val="left"/>
      <w:pPr>
        <w:tabs>
          <w:tab w:val="num" w:pos="2880"/>
        </w:tabs>
        <w:ind w:left="2880" w:hanging="360"/>
      </w:pPr>
      <w:rPr>
        <w:rFonts w:ascii="Arial" w:hAnsi="Arial" w:hint="default"/>
      </w:rPr>
    </w:lvl>
    <w:lvl w:ilvl="4" w:tplc="E5D6C56A" w:tentative="1">
      <w:start w:val="1"/>
      <w:numFmt w:val="bullet"/>
      <w:lvlText w:val="●"/>
      <w:lvlJc w:val="left"/>
      <w:pPr>
        <w:tabs>
          <w:tab w:val="num" w:pos="3600"/>
        </w:tabs>
        <w:ind w:left="3600" w:hanging="360"/>
      </w:pPr>
      <w:rPr>
        <w:rFonts w:ascii="Arial" w:hAnsi="Arial" w:hint="default"/>
      </w:rPr>
    </w:lvl>
    <w:lvl w:ilvl="5" w:tplc="01461346" w:tentative="1">
      <w:start w:val="1"/>
      <w:numFmt w:val="bullet"/>
      <w:lvlText w:val="●"/>
      <w:lvlJc w:val="left"/>
      <w:pPr>
        <w:tabs>
          <w:tab w:val="num" w:pos="4320"/>
        </w:tabs>
        <w:ind w:left="4320" w:hanging="360"/>
      </w:pPr>
      <w:rPr>
        <w:rFonts w:ascii="Arial" w:hAnsi="Arial" w:hint="default"/>
      </w:rPr>
    </w:lvl>
    <w:lvl w:ilvl="6" w:tplc="A6A0D5C8" w:tentative="1">
      <w:start w:val="1"/>
      <w:numFmt w:val="bullet"/>
      <w:lvlText w:val="●"/>
      <w:lvlJc w:val="left"/>
      <w:pPr>
        <w:tabs>
          <w:tab w:val="num" w:pos="5040"/>
        </w:tabs>
        <w:ind w:left="5040" w:hanging="360"/>
      </w:pPr>
      <w:rPr>
        <w:rFonts w:ascii="Arial" w:hAnsi="Arial" w:hint="default"/>
      </w:rPr>
    </w:lvl>
    <w:lvl w:ilvl="7" w:tplc="0A4EA08A" w:tentative="1">
      <w:start w:val="1"/>
      <w:numFmt w:val="bullet"/>
      <w:lvlText w:val="●"/>
      <w:lvlJc w:val="left"/>
      <w:pPr>
        <w:tabs>
          <w:tab w:val="num" w:pos="5760"/>
        </w:tabs>
        <w:ind w:left="5760" w:hanging="360"/>
      </w:pPr>
      <w:rPr>
        <w:rFonts w:ascii="Arial" w:hAnsi="Arial" w:hint="default"/>
      </w:rPr>
    </w:lvl>
    <w:lvl w:ilvl="8" w:tplc="5944E28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EF94FB4"/>
    <w:multiLevelType w:val="hybridMultilevel"/>
    <w:tmpl w:val="E662F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F75EC4"/>
    <w:multiLevelType w:val="hybridMultilevel"/>
    <w:tmpl w:val="28F46D68"/>
    <w:lvl w:ilvl="0" w:tplc="26726CE0">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0AD0C08"/>
    <w:multiLevelType w:val="hybridMultilevel"/>
    <w:tmpl w:val="8E087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3B010D"/>
    <w:multiLevelType w:val="hybridMultilevel"/>
    <w:tmpl w:val="1924FFE0"/>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21" w15:restartNumberingAfterBreak="0">
    <w:nsid w:val="3BBA1047"/>
    <w:multiLevelType w:val="hybridMultilevel"/>
    <w:tmpl w:val="807A42B2"/>
    <w:lvl w:ilvl="0" w:tplc="0458F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AA5355"/>
    <w:multiLevelType w:val="hybridMultilevel"/>
    <w:tmpl w:val="780277DE"/>
    <w:lvl w:ilvl="0" w:tplc="1146F8F0">
      <w:start w:val="1"/>
      <w:numFmt w:val="decimal"/>
      <w:lvlText w:val="Step %1."/>
      <w:lvlJc w:val="left"/>
      <w:pPr>
        <w:ind w:left="720" w:hanging="360"/>
      </w:pPr>
      <w:rPr>
        <w:rFonts w:hint="default"/>
        <w:b w:val="0"/>
        <w:i/>
        <w:color w:val="1CADE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165741"/>
    <w:multiLevelType w:val="hybridMultilevel"/>
    <w:tmpl w:val="25D859C0"/>
    <w:lvl w:ilvl="0" w:tplc="7B667596">
      <w:start w:val="1"/>
      <w:numFmt w:val="bullet"/>
      <w:lvlText w:val="•"/>
      <w:lvlJc w:val="left"/>
      <w:pPr>
        <w:tabs>
          <w:tab w:val="num" w:pos="720"/>
        </w:tabs>
        <w:ind w:left="720" w:hanging="360"/>
      </w:pPr>
      <w:rPr>
        <w:rFonts w:ascii="Arial" w:hAnsi="Arial" w:hint="default"/>
      </w:rPr>
    </w:lvl>
    <w:lvl w:ilvl="1" w:tplc="905E0256" w:tentative="1">
      <w:start w:val="1"/>
      <w:numFmt w:val="bullet"/>
      <w:lvlText w:val="•"/>
      <w:lvlJc w:val="left"/>
      <w:pPr>
        <w:tabs>
          <w:tab w:val="num" w:pos="1440"/>
        </w:tabs>
        <w:ind w:left="1440" w:hanging="360"/>
      </w:pPr>
      <w:rPr>
        <w:rFonts w:ascii="Arial" w:hAnsi="Arial" w:hint="default"/>
      </w:rPr>
    </w:lvl>
    <w:lvl w:ilvl="2" w:tplc="D4A8D0CC" w:tentative="1">
      <w:start w:val="1"/>
      <w:numFmt w:val="bullet"/>
      <w:lvlText w:val="•"/>
      <w:lvlJc w:val="left"/>
      <w:pPr>
        <w:tabs>
          <w:tab w:val="num" w:pos="2160"/>
        </w:tabs>
        <w:ind w:left="2160" w:hanging="360"/>
      </w:pPr>
      <w:rPr>
        <w:rFonts w:ascii="Arial" w:hAnsi="Arial" w:hint="default"/>
      </w:rPr>
    </w:lvl>
    <w:lvl w:ilvl="3" w:tplc="DFE29550" w:tentative="1">
      <w:start w:val="1"/>
      <w:numFmt w:val="bullet"/>
      <w:lvlText w:val="•"/>
      <w:lvlJc w:val="left"/>
      <w:pPr>
        <w:tabs>
          <w:tab w:val="num" w:pos="2880"/>
        </w:tabs>
        <w:ind w:left="2880" w:hanging="360"/>
      </w:pPr>
      <w:rPr>
        <w:rFonts w:ascii="Arial" w:hAnsi="Arial" w:hint="default"/>
      </w:rPr>
    </w:lvl>
    <w:lvl w:ilvl="4" w:tplc="B54CDA2E" w:tentative="1">
      <w:start w:val="1"/>
      <w:numFmt w:val="bullet"/>
      <w:lvlText w:val="•"/>
      <w:lvlJc w:val="left"/>
      <w:pPr>
        <w:tabs>
          <w:tab w:val="num" w:pos="3600"/>
        </w:tabs>
        <w:ind w:left="3600" w:hanging="360"/>
      </w:pPr>
      <w:rPr>
        <w:rFonts w:ascii="Arial" w:hAnsi="Arial" w:hint="default"/>
      </w:rPr>
    </w:lvl>
    <w:lvl w:ilvl="5" w:tplc="A886CC62" w:tentative="1">
      <w:start w:val="1"/>
      <w:numFmt w:val="bullet"/>
      <w:lvlText w:val="•"/>
      <w:lvlJc w:val="left"/>
      <w:pPr>
        <w:tabs>
          <w:tab w:val="num" w:pos="4320"/>
        </w:tabs>
        <w:ind w:left="4320" w:hanging="360"/>
      </w:pPr>
      <w:rPr>
        <w:rFonts w:ascii="Arial" w:hAnsi="Arial" w:hint="default"/>
      </w:rPr>
    </w:lvl>
    <w:lvl w:ilvl="6" w:tplc="482C3BEE" w:tentative="1">
      <w:start w:val="1"/>
      <w:numFmt w:val="bullet"/>
      <w:lvlText w:val="•"/>
      <w:lvlJc w:val="left"/>
      <w:pPr>
        <w:tabs>
          <w:tab w:val="num" w:pos="5040"/>
        </w:tabs>
        <w:ind w:left="5040" w:hanging="360"/>
      </w:pPr>
      <w:rPr>
        <w:rFonts w:ascii="Arial" w:hAnsi="Arial" w:hint="default"/>
      </w:rPr>
    </w:lvl>
    <w:lvl w:ilvl="7" w:tplc="AAC49D58" w:tentative="1">
      <w:start w:val="1"/>
      <w:numFmt w:val="bullet"/>
      <w:lvlText w:val="•"/>
      <w:lvlJc w:val="left"/>
      <w:pPr>
        <w:tabs>
          <w:tab w:val="num" w:pos="5760"/>
        </w:tabs>
        <w:ind w:left="5760" w:hanging="360"/>
      </w:pPr>
      <w:rPr>
        <w:rFonts w:ascii="Arial" w:hAnsi="Arial" w:hint="default"/>
      </w:rPr>
    </w:lvl>
    <w:lvl w:ilvl="8" w:tplc="C6BE174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0F83311"/>
    <w:multiLevelType w:val="hybridMultilevel"/>
    <w:tmpl w:val="B7F0F5C2"/>
    <w:lvl w:ilvl="0" w:tplc="58CC25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054170"/>
    <w:multiLevelType w:val="hybridMultilevel"/>
    <w:tmpl w:val="998649D2"/>
    <w:lvl w:ilvl="0" w:tplc="0409000F">
      <w:start w:val="1"/>
      <w:numFmt w:val="decimal"/>
      <w:lvlText w:val="%1."/>
      <w:lvlJc w:val="left"/>
      <w:pPr>
        <w:ind w:left="720" w:hanging="360"/>
      </w:pPr>
      <w:rPr>
        <w:rFonts w:hint="default"/>
      </w:rPr>
    </w:lvl>
    <w:lvl w:ilvl="1" w:tplc="7C66E922">
      <w:numFmt w:val="bullet"/>
      <w:lvlText w:val="-"/>
      <w:lvlJc w:val="left"/>
      <w:pPr>
        <w:ind w:left="1440" w:hanging="360"/>
      </w:pPr>
      <w:rPr>
        <w:rFonts w:ascii="Calibri" w:eastAsia="Times New Roman" w:hAnsi="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383B1C"/>
    <w:multiLevelType w:val="hybridMultilevel"/>
    <w:tmpl w:val="B74A2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2F39BF"/>
    <w:multiLevelType w:val="hybridMultilevel"/>
    <w:tmpl w:val="1666BA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C64653B"/>
    <w:multiLevelType w:val="hybridMultilevel"/>
    <w:tmpl w:val="59B6067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4C941E00"/>
    <w:multiLevelType w:val="hybridMultilevel"/>
    <w:tmpl w:val="2D72B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4B6439"/>
    <w:multiLevelType w:val="hybridMultilevel"/>
    <w:tmpl w:val="374E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570E18"/>
    <w:multiLevelType w:val="hybridMultilevel"/>
    <w:tmpl w:val="003432C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924C03"/>
    <w:multiLevelType w:val="hybridMultilevel"/>
    <w:tmpl w:val="9F9458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1344D56"/>
    <w:multiLevelType w:val="hybridMultilevel"/>
    <w:tmpl w:val="A7887CC8"/>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467FBF"/>
    <w:multiLevelType w:val="hybridMultilevel"/>
    <w:tmpl w:val="0224580E"/>
    <w:lvl w:ilvl="0" w:tplc="58CC25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674394"/>
    <w:multiLevelType w:val="hybridMultilevel"/>
    <w:tmpl w:val="3BDAA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223CBB"/>
    <w:multiLevelType w:val="hybridMultilevel"/>
    <w:tmpl w:val="C06EB8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C7EA6"/>
    <w:multiLevelType w:val="hybridMultilevel"/>
    <w:tmpl w:val="E9726932"/>
    <w:lvl w:ilvl="0" w:tplc="58CC25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CB41155"/>
    <w:multiLevelType w:val="hybridMultilevel"/>
    <w:tmpl w:val="2744C8D6"/>
    <w:lvl w:ilvl="0" w:tplc="0409000F">
      <w:start w:val="1"/>
      <w:numFmt w:val="decimal"/>
      <w:lvlText w:val="%1."/>
      <w:lvlJc w:val="left"/>
      <w:pPr>
        <w:tabs>
          <w:tab w:val="num" w:pos="720"/>
        </w:tabs>
        <w:ind w:left="720" w:hanging="360"/>
      </w:pPr>
      <w:rPr>
        <w:rFonts w:hint="default"/>
      </w:rPr>
    </w:lvl>
    <w:lvl w:ilvl="1" w:tplc="905E0256" w:tentative="1">
      <w:start w:val="1"/>
      <w:numFmt w:val="bullet"/>
      <w:lvlText w:val="•"/>
      <w:lvlJc w:val="left"/>
      <w:pPr>
        <w:tabs>
          <w:tab w:val="num" w:pos="1440"/>
        </w:tabs>
        <w:ind w:left="1440" w:hanging="360"/>
      </w:pPr>
      <w:rPr>
        <w:rFonts w:ascii="Arial" w:hAnsi="Arial" w:hint="default"/>
      </w:rPr>
    </w:lvl>
    <w:lvl w:ilvl="2" w:tplc="D4A8D0CC" w:tentative="1">
      <w:start w:val="1"/>
      <w:numFmt w:val="bullet"/>
      <w:lvlText w:val="•"/>
      <w:lvlJc w:val="left"/>
      <w:pPr>
        <w:tabs>
          <w:tab w:val="num" w:pos="2160"/>
        </w:tabs>
        <w:ind w:left="2160" w:hanging="360"/>
      </w:pPr>
      <w:rPr>
        <w:rFonts w:ascii="Arial" w:hAnsi="Arial" w:hint="default"/>
      </w:rPr>
    </w:lvl>
    <w:lvl w:ilvl="3" w:tplc="DFE29550" w:tentative="1">
      <w:start w:val="1"/>
      <w:numFmt w:val="bullet"/>
      <w:lvlText w:val="•"/>
      <w:lvlJc w:val="left"/>
      <w:pPr>
        <w:tabs>
          <w:tab w:val="num" w:pos="2880"/>
        </w:tabs>
        <w:ind w:left="2880" w:hanging="360"/>
      </w:pPr>
      <w:rPr>
        <w:rFonts w:ascii="Arial" w:hAnsi="Arial" w:hint="default"/>
      </w:rPr>
    </w:lvl>
    <w:lvl w:ilvl="4" w:tplc="B54CDA2E" w:tentative="1">
      <w:start w:val="1"/>
      <w:numFmt w:val="bullet"/>
      <w:lvlText w:val="•"/>
      <w:lvlJc w:val="left"/>
      <w:pPr>
        <w:tabs>
          <w:tab w:val="num" w:pos="3600"/>
        </w:tabs>
        <w:ind w:left="3600" w:hanging="360"/>
      </w:pPr>
      <w:rPr>
        <w:rFonts w:ascii="Arial" w:hAnsi="Arial" w:hint="default"/>
      </w:rPr>
    </w:lvl>
    <w:lvl w:ilvl="5" w:tplc="A886CC62" w:tentative="1">
      <w:start w:val="1"/>
      <w:numFmt w:val="bullet"/>
      <w:lvlText w:val="•"/>
      <w:lvlJc w:val="left"/>
      <w:pPr>
        <w:tabs>
          <w:tab w:val="num" w:pos="4320"/>
        </w:tabs>
        <w:ind w:left="4320" w:hanging="360"/>
      </w:pPr>
      <w:rPr>
        <w:rFonts w:ascii="Arial" w:hAnsi="Arial" w:hint="default"/>
      </w:rPr>
    </w:lvl>
    <w:lvl w:ilvl="6" w:tplc="482C3BEE" w:tentative="1">
      <w:start w:val="1"/>
      <w:numFmt w:val="bullet"/>
      <w:lvlText w:val="•"/>
      <w:lvlJc w:val="left"/>
      <w:pPr>
        <w:tabs>
          <w:tab w:val="num" w:pos="5040"/>
        </w:tabs>
        <w:ind w:left="5040" w:hanging="360"/>
      </w:pPr>
      <w:rPr>
        <w:rFonts w:ascii="Arial" w:hAnsi="Arial" w:hint="default"/>
      </w:rPr>
    </w:lvl>
    <w:lvl w:ilvl="7" w:tplc="AAC49D58" w:tentative="1">
      <w:start w:val="1"/>
      <w:numFmt w:val="bullet"/>
      <w:lvlText w:val="•"/>
      <w:lvlJc w:val="left"/>
      <w:pPr>
        <w:tabs>
          <w:tab w:val="num" w:pos="5760"/>
        </w:tabs>
        <w:ind w:left="5760" w:hanging="360"/>
      </w:pPr>
      <w:rPr>
        <w:rFonts w:ascii="Arial" w:hAnsi="Arial" w:hint="default"/>
      </w:rPr>
    </w:lvl>
    <w:lvl w:ilvl="8" w:tplc="C6BE174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5161DBF"/>
    <w:multiLevelType w:val="hybridMultilevel"/>
    <w:tmpl w:val="C56C71E8"/>
    <w:lvl w:ilvl="0" w:tplc="7EECA5B2">
      <w:start w:val="1"/>
      <w:numFmt w:val="decimal"/>
      <w:lvlText w:val="Milestone %1."/>
      <w:lvlJc w:val="left"/>
      <w:pPr>
        <w:ind w:left="720" w:hanging="360"/>
      </w:pPr>
      <w:rPr>
        <w:rFonts w:hint="default"/>
        <w:b/>
        <w:i/>
        <w:color w:val="00B050"/>
        <w:u w:val="single" w:color="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72CE1"/>
    <w:multiLevelType w:val="hybridMultilevel"/>
    <w:tmpl w:val="C56C71E8"/>
    <w:lvl w:ilvl="0" w:tplc="7EECA5B2">
      <w:start w:val="1"/>
      <w:numFmt w:val="decimal"/>
      <w:lvlText w:val="Milestone %1."/>
      <w:lvlJc w:val="left"/>
      <w:pPr>
        <w:ind w:left="720" w:hanging="360"/>
      </w:pPr>
      <w:rPr>
        <w:rFonts w:hint="default"/>
        <w:b/>
        <w:i/>
        <w:color w:val="00B050"/>
        <w:u w:val="single" w:color="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AD57B4"/>
    <w:multiLevelType w:val="hybridMultilevel"/>
    <w:tmpl w:val="01E4E6CE"/>
    <w:lvl w:ilvl="0" w:tplc="E534B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F45FBA"/>
    <w:multiLevelType w:val="hybridMultilevel"/>
    <w:tmpl w:val="7EE0D1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3" w15:restartNumberingAfterBreak="0">
    <w:nsid w:val="7C2F6EDA"/>
    <w:multiLevelType w:val="hybridMultilevel"/>
    <w:tmpl w:val="F824299A"/>
    <w:lvl w:ilvl="0" w:tplc="58CC25A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DDA6DBB"/>
    <w:multiLevelType w:val="hybridMultilevel"/>
    <w:tmpl w:val="FA089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D85CFE"/>
    <w:multiLevelType w:val="hybridMultilevel"/>
    <w:tmpl w:val="A8CAD79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7"/>
  </w:num>
  <w:num w:numId="2">
    <w:abstractNumId w:val="20"/>
  </w:num>
  <w:num w:numId="3">
    <w:abstractNumId w:val="34"/>
  </w:num>
  <w:num w:numId="4">
    <w:abstractNumId w:val="37"/>
  </w:num>
  <w:num w:numId="5">
    <w:abstractNumId w:val="43"/>
  </w:num>
  <w:num w:numId="6">
    <w:abstractNumId w:val="41"/>
  </w:num>
  <w:num w:numId="7">
    <w:abstractNumId w:val="24"/>
  </w:num>
  <w:num w:numId="8">
    <w:abstractNumId w:val="2"/>
  </w:num>
  <w:num w:numId="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num>
  <w:num w:numId="13">
    <w:abstractNumId w:val="1"/>
  </w:num>
  <w:num w:numId="14">
    <w:abstractNumId w:val="28"/>
  </w:num>
  <w:num w:numId="15">
    <w:abstractNumId w:val="10"/>
  </w:num>
  <w:num w:numId="16">
    <w:abstractNumId w:val="17"/>
  </w:num>
  <w:num w:numId="17">
    <w:abstractNumId w:val="5"/>
  </w:num>
  <w:num w:numId="18">
    <w:abstractNumId w:val="18"/>
  </w:num>
  <w:num w:numId="19">
    <w:abstractNumId w:val="0"/>
  </w:num>
  <w:num w:numId="20">
    <w:abstractNumId w:val="6"/>
  </w:num>
  <w:num w:numId="21">
    <w:abstractNumId w:val="19"/>
  </w:num>
  <w:num w:numId="22">
    <w:abstractNumId w:val="8"/>
  </w:num>
  <w:num w:numId="23">
    <w:abstractNumId w:val="35"/>
  </w:num>
  <w:num w:numId="24">
    <w:abstractNumId w:val="32"/>
  </w:num>
  <w:num w:numId="25">
    <w:abstractNumId w:val="9"/>
  </w:num>
  <w:num w:numId="26">
    <w:abstractNumId w:val="26"/>
  </w:num>
  <w:num w:numId="27">
    <w:abstractNumId w:val="30"/>
  </w:num>
  <w:num w:numId="28">
    <w:abstractNumId w:val="44"/>
  </w:num>
  <w:num w:numId="29">
    <w:abstractNumId w:val="23"/>
  </w:num>
  <w:num w:numId="30">
    <w:abstractNumId w:val="38"/>
  </w:num>
  <w:num w:numId="31">
    <w:abstractNumId w:val="29"/>
  </w:num>
  <w:num w:numId="32">
    <w:abstractNumId w:val="13"/>
  </w:num>
  <w:num w:numId="33">
    <w:abstractNumId w:val="21"/>
  </w:num>
  <w:num w:numId="34">
    <w:abstractNumId w:val="31"/>
  </w:num>
  <w:num w:numId="35">
    <w:abstractNumId w:val="11"/>
  </w:num>
  <w:num w:numId="36">
    <w:abstractNumId w:val="16"/>
  </w:num>
  <w:num w:numId="37">
    <w:abstractNumId w:val="12"/>
  </w:num>
  <w:num w:numId="38">
    <w:abstractNumId w:val="7"/>
  </w:num>
  <w:num w:numId="39">
    <w:abstractNumId w:val="33"/>
  </w:num>
  <w:num w:numId="40">
    <w:abstractNumId w:val="36"/>
  </w:num>
  <w:num w:numId="41">
    <w:abstractNumId w:val="4"/>
  </w:num>
  <w:num w:numId="42">
    <w:abstractNumId w:val="22"/>
  </w:num>
  <w:num w:numId="43">
    <w:abstractNumId w:val="40"/>
  </w:num>
  <w:num w:numId="44">
    <w:abstractNumId w:val="3"/>
  </w:num>
  <w:num w:numId="45">
    <w:abstractNumId w:val="39"/>
  </w:num>
  <w:num w:numId="46">
    <w:abstractNumId w:val="14"/>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35C"/>
    <w:rsid w:val="00001E37"/>
    <w:rsid w:val="00004130"/>
    <w:rsid w:val="00014328"/>
    <w:rsid w:val="00016C7F"/>
    <w:rsid w:val="00020100"/>
    <w:rsid w:val="00023262"/>
    <w:rsid w:val="00023E03"/>
    <w:rsid w:val="00027CF8"/>
    <w:rsid w:val="000376A5"/>
    <w:rsid w:val="00042052"/>
    <w:rsid w:val="00042DB6"/>
    <w:rsid w:val="00044110"/>
    <w:rsid w:val="00045EF7"/>
    <w:rsid w:val="000502A4"/>
    <w:rsid w:val="000532A1"/>
    <w:rsid w:val="000568A8"/>
    <w:rsid w:val="00057DF3"/>
    <w:rsid w:val="00067445"/>
    <w:rsid w:val="000740BD"/>
    <w:rsid w:val="0007442E"/>
    <w:rsid w:val="00074631"/>
    <w:rsid w:val="00077BCB"/>
    <w:rsid w:val="0008711E"/>
    <w:rsid w:val="00097062"/>
    <w:rsid w:val="000A15F3"/>
    <w:rsid w:val="000A526D"/>
    <w:rsid w:val="000B0B76"/>
    <w:rsid w:val="000B0D55"/>
    <w:rsid w:val="000B534B"/>
    <w:rsid w:val="000B67DE"/>
    <w:rsid w:val="000B7CAD"/>
    <w:rsid w:val="000C0BDE"/>
    <w:rsid w:val="000C0C60"/>
    <w:rsid w:val="000C1101"/>
    <w:rsid w:val="000C4B66"/>
    <w:rsid w:val="000C59AF"/>
    <w:rsid w:val="000E08D7"/>
    <w:rsid w:val="000E4FEC"/>
    <w:rsid w:val="000E7DC5"/>
    <w:rsid w:val="000F16F3"/>
    <w:rsid w:val="000F541A"/>
    <w:rsid w:val="000F56D0"/>
    <w:rsid w:val="000F592A"/>
    <w:rsid w:val="00104966"/>
    <w:rsid w:val="00105968"/>
    <w:rsid w:val="001136BD"/>
    <w:rsid w:val="00114529"/>
    <w:rsid w:val="00123566"/>
    <w:rsid w:val="0014020B"/>
    <w:rsid w:val="00142B92"/>
    <w:rsid w:val="00146E9B"/>
    <w:rsid w:val="00151A85"/>
    <w:rsid w:val="001559B7"/>
    <w:rsid w:val="00157CB6"/>
    <w:rsid w:val="00160B9A"/>
    <w:rsid w:val="00163FC9"/>
    <w:rsid w:val="00164808"/>
    <w:rsid w:val="001713B6"/>
    <w:rsid w:val="00175905"/>
    <w:rsid w:val="00176753"/>
    <w:rsid w:val="00181E44"/>
    <w:rsid w:val="0018210F"/>
    <w:rsid w:val="00183160"/>
    <w:rsid w:val="0018536A"/>
    <w:rsid w:val="001923C4"/>
    <w:rsid w:val="001969DC"/>
    <w:rsid w:val="001A006F"/>
    <w:rsid w:val="001A3A63"/>
    <w:rsid w:val="001A538E"/>
    <w:rsid w:val="001B218C"/>
    <w:rsid w:val="001C3F28"/>
    <w:rsid w:val="001D056A"/>
    <w:rsid w:val="001D3C8E"/>
    <w:rsid w:val="001D3EE2"/>
    <w:rsid w:val="001D713A"/>
    <w:rsid w:val="001E03EA"/>
    <w:rsid w:val="001E3CC3"/>
    <w:rsid w:val="001E4CDF"/>
    <w:rsid w:val="001E68B1"/>
    <w:rsid w:val="001F1637"/>
    <w:rsid w:val="001F1E25"/>
    <w:rsid w:val="001F252D"/>
    <w:rsid w:val="001F2D15"/>
    <w:rsid w:val="001F48FC"/>
    <w:rsid w:val="002010A4"/>
    <w:rsid w:val="00201CBF"/>
    <w:rsid w:val="00203EAB"/>
    <w:rsid w:val="00214A0F"/>
    <w:rsid w:val="00215C05"/>
    <w:rsid w:val="00216BDD"/>
    <w:rsid w:val="00223444"/>
    <w:rsid w:val="002242BB"/>
    <w:rsid w:val="00230600"/>
    <w:rsid w:val="0023361E"/>
    <w:rsid w:val="002339F8"/>
    <w:rsid w:val="002431E5"/>
    <w:rsid w:val="00244FAF"/>
    <w:rsid w:val="0025365E"/>
    <w:rsid w:val="00255655"/>
    <w:rsid w:val="00262819"/>
    <w:rsid w:val="00262ADA"/>
    <w:rsid w:val="002642F6"/>
    <w:rsid w:val="00267622"/>
    <w:rsid w:val="00270CEA"/>
    <w:rsid w:val="00273BD7"/>
    <w:rsid w:val="00277F84"/>
    <w:rsid w:val="00292E5C"/>
    <w:rsid w:val="002A0C91"/>
    <w:rsid w:val="002A3F6D"/>
    <w:rsid w:val="002C0690"/>
    <w:rsid w:val="002C0AA8"/>
    <w:rsid w:val="002C12C9"/>
    <w:rsid w:val="002D2787"/>
    <w:rsid w:val="002E3546"/>
    <w:rsid w:val="002E6910"/>
    <w:rsid w:val="002F1684"/>
    <w:rsid w:val="002F1F9F"/>
    <w:rsid w:val="002F245E"/>
    <w:rsid w:val="002F24A7"/>
    <w:rsid w:val="002F5A07"/>
    <w:rsid w:val="002F77E1"/>
    <w:rsid w:val="00303D51"/>
    <w:rsid w:val="003044AD"/>
    <w:rsid w:val="00315B03"/>
    <w:rsid w:val="00320488"/>
    <w:rsid w:val="00327DB1"/>
    <w:rsid w:val="00334B73"/>
    <w:rsid w:val="003532AF"/>
    <w:rsid w:val="003563AC"/>
    <w:rsid w:val="00361E13"/>
    <w:rsid w:val="003632B6"/>
    <w:rsid w:val="00374379"/>
    <w:rsid w:val="00375230"/>
    <w:rsid w:val="003823CF"/>
    <w:rsid w:val="00385EB4"/>
    <w:rsid w:val="00387C3A"/>
    <w:rsid w:val="00392A9E"/>
    <w:rsid w:val="0039520F"/>
    <w:rsid w:val="003A6DE5"/>
    <w:rsid w:val="003B31C9"/>
    <w:rsid w:val="003B3C7A"/>
    <w:rsid w:val="003C02CB"/>
    <w:rsid w:val="003C2058"/>
    <w:rsid w:val="003C3C99"/>
    <w:rsid w:val="003D0F7B"/>
    <w:rsid w:val="003D2003"/>
    <w:rsid w:val="003D2099"/>
    <w:rsid w:val="003D43C2"/>
    <w:rsid w:val="003D5718"/>
    <w:rsid w:val="003D653C"/>
    <w:rsid w:val="003E3C37"/>
    <w:rsid w:val="003E4623"/>
    <w:rsid w:val="003E5C3F"/>
    <w:rsid w:val="003F09AF"/>
    <w:rsid w:val="00401891"/>
    <w:rsid w:val="00405D32"/>
    <w:rsid w:val="00412D27"/>
    <w:rsid w:val="004141F2"/>
    <w:rsid w:val="00416468"/>
    <w:rsid w:val="004208FA"/>
    <w:rsid w:val="004226AB"/>
    <w:rsid w:val="00430C69"/>
    <w:rsid w:val="00443136"/>
    <w:rsid w:val="004460A9"/>
    <w:rsid w:val="00447C75"/>
    <w:rsid w:val="00456F59"/>
    <w:rsid w:val="00463F48"/>
    <w:rsid w:val="00474158"/>
    <w:rsid w:val="0048467D"/>
    <w:rsid w:val="00486026"/>
    <w:rsid w:val="00486CDC"/>
    <w:rsid w:val="00491374"/>
    <w:rsid w:val="00491499"/>
    <w:rsid w:val="0049238A"/>
    <w:rsid w:val="00492834"/>
    <w:rsid w:val="00493F8A"/>
    <w:rsid w:val="00494D3E"/>
    <w:rsid w:val="00496338"/>
    <w:rsid w:val="004A002A"/>
    <w:rsid w:val="004A0608"/>
    <w:rsid w:val="004A0734"/>
    <w:rsid w:val="004A2D84"/>
    <w:rsid w:val="004A3A53"/>
    <w:rsid w:val="004A52F2"/>
    <w:rsid w:val="004B1B6C"/>
    <w:rsid w:val="004B268A"/>
    <w:rsid w:val="004B6FED"/>
    <w:rsid w:val="004C340C"/>
    <w:rsid w:val="004D07EB"/>
    <w:rsid w:val="004E13E3"/>
    <w:rsid w:val="004E245E"/>
    <w:rsid w:val="004E3572"/>
    <w:rsid w:val="004E3601"/>
    <w:rsid w:val="004E4D73"/>
    <w:rsid w:val="0050092A"/>
    <w:rsid w:val="00506604"/>
    <w:rsid w:val="00507CE0"/>
    <w:rsid w:val="0051142E"/>
    <w:rsid w:val="00513526"/>
    <w:rsid w:val="00513F4F"/>
    <w:rsid w:val="00520129"/>
    <w:rsid w:val="00522974"/>
    <w:rsid w:val="005256C8"/>
    <w:rsid w:val="00527EC0"/>
    <w:rsid w:val="00532640"/>
    <w:rsid w:val="005345CE"/>
    <w:rsid w:val="00534824"/>
    <w:rsid w:val="00535FD7"/>
    <w:rsid w:val="00540912"/>
    <w:rsid w:val="0054426D"/>
    <w:rsid w:val="00551C15"/>
    <w:rsid w:val="0055225A"/>
    <w:rsid w:val="0055242F"/>
    <w:rsid w:val="005625D9"/>
    <w:rsid w:val="005632A5"/>
    <w:rsid w:val="005717CA"/>
    <w:rsid w:val="005721F7"/>
    <w:rsid w:val="00575160"/>
    <w:rsid w:val="005757A4"/>
    <w:rsid w:val="00575D1B"/>
    <w:rsid w:val="005832E6"/>
    <w:rsid w:val="00586E3C"/>
    <w:rsid w:val="005944F8"/>
    <w:rsid w:val="005A3E23"/>
    <w:rsid w:val="005A4018"/>
    <w:rsid w:val="005A5432"/>
    <w:rsid w:val="005A5CDF"/>
    <w:rsid w:val="005B19F4"/>
    <w:rsid w:val="005B593D"/>
    <w:rsid w:val="005B5DAA"/>
    <w:rsid w:val="005B7187"/>
    <w:rsid w:val="005B7D8C"/>
    <w:rsid w:val="005C0137"/>
    <w:rsid w:val="005C018F"/>
    <w:rsid w:val="005C3288"/>
    <w:rsid w:val="005C3DDB"/>
    <w:rsid w:val="005C5867"/>
    <w:rsid w:val="005C6ABA"/>
    <w:rsid w:val="005C7FC9"/>
    <w:rsid w:val="005D7CF4"/>
    <w:rsid w:val="005E1255"/>
    <w:rsid w:val="005E43E7"/>
    <w:rsid w:val="005F4A8B"/>
    <w:rsid w:val="005F6758"/>
    <w:rsid w:val="0060028F"/>
    <w:rsid w:val="006074EA"/>
    <w:rsid w:val="00613655"/>
    <w:rsid w:val="006155EB"/>
    <w:rsid w:val="00615806"/>
    <w:rsid w:val="006160C5"/>
    <w:rsid w:val="006160FD"/>
    <w:rsid w:val="006164C4"/>
    <w:rsid w:val="00621DD1"/>
    <w:rsid w:val="00625784"/>
    <w:rsid w:val="00627131"/>
    <w:rsid w:val="00630034"/>
    <w:rsid w:val="006342CD"/>
    <w:rsid w:val="0064099A"/>
    <w:rsid w:val="00647A04"/>
    <w:rsid w:val="00647B70"/>
    <w:rsid w:val="00650DDA"/>
    <w:rsid w:val="006553B1"/>
    <w:rsid w:val="00657B36"/>
    <w:rsid w:val="00657D35"/>
    <w:rsid w:val="006619D0"/>
    <w:rsid w:val="00674D4B"/>
    <w:rsid w:val="00676A22"/>
    <w:rsid w:val="0068277C"/>
    <w:rsid w:val="00683104"/>
    <w:rsid w:val="0069163B"/>
    <w:rsid w:val="006A15DB"/>
    <w:rsid w:val="006A2410"/>
    <w:rsid w:val="006B3AAA"/>
    <w:rsid w:val="006B7212"/>
    <w:rsid w:val="006C0856"/>
    <w:rsid w:val="006C1C3B"/>
    <w:rsid w:val="006C56AB"/>
    <w:rsid w:val="006C7800"/>
    <w:rsid w:val="006D03B9"/>
    <w:rsid w:val="006D51B0"/>
    <w:rsid w:val="006D714A"/>
    <w:rsid w:val="006E1E33"/>
    <w:rsid w:val="006E5FAA"/>
    <w:rsid w:val="006E73DB"/>
    <w:rsid w:val="006F39EB"/>
    <w:rsid w:val="006F5701"/>
    <w:rsid w:val="006F583F"/>
    <w:rsid w:val="00702725"/>
    <w:rsid w:val="007044AC"/>
    <w:rsid w:val="00704DF7"/>
    <w:rsid w:val="00713951"/>
    <w:rsid w:val="00717FFB"/>
    <w:rsid w:val="00742CE4"/>
    <w:rsid w:val="00745931"/>
    <w:rsid w:val="007472D4"/>
    <w:rsid w:val="00761ACC"/>
    <w:rsid w:val="007638E1"/>
    <w:rsid w:val="00766E7C"/>
    <w:rsid w:val="0077309F"/>
    <w:rsid w:val="00776368"/>
    <w:rsid w:val="00776C57"/>
    <w:rsid w:val="00777B8E"/>
    <w:rsid w:val="00782E86"/>
    <w:rsid w:val="00787A64"/>
    <w:rsid w:val="007970EA"/>
    <w:rsid w:val="007A1F77"/>
    <w:rsid w:val="007A28A0"/>
    <w:rsid w:val="007A296F"/>
    <w:rsid w:val="007B0BA2"/>
    <w:rsid w:val="007B4213"/>
    <w:rsid w:val="007B4914"/>
    <w:rsid w:val="007B4E62"/>
    <w:rsid w:val="007B7855"/>
    <w:rsid w:val="007C4C14"/>
    <w:rsid w:val="007C6972"/>
    <w:rsid w:val="007C73D5"/>
    <w:rsid w:val="007C7C23"/>
    <w:rsid w:val="007D6D98"/>
    <w:rsid w:val="007D78F3"/>
    <w:rsid w:val="007E24A7"/>
    <w:rsid w:val="007E4636"/>
    <w:rsid w:val="007E4F23"/>
    <w:rsid w:val="007E7418"/>
    <w:rsid w:val="007F1951"/>
    <w:rsid w:val="007F50E0"/>
    <w:rsid w:val="00804CD6"/>
    <w:rsid w:val="0080651A"/>
    <w:rsid w:val="008110F7"/>
    <w:rsid w:val="00814A2A"/>
    <w:rsid w:val="00815EB9"/>
    <w:rsid w:val="00816D54"/>
    <w:rsid w:val="00825709"/>
    <w:rsid w:val="00830106"/>
    <w:rsid w:val="00830B3D"/>
    <w:rsid w:val="00834E7D"/>
    <w:rsid w:val="008351DD"/>
    <w:rsid w:val="00843720"/>
    <w:rsid w:val="00843BC0"/>
    <w:rsid w:val="00851769"/>
    <w:rsid w:val="0086341E"/>
    <w:rsid w:val="00870186"/>
    <w:rsid w:val="00871DD2"/>
    <w:rsid w:val="008726FF"/>
    <w:rsid w:val="008733DC"/>
    <w:rsid w:val="008811D7"/>
    <w:rsid w:val="008814EA"/>
    <w:rsid w:val="00891B11"/>
    <w:rsid w:val="008A3DA9"/>
    <w:rsid w:val="008B2267"/>
    <w:rsid w:val="008C6423"/>
    <w:rsid w:val="008C6E32"/>
    <w:rsid w:val="008D135C"/>
    <w:rsid w:val="008D2096"/>
    <w:rsid w:val="008D6CE9"/>
    <w:rsid w:val="008D6F06"/>
    <w:rsid w:val="008E0485"/>
    <w:rsid w:val="008E2A21"/>
    <w:rsid w:val="008E4E4D"/>
    <w:rsid w:val="008E5FB4"/>
    <w:rsid w:val="008F6F83"/>
    <w:rsid w:val="008F7054"/>
    <w:rsid w:val="00900C3D"/>
    <w:rsid w:val="00910FDF"/>
    <w:rsid w:val="0091267B"/>
    <w:rsid w:val="00915F4D"/>
    <w:rsid w:val="00922AC0"/>
    <w:rsid w:val="009309BB"/>
    <w:rsid w:val="0093549C"/>
    <w:rsid w:val="009355D3"/>
    <w:rsid w:val="00941D76"/>
    <w:rsid w:val="00945E4C"/>
    <w:rsid w:val="0095074B"/>
    <w:rsid w:val="00952001"/>
    <w:rsid w:val="009522B6"/>
    <w:rsid w:val="00957831"/>
    <w:rsid w:val="00964121"/>
    <w:rsid w:val="00964635"/>
    <w:rsid w:val="00971D70"/>
    <w:rsid w:val="009723CA"/>
    <w:rsid w:val="00972BD7"/>
    <w:rsid w:val="009734C3"/>
    <w:rsid w:val="00975AAD"/>
    <w:rsid w:val="0097641B"/>
    <w:rsid w:val="00983468"/>
    <w:rsid w:val="00986172"/>
    <w:rsid w:val="00986189"/>
    <w:rsid w:val="009971AB"/>
    <w:rsid w:val="009975C2"/>
    <w:rsid w:val="00997DA1"/>
    <w:rsid w:val="009A16BC"/>
    <w:rsid w:val="009A1F29"/>
    <w:rsid w:val="009A4345"/>
    <w:rsid w:val="009A6E25"/>
    <w:rsid w:val="009B37C3"/>
    <w:rsid w:val="009B5312"/>
    <w:rsid w:val="009B5747"/>
    <w:rsid w:val="009B6192"/>
    <w:rsid w:val="009B6A92"/>
    <w:rsid w:val="009C74A0"/>
    <w:rsid w:val="009C78DC"/>
    <w:rsid w:val="009D1FFA"/>
    <w:rsid w:val="009F3743"/>
    <w:rsid w:val="009F4033"/>
    <w:rsid w:val="009F56C2"/>
    <w:rsid w:val="009F7C85"/>
    <w:rsid w:val="00A01296"/>
    <w:rsid w:val="00A02453"/>
    <w:rsid w:val="00A032B9"/>
    <w:rsid w:val="00A04483"/>
    <w:rsid w:val="00A059C6"/>
    <w:rsid w:val="00A07D79"/>
    <w:rsid w:val="00A1398F"/>
    <w:rsid w:val="00A14B71"/>
    <w:rsid w:val="00A237DB"/>
    <w:rsid w:val="00A2593E"/>
    <w:rsid w:val="00A31303"/>
    <w:rsid w:val="00A454C0"/>
    <w:rsid w:val="00A50444"/>
    <w:rsid w:val="00A509C2"/>
    <w:rsid w:val="00A554F5"/>
    <w:rsid w:val="00A61208"/>
    <w:rsid w:val="00A61565"/>
    <w:rsid w:val="00A62AF8"/>
    <w:rsid w:val="00A67F0D"/>
    <w:rsid w:val="00A801DA"/>
    <w:rsid w:val="00A80E54"/>
    <w:rsid w:val="00A87162"/>
    <w:rsid w:val="00A90CA1"/>
    <w:rsid w:val="00A90F04"/>
    <w:rsid w:val="00A94BDA"/>
    <w:rsid w:val="00A956B5"/>
    <w:rsid w:val="00AA21A2"/>
    <w:rsid w:val="00AB2F75"/>
    <w:rsid w:val="00AB51C8"/>
    <w:rsid w:val="00AB7583"/>
    <w:rsid w:val="00AB7632"/>
    <w:rsid w:val="00AC423C"/>
    <w:rsid w:val="00AC6E8D"/>
    <w:rsid w:val="00AC7A51"/>
    <w:rsid w:val="00AD0017"/>
    <w:rsid w:val="00AD1486"/>
    <w:rsid w:val="00AD2247"/>
    <w:rsid w:val="00AD2B47"/>
    <w:rsid w:val="00AD46BB"/>
    <w:rsid w:val="00AD7CEA"/>
    <w:rsid w:val="00AD7FB9"/>
    <w:rsid w:val="00AE5995"/>
    <w:rsid w:val="00AF5513"/>
    <w:rsid w:val="00B03667"/>
    <w:rsid w:val="00B04883"/>
    <w:rsid w:val="00B10361"/>
    <w:rsid w:val="00B13D90"/>
    <w:rsid w:val="00B17223"/>
    <w:rsid w:val="00B33C85"/>
    <w:rsid w:val="00B41010"/>
    <w:rsid w:val="00B453A9"/>
    <w:rsid w:val="00B471B0"/>
    <w:rsid w:val="00B556A0"/>
    <w:rsid w:val="00B558B0"/>
    <w:rsid w:val="00B5614F"/>
    <w:rsid w:val="00B6261F"/>
    <w:rsid w:val="00B6313E"/>
    <w:rsid w:val="00B639BD"/>
    <w:rsid w:val="00B64024"/>
    <w:rsid w:val="00B751C2"/>
    <w:rsid w:val="00B8162E"/>
    <w:rsid w:val="00B84DA7"/>
    <w:rsid w:val="00B85D89"/>
    <w:rsid w:val="00BA2347"/>
    <w:rsid w:val="00BA3BA8"/>
    <w:rsid w:val="00BA3D68"/>
    <w:rsid w:val="00BA4264"/>
    <w:rsid w:val="00BA7A3D"/>
    <w:rsid w:val="00BC11F4"/>
    <w:rsid w:val="00BC259C"/>
    <w:rsid w:val="00BC2FC8"/>
    <w:rsid w:val="00BC658E"/>
    <w:rsid w:val="00BC7111"/>
    <w:rsid w:val="00BC7521"/>
    <w:rsid w:val="00BC78A1"/>
    <w:rsid w:val="00BD4C9D"/>
    <w:rsid w:val="00BD524E"/>
    <w:rsid w:val="00BE0531"/>
    <w:rsid w:val="00BE0E66"/>
    <w:rsid w:val="00BE5FD3"/>
    <w:rsid w:val="00BF2C5C"/>
    <w:rsid w:val="00C067DA"/>
    <w:rsid w:val="00C06CBB"/>
    <w:rsid w:val="00C07474"/>
    <w:rsid w:val="00C12EC8"/>
    <w:rsid w:val="00C16601"/>
    <w:rsid w:val="00C17BF7"/>
    <w:rsid w:val="00C20507"/>
    <w:rsid w:val="00C213FE"/>
    <w:rsid w:val="00C34AAA"/>
    <w:rsid w:val="00C35A5C"/>
    <w:rsid w:val="00C35D5D"/>
    <w:rsid w:val="00C439AF"/>
    <w:rsid w:val="00C536E7"/>
    <w:rsid w:val="00C60EB8"/>
    <w:rsid w:val="00C66320"/>
    <w:rsid w:val="00C66337"/>
    <w:rsid w:val="00C677DE"/>
    <w:rsid w:val="00C702C5"/>
    <w:rsid w:val="00C717AD"/>
    <w:rsid w:val="00C769FB"/>
    <w:rsid w:val="00C779B3"/>
    <w:rsid w:val="00C80475"/>
    <w:rsid w:val="00C82AD1"/>
    <w:rsid w:val="00C82DCC"/>
    <w:rsid w:val="00C95054"/>
    <w:rsid w:val="00C96900"/>
    <w:rsid w:val="00CB0A5C"/>
    <w:rsid w:val="00CB7FDC"/>
    <w:rsid w:val="00CC4338"/>
    <w:rsid w:val="00CC6295"/>
    <w:rsid w:val="00CE0A26"/>
    <w:rsid w:val="00CE1B71"/>
    <w:rsid w:val="00CE339F"/>
    <w:rsid w:val="00CE41D9"/>
    <w:rsid w:val="00CF27D2"/>
    <w:rsid w:val="00CF34B3"/>
    <w:rsid w:val="00CF7713"/>
    <w:rsid w:val="00D05059"/>
    <w:rsid w:val="00D10738"/>
    <w:rsid w:val="00D116E2"/>
    <w:rsid w:val="00D304E7"/>
    <w:rsid w:val="00D365FB"/>
    <w:rsid w:val="00D432F1"/>
    <w:rsid w:val="00D437F7"/>
    <w:rsid w:val="00D44D13"/>
    <w:rsid w:val="00D47DA6"/>
    <w:rsid w:val="00D51107"/>
    <w:rsid w:val="00D534F6"/>
    <w:rsid w:val="00D538B1"/>
    <w:rsid w:val="00D5589C"/>
    <w:rsid w:val="00D57448"/>
    <w:rsid w:val="00D62CBD"/>
    <w:rsid w:val="00D62D6D"/>
    <w:rsid w:val="00D63B19"/>
    <w:rsid w:val="00D65CD4"/>
    <w:rsid w:val="00D81B96"/>
    <w:rsid w:val="00D9229E"/>
    <w:rsid w:val="00D95995"/>
    <w:rsid w:val="00DA6BB2"/>
    <w:rsid w:val="00DB4536"/>
    <w:rsid w:val="00DB4FB9"/>
    <w:rsid w:val="00DC0110"/>
    <w:rsid w:val="00DC6BA9"/>
    <w:rsid w:val="00DC7E90"/>
    <w:rsid w:val="00DD2C0C"/>
    <w:rsid w:val="00DD4991"/>
    <w:rsid w:val="00DD79B4"/>
    <w:rsid w:val="00DD7A85"/>
    <w:rsid w:val="00DD7F66"/>
    <w:rsid w:val="00DE05D7"/>
    <w:rsid w:val="00DE252D"/>
    <w:rsid w:val="00DE4AED"/>
    <w:rsid w:val="00DF7C7C"/>
    <w:rsid w:val="00E006A4"/>
    <w:rsid w:val="00E038D5"/>
    <w:rsid w:val="00E05646"/>
    <w:rsid w:val="00E05730"/>
    <w:rsid w:val="00E072E6"/>
    <w:rsid w:val="00E160EC"/>
    <w:rsid w:val="00E22ECE"/>
    <w:rsid w:val="00E24F63"/>
    <w:rsid w:val="00E36694"/>
    <w:rsid w:val="00E4050E"/>
    <w:rsid w:val="00E57746"/>
    <w:rsid w:val="00E60D08"/>
    <w:rsid w:val="00E63BBA"/>
    <w:rsid w:val="00E74386"/>
    <w:rsid w:val="00E842E6"/>
    <w:rsid w:val="00E8488E"/>
    <w:rsid w:val="00E90F23"/>
    <w:rsid w:val="00E935E1"/>
    <w:rsid w:val="00E9582D"/>
    <w:rsid w:val="00E9754C"/>
    <w:rsid w:val="00EA1294"/>
    <w:rsid w:val="00EA39AC"/>
    <w:rsid w:val="00EA4854"/>
    <w:rsid w:val="00EA61B4"/>
    <w:rsid w:val="00EB32E7"/>
    <w:rsid w:val="00EB37FC"/>
    <w:rsid w:val="00EB6F1F"/>
    <w:rsid w:val="00EC1BF2"/>
    <w:rsid w:val="00EC2272"/>
    <w:rsid w:val="00ED3A1D"/>
    <w:rsid w:val="00ED5F2E"/>
    <w:rsid w:val="00ED6697"/>
    <w:rsid w:val="00EE0715"/>
    <w:rsid w:val="00EF099D"/>
    <w:rsid w:val="00EF3150"/>
    <w:rsid w:val="00EF5A47"/>
    <w:rsid w:val="00EF77B3"/>
    <w:rsid w:val="00F010DA"/>
    <w:rsid w:val="00F033E9"/>
    <w:rsid w:val="00F04CF4"/>
    <w:rsid w:val="00F12404"/>
    <w:rsid w:val="00F14F2D"/>
    <w:rsid w:val="00F21924"/>
    <w:rsid w:val="00F233D5"/>
    <w:rsid w:val="00F25721"/>
    <w:rsid w:val="00F265CB"/>
    <w:rsid w:val="00F26C73"/>
    <w:rsid w:val="00F3060D"/>
    <w:rsid w:val="00F3711A"/>
    <w:rsid w:val="00F3745A"/>
    <w:rsid w:val="00F43872"/>
    <w:rsid w:val="00F4744D"/>
    <w:rsid w:val="00F7561C"/>
    <w:rsid w:val="00F8100D"/>
    <w:rsid w:val="00F8410C"/>
    <w:rsid w:val="00F925B4"/>
    <w:rsid w:val="00F92AA1"/>
    <w:rsid w:val="00FA27EA"/>
    <w:rsid w:val="00FA6E02"/>
    <w:rsid w:val="00FB2F47"/>
    <w:rsid w:val="00FC42E4"/>
    <w:rsid w:val="00FC66C0"/>
    <w:rsid w:val="00FC7D14"/>
    <w:rsid w:val="00FD18AD"/>
    <w:rsid w:val="00FD1AC3"/>
    <w:rsid w:val="00FE1E1A"/>
    <w:rsid w:val="00FE4A07"/>
    <w:rsid w:val="00FE563A"/>
    <w:rsid w:val="00FF3ABF"/>
    <w:rsid w:val="00FF7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275A0"/>
  <w15:docId w15:val="{89AF93C9-9724-4942-A17F-42C05ADAA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A53"/>
  </w:style>
  <w:style w:type="paragraph" w:styleId="Heading1">
    <w:name w:val="heading 1"/>
    <w:basedOn w:val="Normal"/>
    <w:next w:val="Normal"/>
    <w:link w:val="Heading1Char"/>
    <w:uiPriority w:val="9"/>
    <w:qFormat/>
    <w:rsid w:val="004A3A53"/>
    <w:pPr>
      <w:keepNext/>
      <w:keepLines/>
      <w:spacing w:before="320" w:after="0" w:line="240" w:lineRule="auto"/>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4A3A5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4A3A53"/>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Heading4">
    <w:name w:val="heading 4"/>
    <w:basedOn w:val="Normal"/>
    <w:next w:val="Normal"/>
    <w:link w:val="Heading4Char"/>
    <w:uiPriority w:val="9"/>
    <w:unhideWhenUsed/>
    <w:qFormat/>
    <w:rsid w:val="004A3A5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4A3A53"/>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Heading6">
    <w:name w:val="heading 6"/>
    <w:basedOn w:val="Normal"/>
    <w:next w:val="Normal"/>
    <w:link w:val="Heading6Char"/>
    <w:uiPriority w:val="9"/>
    <w:semiHidden/>
    <w:unhideWhenUsed/>
    <w:qFormat/>
    <w:rsid w:val="004A3A53"/>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Heading7">
    <w:name w:val="heading 7"/>
    <w:basedOn w:val="Normal"/>
    <w:next w:val="Normal"/>
    <w:link w:val="Heading7Char"/>
    <w:uiPriority w:val="9"/>
    <w:semiHidden/>
    <w:unhideWhenUsed/>
    <w:qFormat/>
    <w:rsid w:val="004A3A53"/>
    <w:pPr>
      <w:keepNext/>
      <w:keepLines/>
      <w:spacing w:before="40" w:after="0"/>
      <w:outlineLvl w:val="6"/>
    </w:pPr>
    <w:rPr>
      <w:rFonts w:asciiTheme="majorHAnsi" w:eastAsiaTheme="majorEastAsia" w:hAnsiTheme="majorHAnsi" w:cstheme="majorBidi"/>
      <w:i/>
      <w:iCs/>
      <w:color w:val="0D5672" w:themeColor="accent1" w:themeShade="80"/>
      <w:sz w:val="21"/>
      <w:szCs w:val="21"/>
    </w:rPr>
  </w:style>
  <w:style w:type="paragraph" w:styleId="Heading8">
    <w:name w:val="heading 8"/>
    <w:basedOn w:val="Normal"/>
    <w:next w:val="Normal"/>
    <w:link w:val="Heading8Char"/>
    <w:uiPriority w:val="9"/>
    <w:semiHidden/>
    <w:unhideWhenUsed/>
    <w:qFormat/>
    <w:rsid w:val="004A3A53"/>
    <w:pPr>
      <w:keepNext/>
      <w:keepLines/>
      <w:spacing w:before="40" w:after="0"/>
      <w:outlineLvl w:val="7"/>
    </w:pPr>
    <w:rPr>
      <w:rFonts w:asciiTheme="majorHAnsi" w:eastAsiaTheme="majorEastAsia" w:hAnsiTheme="majorHAnsi" w:cstheme="majorBidi"/>
      <w:b/>
      <w:bCs/>
      <w:color w:val="335B74" w:themeColor="text2"/>
    </w:rPr>
  </w:style>
  <w:style w:type="paragraph" w:styleId="Heading9">
    <w:name w:val="heading 9"/>
    <w:basedOn w:val="Normal"/>
    <w:next w:val="Normal"/>
    <w:link w:val="Heading9Char"/>
    <w:uiPriority w:val="9"/>
    <w:semiHidden/>
    <w:unhideWhenUsed/>
    <w:qFormat/>
    <w:rsid w:val="004A3A53"/>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A53"/>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rsid w:val="004A3A5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4A3A53"/>
    <w:rPr>
      <w:rFonts w:asciiTheme="majorHAnsi" w:eastAsiaTheme="majorEastAsia" w:hAnsiTheme="majorHAnsi" w:cstheme="majorBidi"/>
      <w:color w:val="335B74" w:themeColor="text2"/>
      <w:sz w:val="24"/>
      <w:szCs w:val="24"/>
    </w:rPr>
  </w:style>
  <w:style w:type="character" w:customStyle="1" w:styleId="Heading4Char">
    <w:name w:val="Heading 4 Char"/>
    <w:basedOn w:val="DefaultParagraphFont"/>
    <w:link w:val="Heading4"/>
    <w:uiPriority w:val="9"/>
    <w:rsid w:val="004A3A53"/>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4A3A53"/>
    <w:pPr>
      <w:spacing w:after="0" w:line="240" w:lineRule="auto"/>
      <w:contextualSpacing/>
    </w:pPr>
    <w:rPr>
      <w:rFonts w:asciiTheme="majorHAnsi" w:eastAsiaTheme="majorEastAsia" w:hAnsiTheme="majorHAnsi" w:cstheme="majorBidi"/>
      <w:color w:val="1CADE4" w:themeColor="accent1"/>
      <w:spacing w:val="-10"/>
      <w:sz w:val="56"/>
      <w:szCs w:val="56"/>
    </w:rPr>
  </w:style>
  <w:style w:type="character" w:customStyle="1" w:styleId="TitleChar">
    <w:name w:val="Title Char"/>
    <w:basedOn w:val="DefaultParagraphFont"/>
    <w:link w:val="Title"/>
    <w:uiPriority w:val="10"/>
    <w:rsid w:val="004A3A53"/>
    <w:rPr>
      <w:rFonts w:asciiTheme="majorHAnsi" w:eastAsiaTheme="majorEastAsia" w:hAnsiTheme="majorHAnsi" w:cstheme="majorBidi"/>
      <w:color w:val="1CADE4" w:themeColor="accent1"/>
      <w:spacing w:val="-10"/>
      <w:sz w:val="56"/>
      <w:szCs w:val="56"/>
    </w:rPr>
  </w:style>
  <w:style w:type="paragraph" w:styleId="ListParagraph">
    <w:name w:val="List Paragraph"/>
    <w:basedOn w:val="Normal"/>
    <w:uiPriority w:val="34"/>
    <w:qFormat/>
    <w:rsid w:val="004A3A53"/>
    <w:pPr>
      <w:ind w:left="720"/>
      <w:contextualSpacing/>
    </w:pPr>
  </w:style>
  <w:style w:type="paragraph" w:styleId="BalloonText">
    <w:name w:val="Balloon Text"/>
    <w:basedOn w:val="Normal"/>
    <w:link w:val="BalloonTextChar"/>
    <w:uiPriority w:val="99"/>
    <w:semiHidden/>
    <w:unhideWhenUsed/>
    <w:rsid w:val="00463F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F48"/>
    <w:rPr>
      <w:rFonts w:ascii="Tahoma" w:hAnsi="Tahoma" w:cs="Tahoma"/>
      <w:sz w:val="16"/>
      <w:szCs w:val="16"/>
    </w:rPr>
  </w:style>
  <w:style w:type="paragraph" w:styleId="Header">
    <w:name w:val="header"/>
    <w:basedOn w:val="Normal"/>
    <w:link w:val="HeaderChar"/>
    <w:uiPriority w:val="99"/>
    <w:unhideWhenUsed/>
    <w:rsid w:val="00945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E4C"/>
  </w:style>
  <w:style w:type="paragraph" w:styleId="Footer">
    <w:name w:val="footer"/>
    <w:basedOn w:val="Normal"/>
    <w:link w:val="FooterChar"/>
    <w:uiPriority w:val="99"/>
    <w:unhideWhenUsed/>
    <w:rsid w:val="00945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E4C"/>
  </w:style>
  <w:style w:type="character" w:styleId="BookTitle">
    <w:name w:val="Book Title"/>
    <w:basedOn w:val="DefaultParagraphFont"/>
    <w:uiPriority w:val="33"/>
    <w:qFormat/>
    <w:rsid w:val="004A3A53"/>
    <w:rPr>
      <w:b/>
      <w:bCs/>
      <w:smallCaps/>
    </w:rPr>
  </w:style>
  <w:style w:type="paragraph" w:styleId="Quote">
    <w:name w:val="Quote"/>
    <w:basedOn w:val="Normal"/>
    <w:next w:val="Normal"/>
    <w:link w:val="QuoteChar"/>
    <w:uiPriority w:val="29"/>
    <w:qFormat/>
    <w:rsid w:val="004A3A5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A3A53"/>
    <w:rPr>
      <w:i/>
      <w:iCs/>
      <w:color w:val="404040" w:themeColor="text1" w:themeTint="BF"/>
    </w:rPr>
  </w:style>
  <w:style w:type="character" w:customStyle="1" w:styleId="apple-style-span">
    <w:name w:val="apple-style-span"/>
    <w:basedOn w:val="DefaultParagraphFont"/>
    <w:rsid w:val="00F04CF4"/>
  </w:style>
  <w:style w:type="character" w:customStyle="1" w:styleId="apple-converted-space">
    <w:name w:val="apple-converted-space"/>
    <w:basedOn w:val="DefaultParagraphFont"/>
    <w:rsid w:val="00F04CF4"/>
  </w:style>
  <w:style w:type="character" w:styleId="Hyperlink">
    <w:name w:val="Hyperlink"/>
    <w:basedOn w:val="DefaultParagraphFont"/>
    <w:uiPriority w:val="99"/>
    <w:unhideWhenUsed/>
    <w:rsid w:val="00F04CF4"/>
    <w:rPr>
      <w:color w:val="0000FF"/>
      <w:u w:val="single"/>
    </w:rPr>
  </w:style>
  <w:style w:type="paragraph" w:styleId="NoSpacing">
    <w:name w:val="No Spacing"/>
    <w:uiPriority w:val="1"/>
    <w:qFormat/>
    <w:rsid w:val="004A3A53"/>
    <w:pPr>
      <w:spacing w:after="0" w:line="240" w:lineRule="auto"/>
    </w:pPr>
  </w:style>
  <w:style w:type="character" w:customStyle="1" w:styleId="small-caps">
    <w:name w:val="small-caps"/>
    <w:basedOn w:val="DefaultParagraphFont"/>
    <w:rsid w:val="001969DC"/>
  </w:style>
  <w:style w:type="paragraph" w:styleId="CommentText">
    <w:name w:val="annotation text"/>
    <w:basedOn w:val="Normal"/>
    <w:link w:val="CommentTextChar"/>
    <w:uiPriority w:val="99"/>
    <w:semiHidden/>
    <w:unhideWhenUsed/>
    <w:rsid w:val="00E006A4"/>
    <w:pPr>
      <w:spacing w:line="240" w:lineRule="auto"/>
    </w:pPr>
  </w:style>
  <w:style w:type="character" w:customStyle="1" w:styleId="CommentTextChar">
    <w:name w:val="Comment Text Char"/>
    <w:basedOn w:val="DefaultParagraphFont"/>
    <w:link w:val="CommentText"/>
    <w:uiPriority w:val="99"/>
    <w:semiHidden/>
    <w:rsid w:val="00E006A4"/>
    <w:rPr>
      <w:sz w:val="20"/>
      <w:szCs w:val="20"/>
    </w:rPr>
  </w:style>
  <w:style w:type="paragraph" w:styleId="IntenseQuote">
    <w:name w:val="Intense Quote"/>
    <w:basedOn w:val="Normal"/>
    <w:next w:val="Normal"/>
    <w:link w:val="IntenseQuoteChar"/>
    <w:uiPriority w:val="30"/>
    <w:qFormat/>
    <w:rsid w:val="004A3A53"/>
    <w:pPr>
      <w:pBdr>
        <w:left w:val="single" w:sz="18" w:space="12" w:color="1CADE4" w:themeColor="accent1"/>
      </w:pBdr>
      <w:spacing w:before="100" w:beforeAutospacing="1" w:line="300" w:lineRule="auto"/>
      <w:ind w:left="1224" w:right="1224"/>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4A3A53"/>
    <w:rPr>
      <w:rFonts w:asciiTheme="majorHAnsi" w:eastAsiaTheme="majorEastAsia" w:hAnsiTheme="majorHAnsi" w:cstheme="majorBidi"/>
      <w:color w:val="1CADE4" w:themeColor="accent1"/>
      <w:sz w:val="28"/>
      <w:szCs w:val="28"/>
    </w:rPr>
  </w:style>
  <w:style w:type="paragraph" w:styleId="TOCHeading">
    <w:name w:val="TOC Heading"/>
    <w:basedOn w:val="Heading1"/>
    <w:next w:val="Normal"/>
    <w:uiPriority w:val="39"/>
    <w:unhideWhenUsed/>
    <w:qFormat/>
    <w:rsid w:val="004A3A53"/>
    <w:pPr>
      <w:outlineLvl w:val="9"/>
    </w:pPr>
  </w:style>
  <w:style w:type="paragraph" w:styleId="TOC1">
    <w:name w:val="toc 1"/>
    <w:basedOn w:val="Normal"/>
    <w:next w:val="Normal"/>
    <w:autoRedefine/>
    <w:uiPriority w:val="39"/>
    <w:unhideWhenUsed/>
    <w:rsid w:val="00964635"/>
    <w:pPr>
      <w:spacing w:after="100"/>
    </w:pPr>
  </w:style>
  <w:style w:type="paragraph" w:styleId="TOC2">
    <w:name w:val="toc 2"/>
    <w:basedOn w:val="Normal"/>
    <w:next w:val="Normal"/>
    <w:autoRedefine/>
    <w:uiPriority w:val="39"/>
    <w:unhideWhenUsed/>
    <w:rsid w:val="00964635"/>
    <w:pPr>
      <w:spacing w:after="100"/>
      <w:ind w:left="220"/>
    </w:pPr>
  </w:style>
  <w:style w:type="paragraph" w:styleId="TOC3">
    <w:name w:val="toc 3"/>
    <w:basedOn w:val="Normal"/>
    <w:next w:val="Normal"/>
    <w:autoRedefine/>
    <w:uiPriority w:val="39"/>
    <w:unhideWhenUsed/>
    <w:rsid w:val="00964635"/>
    <w:pPr>
      <w:spacing w:after="100"/>
      <w:ind w:left="440"/>
    </w:pPr>
  </w:style>
  <w:style w:type="paragraph" w:styleId="Caption">
    <w:name w:val="caption"/>
    <w:basedOn w:val="Normal"/>
    <w:next w:val="Normal"/>
    <w:uiPriority w:val="35"/>
    <w:unhideWhenUsed/>
    <w:qFormat/>
    <w:rsid w:val="004A3A53"/>
    <w:pPr>
      <w:spacing w:line="240" w:lineRule="auto"/>
    </w:pPr>
    <w:rPr>
      <w:b/>
      <w:bCs/>
      <w:smallCaps/>
      <w:color w:val="595959" w:themeColor="text1" w:themeTint="A6"/>
      <w:spacing w:val="6"/>
    </w:rPr>
  </w:style>
  <w:style w:type="table" w:styleId="TableGrid">
    <w:name w:val="Table Grid"/>
    <w:basedOn w:val="TableNormal"/>
    <w:uiPriority w:val="59"/>
    <w:rsid w:val="002F24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51C15"/>
    <w:pPr>
      <w:spacing w:after="0" w:line="240" w:lineRule="auto"/>
    </w:pPr>
  </w:style>
  <w:style w:type="character" w:customStyle="1" w:styleId="FootnoteTextChar">
    <w:name w:val="Footnote Text Char"/>
    <w:basedOn w:val="DefaultParagraphFont"/>
    <w:link w:val="FootnoteText"/>
    <w:uiPriority w:val="99"/>
    <w:semiHidden/>
    <w:rsid w:val="00551C15"/>
    <w:rPr>
      <w:sz w:val="20"/>
      <w:szCs w:val="20"/>
    </w:rPr>
  </w:style>
  <w:style w:type="character" w:styleId="FootnoteReference">
    <w:name w:val="footnote reference"/>
    <w:basedOn w:val="DefaultParagraphFont"/>
    <w:uiPriority w:val="99"/>
    <w:semiHidden/>
    <w:unhideWhenUsed/>
    <w:rsid w:val="00551C15"/>
    <w:rPr>
      <w:vertAlign w:val="superscript"/>
    </w:rPr>
  </w:style>
  <w:style w:type="character" w:styleId="PlaceholderText">
    <w:name w:val="Placeholder Text"/>
    <w:basedOn w:val="DefaultParagraphFont"/>
    <w:uiPriority w:val="99"/>
    <w:semiHidden/>
    <w:rsid w:val="00EF5A47"/>
    <w:rPr>
      <w:color w:val="808080"/>
    </w:rPr>
  </w:style>
  <w:style w:type="character" w:customStyle="1" w:styleId="mathfont1">
    <w:name w:val="mathfont1"/>
    <w:basedOn w:val="DefaultParagraphFont"/>
    <w:rsid w:val="00704DF7"/>
    <w:rPr>
      <w:rFonts w:ascii="Times New Roman" w:hAnsi="Times New Roman" w:cs="Times New Roman" w:hint="default"/>
    </w:rPr>
  </w:style>
  <w:style w:type="paragraph" w:styleId="NormalWeb">
    <w:name w:val="Normal (Web)"/>
    <w:basedOn w:val="Normal"/>
    <w:uiPriority w:val="99"/>
    <w:unhideWhenUsed/>
    <w:rsid w:val="00C35D5D"/>
    <w:pPr>
      <w:spacing w:before="100" w:beforeAutospacing="1" w:after="100" w:afterAutospacing="1" w:line="240" w:lineRule="auto"/>
    </w:pPr>
    <w:rPr>
      <w:rFonts w:ascii="Times New Roman" w:hAnsi="Times New Roman" w:cs="Times New Roman"/>
      <w:sz w:val="24"/>
      <w:szCs w:val="24"/>
    </w:rPr>
  </w:style>
  <w:style w:type="table" w:styleId="LightShading-Accent5">
    <w:name w:val="Light Shading Accent 5"/>
    <w:basedOn w:val="TableNormal"/>
    <w:uiPriority w:val="60"/>
    <w:rsid w:val="00F3711A"/>
    <w:pPr>
      <w:spacing w:after="0" w:line="240" w:lineRule="auto"/>
    </w:pPr>
    <w:rPr>
      <w:color w:val="2E653E" w:themeColor="accent5" w:themeShade="BF"/>
    </w:rPr>
    <w:tblPr>
      <w:tblStyleRowBandSize w:val="1"/>
      <w:tblStyleColBandSize w:val="1"/>
      <w:tblBorders>
        <w:top w:val="single" w:sz="8" w:space="0" w:color="3E8853" w:themeColor="accent5"/>
        <w:bottom w:val="single" w:sz="8" w:space="0" w:color="3E8853" w:themeColor="accent5"/>
      </w:tblBorders>
    </w:tblPr>
    <w:tblStylePr w:type="fir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la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left w:val="nil"/>
          <w:right w:val="nil"/>
          <w:insideH w:val="nil"/>
          <w:insideV w:val="nil"/>
        </w:tcBorders>
        <w:shd w:val="clear" w:color="auto" w:fill="C9E6D2" w:themeFill="accent5" w:themeFillTint="3F"/>
      </w:tcPr>
    </w:tblStylePr>
  </w:style>
  <w:style w:type="character" w:styleId="Emphasis">
    <w:name w:val="Emphasis"/>
    <w:basedOn w:val="DefaultParagraphFont"/>
    <w:uiPriority w:val="20"/>
    <w:qFormat/>
    <w:rsid w:val="004A3A53"/>
    <w:rPr>
      <w:i/>
      <w:iCs/>
    </w:rPr>
  </w:style>
  <w:style w:type="table" w:styleId="LightList-Accent5">
    <w:name w:val="Light List Accent 5"/>
    <w:basedOn w:val="TableNormal"/>
    <w:uiPriority w:val="61"/>
    <w:rsid w:val="001F48FC"/>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pPr>
        <w:spacing w:before="0" w:after="0" w:line="240" w:lineRule="auto"/>
      </w:pPr>
      <w:rPr>
        <w:b/>
        <w:bCs/>
        <w:color w:val="FFFFFF" w:themeColor="background1"/>
      </w:rPr>
      <w:tblPr/>
      <w:tcPr>
        <w:shd w:val="clear" w:color="auto" w:fill="3E8853" w:themeFill="accent5"/>
      </w:tcPr>
    </w:tblStylePr>
    <w:tblStylePr w:type="lastRow">
      <w:pPr>
        <w:spacing w:before="0" w:after="0" w:line="240" w:lineRule="auto"/>
      </w:pPr>
      <w:rPr>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tcBorders>
      </w:tcPr>
    </w:tblStylePr>
    <w:tblStylePr w:type="firstCol">
      <w:rPr>
        <w:b/>
        <w:bCs/>
      </w:rPr>
    </w:tblStylePr>
    <w:tblStylePr w:type="lastCol">
      <w:rPr>
        <w:b/>
        <w:bCs/>
      </w:r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style>
  <w:style w:type="character" w:customStyle="1" w:styleId="Heading5Char">
    <w:name w:val="Heading 5 Char"/>
    <w:basedOn w:val="DefaultParagraphFont"/>
    <w:link w:val="Heading5"/>
    <w:uiPriority w:val="9"/>
    <w:rsid w:val="004A3A53"/>
    <w:rPr>
      <w:rFonts w:asciiTheme="majorHAnsi" w:eastAsiaTheme="majorEastAsia" w:hAnsiTheme="majorHAnsi" w:cstheme="majorBidi"/>
      <w:color w:val="335B74" w:themeColor="text2"/>
      <w:sz w:val="22"/>
      <w:szCs w:val="22"/>
    </w:rPr>
  </w:style>
  <w:style w:type="character" w:customStyle="1" w:styleId="Heading6Char">
    <w:name w:val="Heading 6 Char"/>
    <w:basedOn w:val="DefaultParagraphFont"/>
    <w:link w:val="Heading6"/>
    <w:uiPriority w:val="9"/>
    <w:semiHidden/>
    <w:rsid w:val="004A3A53"/>
    <w:rPr>
      <w:rFonts w:asciiTheme="majorHAnsi" w:eastAsiaTheme="majorEastAsia" w:hAnsiTheme="majorHAnsi" w:cstheme="majorBidi"/>
      <w:i/>
      <w:iCs/>
      <w:color w:val="335B74" w:themeColor="text2"/>
      <w:sz w:val="21"/>
      <w:szCs w:val="21"/>
    </w:rPr>
  </w:style>
  <w:style w:type="character" w:customStyle="1" w:styleId="Heading7Char">
    <w:name w:val="Heading 7 Char"/>
    <w:basedOn w:val="DefaultParagraphFont"/>
    <w:link w:val="Heading7"/>
    <w:uiPriority w:val="9"/>
    <w:semiHidden/>
    <w:rsid w:val="004A3A53"/>
    <w:rPr>
      <w:rFonts w:asciiTheme="majorHAnsi" w:eastAsiaTheme="majorEastAsia" w:hAnsiTheme="majorHAnsi" w:cstheme="majorBidi"/>
      <w:i/>
      <w:iCs/>
      <w:color w:val="0D5672" w:themeColor="accent1" w:themeShade="80"/>
      <w:sz w:val="21"/>
      <w:szCs w:val="21"/>
    </w:rPr>
  </w:style>
  <w:style w:type="character" w:customStyle="1" w:styleId="Heading8Char">
    <w:name w:val="Heading 8 Char"/>
    <w:basedOn w:val="DefaultParagraphFont"/>
    <w:link w:val="Heading8"/>
    <w:uiPriority w:val="9"/>
    <w:semiHidden/>
    <w:rsid w:val="004A3A53"/>
    <w:rPr>
      <w:rFonts w:asciiTheme="majorHAnsi" w:eastAsiaTheme="majorEastAsia" w:hAnsiTheme="majorHAnsi" w:cstheme="majorBidi"/>
      <w:b/>
      <w:bCs/>
      <w:color w:val="335B74" w:themeColor="text2"/>
    </w:rPr>
  </w:style>
  <w:style w:type="character" w:customStyle="1" w:styleId="Heading9Char">
    <w:name w:val="Heading 9 Char"/>
    <w:basedOn w:val="DefaultParagraphFont"/>
    <w:link w:val="Heading9"/>
    <w:uiPriority w:val="9"/>
    <w:semiHidden/>
    <w:rsid w:val="004A3A53"/>
    <w:rPr>
      <w:rFonts w:asciiTheme="majorHAnsi" w:eastAsiaTheme="majorEastAsia" w:hAnsiTheme="majorHAnsi" w:cstheme="majorBidi"/>
      <w:b/>
      <w:bCs/>
      <w:i/>
      <w:iCs/>
      <w:color w:val="335B74" w:themeColor="text2"/>
    </w:rPr>
  </w:style>
  <w:style w:type="paragraph" w:styleId="Subtitle">
    <w:name w:val="Subtitle"/>
    <w:basedOn w:val="Normal"/>
    <w:next w:val="Normal"/>
    <w:link w:val="SubtitleChar"/>
    <w:uiPriority w:val="11"/>
    <w:qFormat/>
    <w:rsid w:val="004A3A5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A3A53"/>
    <w:rPr>
      <w:rFonts w:asciiTheme="majorHAnsi" w:eastAsiaTheme="majorEastAsia" w:hAnsiTheme="majorHAnsi" w:cstheme="majorBidi"/>
      <w:sz w:val="24"/>
      <w:szCs w:val="24"/>
    </w:rPr>
  </w:style>
  <w:style w:type="character" w:styleId="Strong">
    <w:name w:val="Strong"/>
    <w:basedOn w:val="DefaultParagraphFont"/>
    <w:uiPriority w:val="22"/>
    <w:qFormat/>
    <w:rsid w:val="004A3A53"/>
    <w:rPr>
      <w:b/>
      <w:bCs/>
    </w:rPr>
  </w:style>
  <w:style w:type="character" w:styleId="SubtleEmphasis">
    <w:name w:val="Subtle Emphasis"/>
    <w:basedOn w:val="DefaultParagraphFont"/>
    <w:uiPriority w:val="19"/>
    <w:qFormat/>
    <w:rsid w:val="004A3A53"/>
    <w:rPr>
      <w:i/>
      <w:iCs/>
      <w:color w:val="404040" w:themeColor="text1" w:themeTint="BF"/>
    </w:rPr>
  </w:style>
  <w:style w:type="character" w:styleId="IntenseEmphasis">
    <w:name w:val="Intense Emphasis"/>
    <w:basedOn w:val="DefaultParagraphFont"/>
    <w:uiPriority w:val="21"/>
    <w:qFormat/>
    <w:rsid w:val="004A3A53"/>
    <w:rPr>
      <w:b/>
      <w:bCs/>
      <w:i/>
      <w:iCs/>
    </w:rPr>
  </w:style>
  <w:style w:type="character" w:styleId="SubtleReference">
    <w:name w:val="Subtle Reference"/>
    <w:basedOn w:val="DefaultParagraphFont"/>
    <w:uiPriority w:val="31"/>
    <w:qFormat/>
    <w:rsid w:val="004A3A5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A3A53"/>
    <w:rPr>
      <w:b/>
      <w:bCs/>
      <w:smallCaps/>
      <w:spacing w:val="5"/>
      <w:u w:val="single"/>
    </w:rPr>
  </w:style>
  <w:style w:type="character" w:styleId="CommentReference">
    <w:name w:val="annotation reference"/>
    <w:basedOn w:val="DefaultParagraphFont"/>
    <w:uiPriority w:val="99"/>
    <w:semiHidden/>
    <w:unhideWhenUsed/>
    <w:rsid w:val="00BE5FD3"/>
    <w:rPr>
      <w:sz w:val="16"/>
      <w:szCs w:val="16"/>
    </w:rPr>
  </w:style>
  <w:style w:type="paragraph" w:styleId="CommentSubject">
    <w:name w:val="annotation subject"/>
    <w:basedOn w:val="CommentText"/>
    <w:next w:val="CommentText"/>
    <w:link w:val="CommentSubjectChar"/>
    <w:uiPriority w:val="99"/>
    <w:semiHidden/>
    <w:unhideWhenUsed/>
    <w:rsid w:val="00BE5FD3"/>
    <w:rPr>
      <w:b/>
      <w:bCs/>
    </w:rPr>
  </w:style>
  <w:style w:type="character" w:customStyle="1" w:styleId="CommentSubjectChar">
    <w:name w:val="Comment Subject Char"/>
    <w:basedOn w:val="CommentTextChar"/>
    <w:link w:val="CommentSubject"/>
    <w:uiPriority w:val="99"/>
    <w:semiHidden/>
    <w:rsid w:val="00BE5FD3"/>
    <w:rPr>
      <w:b/>
      <w:bCs/>
      <w:sz w:val="20"/>
      <w:szCs w:val="20"/>
    </w:rPr>
  </w:style>
  <w:style w:type="paragraph" w:styleId="HTMLPreformatted">
    <w:name w:val="HTML Preformatted"/>
    <w:basedOn w:val="Normal"/>
    <w:link w:val="HTMLPreformattedChar"/>
    <w:uiPriority w:val="99"/>
    <w:semiHidden/>
    <w:unhideWhenUsed/>
    <w:rsid w:val="001F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1F1637"/>
    <w:rPr>
      <w:rFonts w:ascii="Courier New" w:eastAsia="Times New Roman" w:hAnsi="Courier New" w:cs="Courier New"/>
    </w:rPr>
  </w:style>
  <w:style w:type="paragraph" w:customStyle="1" w:styleId="Style1">
    <w:name w:val="Style1"/>
    <w:basedOn w:val="HTMLPreformatted"/>
    <w:link w:val="Style1Char"/>
    <w:autoRedefine/>
    <w:qFormat/>
    <w:rsid w:val="000568A8"/>
    <w:pPr>
      <w:pBdr>
        <w:top w:val="single" w:sz="4" w:space="1" w:color="264356" w:themeColor="text2" w:themeShade="BF"/>
        <w:left w:val="single" w:sz="4" w:space="4" w:color="264356" w:themeColor="text2" w:themeShade="BF"/>
        <w:bottom w:val="single" w:sz="4" w:space="1" w:color="264356" w:themeColor="text2" w:themeShade="BF"/>
        <w:right w:val="single" w:sz="4" w:space="4" w:color="264356" w:themeColor="text2" w:themeShade="BF"/>
      </w:pBdr>
      <w:ind w:left="916"/>
    </w:pPr>
    <w:rPr>
      <w:color w:val="1C6194" w:themeColor="accent2" w:themeShade="BF"/>
      <w:sz w:val="16"/>
    </w:rPr>
  </w:style>
  <w:style w:type="character" w:customStyle="1" w:styleId="Style1Char">
    <w:name w:val="Style1 Char"/>
    <w:basedOn w:val="HTMLPreformattedChar"/>
    <w:link w:val="Style1"/>
    <w:rsid w:val="000568A8"/>
    <w:rPr>
      <w:rFonts w:ascii="Courier New" w:eastAsia="Times New Roman" w:hAnsi="Courier New" w:cs="Courier New"/>
      <w:color w:val="1C6194" w:themeColor="accent2" w:themeShade="BF"/>
      <w:sz w:val="16"/>
    </w:rPr>
  </w:style>
  <w:style w:type="character" w:styleId="UnresolvedMention">
    <w:name w:val="Unresolved Mention"/>
    <w:basedOn w:val="DefaultParagraphFont"/>
    <w:uiPriority w:val="99"/>
    <w:semiHidden/>
    <w:unhideWhenUsed/>
    <w:rsid w:val="00AD2247"/>
    <w:rPr>
      <w:color w:val="808080"/>
      <w:shd w:val="clear" w:color="auto" w:fill="E6E6E6"/>
    </w:rPr>
  </w:style>
  <w:style w:type="paragraph" w:styleId="Bibliography">
    <w:name w:val="Bibliography"/>
    <w:basedOn w:val="Normal"/>
    <w:next w:val="Normal"/>
    <w:uiPriority w:val="37"/>
    <w:unhideWhenUsed/>
    <w:rsid w:val="009A4345"/>
    <w:pPr>
      <w:tabs>
        <w:tab w:val="left" w:pos="380"/>
      </w:tabs>
      <w:spacing w:after="0" w:line="240" w:lineRule="auto"/>
      <w:ind w:left="384" w:hanging="384"/>
    </w:pPr>
  </w:style>
  <w:style w:type="character" w:styleId="FollowedHyperlink">
    <w:name w:val="FollowedHyperlink"/>
    <w:basedOn w:val="DefaultParagraphFont"/>
    <w:uiPriority w:val="99"/>
    <w:semiHidden/>
    <w:unhideWhenUsed/>
    <w:rsid w:val="00E9582D"/>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9203">
      <w:bodyDiv w:val="1"/>
      <w:marLeft w:val="0"/>
      <w:marRight w:val="0"/>
      <w:marTop w:val="0"/>
      <w:marBottom w:val="0"/>
      <w:divBdr>
        <w:top w:val="none" w:sz="0" w:space="0" w:color="auto"/>
        <w:left w:val="none" w:sz="0" w:space="0" w:color="auto"/>
        <w:bottom w:val="none" w:sz="0" w:space="0" w:color="auto"/>
        <w:right w:val="none" w:sz="0" w:space="0" w:color="auto"/>
      </w:divBdr>
    </w:div>
    <w:div w:id="33120688">
      <w:bodyDiv w:val="1"/>
      <w:marLeft w:val="0"/>
      <w:marRight w:val="0"/>
      <w:marTop w:val="0"/>
      <w:marBottom w:val="0"/>
      <w:divBdr>
        <w:top w:val="none" w:sz="0" w:space="0" w:color="auto"/>
        <w:left w:val="none" w:sz="0" w:space="0" w:color="auto"/>
        <w:bottom w:val="none" w:sz="0" w:space="0" w:color="auto"/>
        <w:right w:val="none" w:sz="0" w:space="0" w:color="auto"/>
      </w:divBdr>
    </w:div>
    <w:div w:id="72431892">
      <w:bodyDiv w:val="1"/>
      <w:marLeft w:val="0"/>
      <w:marRight w:val="0"/>
      <w:marTop w:val="0"/>
      <w:marBottom w:val="0"/>
      <w:divBdr>
        <w:top w:val="none" w:sz="0" w:space="0" w:color="auto"/>
        <w:left w:val="none" w:sz="0" w:space="0" w:color="auto"/>
        <w:bottom w:val="none" w:sz="0" w:space="0" w:color="auto"/>
        <w:right w:val="none" w:sz="0" w:space="0" w:color="auto"/>
      </w:divBdr>
    </w:div>
    <w:div w:id="72973100">
      <w:bodyDiv w:val="1"/>
      <w:marLeft w:val="0"/>
      <w:marRight w:val="0"/>
      <w:marTop w:val="0"/>
      <w:marBottom w:val="0"/>
      <w:divBdr>
        <w:top w:val="none" w:sz="0" w:space="0" w:color="auto"/>
        <w:left w:val="none" w:sz="0" w:space="0" w:color="auto"/>
        <w:bottom w:val="none" w:sz="0" w:space="0" w:color="auto"/>
        <w:right w:val="none" w:sz="0" w:space="0" w:color="auto"/>
      </w:divBdr>
    </w:div>
    <w:div w:id="81491362">
      <w:bodyDiv w:val="1"/>
      <w:marLeft w:val="0"/>
      <w:marRight w:val="0"/>
      <w:marTop w:val="0"/>
      <w:marBottom w:val="0"/>
      <w:divBdr>
        <w:top w:val="none" w:sz="0" w:space="0" w:color="auto"/>
        <w:left w:val="none" w:sz="0" w:space="0" w:color="auto"/>
        <w:bottom w:val="none" w:sz="0" w:space="0" w:color="auto"/>
        <w:right w:val="none" w:sz="0" w:space="0" w:color="auto"/>
      </w:divBdr>
    </w:div>
    <w:div w:id="107748626">
      <w:bodyDiv w:val="1"/>
      <w:marLeft w:val="0"/>
      <w:marRight w:val="0"/>
      <w:marTop w:val="0"/>
      <w:marBottom w:val="0"/>
      <w:divBdr>
        <w:top w:val="none" w:sz="0" w:space="0" w:color="auto"/>
        <w:left w:val="none" w:sz="0" w:space="0" w:color="auto"/>
        <w:bottom w:val="none" w:sz="0" w:space="0" w:color="auto"/>
        <w:right w:val="none" w:sz="0" w:space="0" w:color="auto"/>
      </w:divBdr>
    </w:div>
    <w:div w:id="108010350">
      <w:bodyDiv w:val="1"/>
      <w:marLeft w:val="0"/>
      <w:marRight w:val="0"/>
      <w:marTop w:val="0"/>
      <w:marBottom w:val="0"/>
      <w:divBdr>
        <w:top w:val="none" w:sz="0" w:space="0" w:color="auto"/>
        <w:left w:val="none" w:sz="0" w:space="0" w:color="auto"/>
        <w:bottom w:val="none" w:sz="0" w:space="0" w:color="auto"/>
        <w:right w:val="none" w:sz="0" w:space="0" w:color="auto"/>
      </w:divBdr>
    </w:div>
    <w:div w:id="295185467">
      <w:bodyDiv w:val="1"/>
      <w:marLeft w:val="0"/>
      <w:marRight w:val="0"/>
      <w:marTop w:val="0"/>
      <w:marBottom w:val="0"/>
      <w:divBdr>
        <w:top w:val="none" w:sz="0" w:space="0" w:color="auto"/>
        <w:left w:val="none" w:sz="0" w:space="0" w:color="auto"/>
        <w:bottom w:val="none" w:sz="0" w:space="0" w:color="auto"/>
        <w:right w:val="none" w:sz="0" w:space="0" w:color="auto"/>
      </w:divBdr>
    </w:div>
    <w:div w:id="322785784">
      <w:bodyDiv w:val="1"/>
      <w:marLeft w:val="0"/>
      <w:marRight w:val="0"/>
      <w:marTop w:val="0"/>
      <w:marBottom w:val="0"/>
      <w:divBdr>
        <w:top w:val="none" w:sz="0" w:space="0" w:color="auto"/>
        <w:left w:val="none" w:sz="0" w:space="0" w:color="auto"/>
        <w:bottom w:val="none" w:sz="0" w:space="0" w:color="auto"/>
        <w:right w:val="none" w:sz="0" w:space="0" w:color="auto"/>
      </w:divBdr>
    </w:div>
    <w:div w:id="364135203">
      <w:bodyDiv w:val="1"/>
      <w:marLeft w:val="0"/>
      <w:marRight w:val="0"/>
      <w:marTop w:val="0"/>
      <w:marBottom w:val="0"/>
      <w:divBdr>
        <w:top w:val="none" w:sz="0" w:space="0" w:color="auto"/>
        <w:left w:val="none" w:sz="0" w:space="0" w:color="auto"/>
        <w:bottom w:val="none" w:sz="0" w:space="0" w:color="auto"/>
        <w:right w:val="none" w:sz="0" w:space="0" w:color="auto"/>
      </w:divBdr>
    </w:div>
    <w:div w:id="367991666">
      <w:bodyDiv w:val="1"/>
      <w:marLeft w:val="0"/>
      <w:marRight w:val="0"/>
      <w:marTop w:val="0"/>
      <w:marBottom w:val="0"/>
      <w:divBdr>
        <w:top w:val="none" w:sz="0" w:space="0" w:color="auto"/>
        <w:left w:val="none" w:sz="0" w:space="0" w:color="auto"/>
        <w:bottom w:val="none" w:sz="0" w:space="0" w:color="auto"/>
        <w:right w:val="none" w:sz="0" w:space="0" w:color="auto"/>
      </w:divBdr>
    </w:div>
    <w:div w:id="382363851">
      <w:bodyDiv w:val="1"/>
      <w:marLeft w:val="0"/>
      <w:marRight w:val="0"/>
      <w:marTop w:val="0"/>
      <w:marBottom w:val="0"/>
      <w:divBdr>
        <w:top w:val="none" w:sz="0" w:space="0" w:color="auto"/>
        <w:left w:val="none" w:sz="0" w:space="0" w:color="auto"/>
        <w:bottom w:val="none" w:sz="0" w:space="0" w:color="auto"/>
        <w:right w:val="none" w:sz="0" w:space="0" w:color="auto"/>
      </w:divBdr>
    </w:div>
    <w:div w:id="419639979">
      <w:bodyDiv w:val="1"/>
      <w:marLeft w:val="0"/>
      <w:marRight w:val="0"/>
      <w:marTop w:val="0"/>
      <w:marBottom w:val="0"/>
      <w:divBdr>
        <w:top w:val="none" w:sz="0" w:space="0" w:color="auto"/>
        <w:left w:val="none" w:sz="0" w:space="0" w:color="auto"/>
        <w:bottom w:val="none" w:sz="0" w:space="0" w:color="auto"/>
        <w:right w:val="none" w:sz="0" w:space="0" w:color="auto"/>
      </w:divBdr>
    </w:div>
    <w:div w:id="559639172">
      <w:bodyDiv w:val="1"/>
      <w:marLeft w:val="0"/>
      <w:marRight w:val="0"/>
      <w:marTop w:val="0"/>
      <w:marBottom w:val="0"/>
      <w:divBdr>
        <w:top w:val="none" w:sz="0" w:space="0" w:color="auto"/>
        <w:left w:val="none" w:sz="0" w:space="0" w:color="auto"/>
        <w:bottom w:val="none" w:sz="0" w:space="0" w:color="auto"/>
        <w:right w:val="none" w:sz="0" w:space="0" w:color="auto"/>
      </w:divBdr>
    </w:div>
    <w:div w:id="583346010">
      <w:bodyDiv w:val="1"/>
      <w:marLeft w:val="0"/>
      <w:marRight w:val="0"/>
      <w:marTop w:val="0"/>
      <w:marBottom w:val="0"/>
      <w:divBdr>
        <w:top w:val="none" w:sz="0" w:space="0" w:color="auto"/>
        <w:left w:val="none" w:sz="0" w:space="0" w:color="auto"/>
        <w:bottom w:val="none" w:sz="0" w:space="0" w:color="auto"/>
        <w:right w:val="none" w:sz="0" w:space="0" w:color="auto"/>
      </w:divBdr>
    </w:div>
    <w:div w:id="586042348">
      <w:bodyDiv w:val="1"/>
      <w:marLeft w:val="0"/>
      <w:marRight w:val="0"/>
      <w:marTop w:val="0"/>
      <w:marBottom w:val="0"/>
      <w:divBdr>
        <w:top w:val="none" w:sz="0" w:space="0" w:color="auto"/>
        <w:left w:val="none" w:sz="0" w:space="0" w:color="auto"/>
        <w:bottom w:val="none" w:sz="0" w:space="0" w:color="auto"/>
        <w:right w:val="none" w:sz="0" w:space="0" w:color="auto"/>
      </w:divBdr>
    </w:div>
    <w:div w:id="600257384">
      <w:bodyDiv w:val="1"/>
      <w:marLeft w:val="0"/>
      <w:marRight w:val="0"/>
      <w:marTop w:val="0"/>
      <w:marBottom w:val="0"/>
      <w:divBdr>
        <w:top w:val="none" w:sz="0" w:space="0" w:color="auto"/>
        <w:left w:val="none" w:sz="0" w:space="0" w:color="auto"/>
        <w:bottom w:val="none" w:sz="0" w:space="0" w:color="auto"/>
        <w:right w:val="none" w:sz="0" w:space="0" w:color="auto"/>
      </w:divBdr>
    </w:div>
    <w:div w:id="614681963">
      <w:bodyDiv w:val="1"/>
      <w:marLeft w:val="0"/>
      <w:marRight w:val="0"/>
      <w:marTop w:val="0"/>
      <w:marBottom w:val="0"/>
      <w:divBdr>
        <w:top w:val="none" w:sz="0" w:space="0" w:color="auto"/>
        <w:left w:val="none" w:sz="0" w:space="0" w:color="auto"/>
        <w:bottom w:val="none" w:sz="0" w:space="0" w:color="auto"/>
        <w:right w:val="none" w:sz="0" w:space="0" w:color="auto"/>
      </w:divBdr>
    </w:div>
    <w:div w:id="617221829">
      <w:bodyDiv w:val="1"/>
      <w:marLeft w:val="0"/>
      <w:marRight w:val="0"/>
      <w:marTop w:val="0"/>
      <w:marBottom w:val="0"/>
      <w:divBdr>
        <w:top w:val="none" w:sz="0" w:space="0" w:color="auto"/>
        <w:left w:val="none" w:sz="0" w:space="0" w:color="auto"/>
        <w:bottom w:val="none" w:sz="0" w:space="0" w:color="auto"/>
        <w:right w:val="none" w:sz="0" w:space="0" w:color="auto"/>
      </w:divBdr>
    </w:div>
    <w:div w:id="622536096">
      <w:bodyDiv w:val="1"/>
      <w:marLeft w:val="0"/>
      <w:marRight w:val="0"/>
      <w:marTop w:val="0"/>
      <w:marBottom w:val="0"/>
      <w:divBdr>
        <w:top w:val="none" w:sz="0" w:space="0" w:color="auto"/>
        <w:left w:val="none" w:sz="0" w:space="0" w:color="auto"/>
        <w:bottom w:val="none" w:sz="0" w:space="0" w:color="auto"/>
        <w:right w:val="none" w:sz="0" w:space="0" w:color="auto"/>
      </w:divBdr>
    </w:div>
    <w:div w:id="641429458">
      <w:bodyDiv w:val="1"/>
      <w:marLeft w:val="0"/>
      <w:marRight w:val="0"/>
      <w:marTop w:val="0"/>
      <w:marBottom w:val="0"/>
      <w:divBdr>
        <w:top w:val="none" w:sz="0" w:space="0" w:color="auto"/>
        <w:left w:val="none" w:sz="0" w:space="0" w:color="auto"/>
        <w:bottom w:val="none" w:sz="0" w:space="0" w:color="auto"/>
        <w:right w:val="none" w:sz="0" w:space="0" w:color="auto"/>
      </w:divBdr>
    </w:div>
    <w:div w:id="831796017">
      <w:bodyDiv w:val="1"/>
      <w:marLeft w:val="0"/>
      <w:marRight w:val="0"/>
      <w:marTop w:val="0"/>
      <w:marBottom w:val="0"/>
      <w:divBdr>
        <w:top w:val="none" w:sz="0" w:space="0" w:color="auto"/>
        <w:left w:val="none" w:sz="0" w:space="0" w:color="auto"/>
        <w:bottom w:val="none" w:sz="0" w:space="0" w:color="auto"/>
        <w:right w:val="none" w:sz="0" w:space="0" w:color="auto"/>
      </w:divBdr>
    </w:div>
    <w:div w:id="834565027">
      <w:bodyDiv w:val="1"/>
      <w:marLeft w:val="0"/>
      <w:marRight w:val="0"/>
      <w:marTop w:val="0"/>
      <w:marBottom w:val="0"/>
      <w:divBdr>
        <w:top w:val="none" w:sz="0" w:space="0" w:color="auto"/>
        <w:left w:val="none" w:sz="0" w:space="0" w:color="auto"/>
        <w:bottom w:val="none" w:sz="0" w:space="0" w:color="auto"/>
        <w:right w:val="none" w:sz="0" w:space="0" w:color="auto"/>
      </w:divBdr>
    </w:div>
    <w:div w:id="841776082">
      <w:bodyDiv w:val="1"/>
      <w:marLeft w:val="0"/>
      <w:marRight w:val="0"/>
      <w:marTop w:val="0"/>
      <w:marBottom w:val="0"/>
      <w:divBdr>
        <w:top w:val="none" w:sz="0" w:space="0" w:color="auto"/>
        <w:left w:val="none" w:sz="0" w:space="0" w:color="auto"/>
        <w:bottom w:val="none" w:sz="0" w:space="0" w:color="auto"/>
        <w:right w:val="none" w:sz="0" w:space="0" w:color="auto"/>
      </w:divBdr>
    </w:div>
    <w:div w:id="925917613">
      <w:bodyDiv w:val="1"/>
      <w:marLeft w:val="0"/>
      <w:marRight w:val="0"/>
      <w:marTop w:val="0"/>
      <w:marBottom w:val="0"/>
      <w:divBdr>
        <w:top w:val="none" w:sz="0" w:space="0" w:color="auto"/>
        <w:left w:val="none" w:sz="0" w:space="0" w:color="auto"/>
        <w:bottom w:val="none" w:sz="0" w:space="0" w:color="auto"/>
        <w:right w:val="none" w:sz="0" w:space="0" w:color="auto"/>
      </w:divBdr>
    </w:div>
    <w:div w:id="937834564">
      <w:bodyDiv w:val="1"/>
      <w:marLeft w:val="0"/>
      <w:marRight w:val="0"/>
      <w:marTop w:val="0"/>
      <w:marBottom w:val="0"/>
      <w:divBdr>
        <w:top w:val="none" w:sz="0" w:space="0" w:color="auto"/>
        <w:left w:val="none" w:sz="0" w:space="0" w:color="auto"/>
        <w:bottom w:val="none" w:sz="0" w:space="0" w:color="auto"/>
        <w:right w:val="none" w:sz="0" w:space="0" w:color="auto"/>
      </w:divBdr>
    </w:div>
    <w:div w:id="992220782">
      <w:bodyDiv w:val="1"/>
      <w:marLeft w:val="0"/>
      <w:marRight w:val="0"/>
      <w:marTop w:val="0"/>
      <w:marBottom w:val="0"/>
      <w:divBdr>
        <w:top w:val="none" w:sz="0" w:space="0" w:color="auto"/>
        <w:left w:val="none" w:sz="0" w:space="0" w:color="auto"/>
        <w:bottom w:val="none" w:sz="0" w:space="0" w:color="auto"/>
        <w:right w:val="none" w:sz="0" w:space="0" w:color="auto"/>
      </w:divBdr>
    </w:div>
    <w:div w:id="1048728295">
      <w:bodyDiv w:val="1"/>
      <w:marLeft w:val="0"/>
      <w:marRight w:val="0"/>
      <w:marTop w:val="0"/>
      <w:marBottom w:val="0"/>
      <w:divBdr>
        <w:top w:val="none" w:sz="0" w:space="0" w:color="auto"/>
        <w:left w:val="none" w:sz="0" w:space="0" w:color="auto"/>
        <w:bottom w:val="none" w:sz="0" w:space="0" w:color="auto"/>
        <w:right w:val="none" w:sz="0" w:space="0" w:color="auto"/>
      </w:divBdr>
    </w:div>
    <w:div w:id="1050956466">
      <w:bodyDiv w:val="1"/>
      <w:marLeft w:val="0"/>
      <w:marRight w:val="0"/>
      <w:marTop w:val="0"/>
      <w:marBottom w:val="0"/>
      <w:divBdr>
        <w:top w:val="none" w:sz="0" w:space="0" w:color="auto"/>
        <w:left w:val="none" w:sz="0" w:space="0" w:color="auto"/>
        <w:bottom w:val="none" w:sz="0" w:space="0" w:color="auto"/>
        <w:right w:val="none" w:sz="0" w:space="0" w:color="auto"/>
      </w:divBdr>
      <w:divsChild>
        <w:div w:id="74711411">
          <w:marLeft w:val="1066"/>
          <w:marRight w:val="0"/>
          <w:marTop w:val="0"/>
          <w:marBottom w:val="120"/>
          <w:divBdr>
            <w:top w:val="none" w:sz="0" w:space="0" w:color="auto"/>
            <w:left w:val="none" w:sz="0" w:space="0" w:color="auto"/>
            <w:bottom w:val="none" w:sz="0" w:space="0" w:color="auto"/>
            <w:right w:val="none" w:sz="0" w:space="0" w:color="auto"/>
          </w:divBdr>
        </w:div>
        <w:div w:id="1029918576">
          <w:marLeft w:val="446"/>
          <w:marRight w:val="0"/>
          <w:marTop w:val="0"/>
          <w:marBottom w:val="120"/>
          <w:divBdr>
            <w:top w:val="none" w:sz="0" w:space="0" w:color="auto"/>
            <w:left w:val="none" w:sz="0" w:space="0" w:color="auto"/>
            <w:bottom w:val="none" w:sz="0" w:space="0" w:color="auto"/>
            <w:right w:val="none" w:sz="0" w:space="0" w:color="auto"/>
          </w:divBdr>
        </w:div>
        <w:div w:id="1831368622">
          <w:marLeft w:val="446"/>
          <w:marRight w:val="0"/>
          <w:marTop w:val="0"/>
          <w:marBottom w:val="120"/>
          <w:divBdr>
            <w:top w:val="none" w:sz="0" w:space="0" w:color="auto"/>
            <w:left w:val="none" w:sz="0" w:space="0" w:color="auto"/>
            <w:bottom w:val="none" w:sz="0" w:space="0" w:color="auto"/>
            <w:right w:val="none" w:sz="0" w:space="0" w:color="auto"/>
          </w:divBdr>
        </w:div>
        <w:div w:id="1944802071">
          <w:marLeft w:val="1066"/>
          <w:marRight w:val="0"/>
          <w:marTop w:val="0"/>
          <w:marBottom w:val="120"/>
          <w:divBdr>
            <w:top w:val="none" w:sz="0" w:space="0" w:color="auto"/>
            <w:left w:val="none" w:sz="0" w:space="0" w:color="auto"/>
            <w:bottom w:val="none" w:sz="0" w:space="0" w:color="auto"/>
            <w:right w:val="none" w:sz="0" w:space="0" w:color="auto"/>
          </w:divBdr>
        </w:div>
      </w:divsChild>
    </w:div>
    <w:div w:id="1080712958">
      <w:bodyDiv w:val="1"/>
      <w:marLeft w:val="0"/>
      <w:marRight w:val="0"/>
      <w:marTop w:val="0"/>
      <w:marBottom w:val="0"/>
      <w:divBdr>
        <w:top w:val="none" w:sz="0" w:space="0" w:color="auto"/>
        <w:left w:val="none" w:sz="0" w:space="0" w:color="auto"/>
        <w:bottom w:val="none" w:sz="0" w:space="0" w:color="auto"/>
        <w:right w:val="none" w:sz="0" w:space="0" w:color="auto"/>
      </w:divBdr>
    </w:div>
    <w:div w:id="1115250032">
      <w:bodyDiv w:val="1"/>
      <w:marLeft w:val="0"/>
      <w:marRight w:val="0"/>
      <w:marTop w:val="0"/>
      <w:marBottom w:val="0"/>
      <w:divBdr>
        <w:top w:val="none" w:sz="0" w:space="0" w:color="auto"/>
        <w:left w:val="none" w:sz="0" w:space="0" w:color="auto"/>
        <w:bottom w:val="none" w:sz="0" w:space="0" w:color="auto"/>
        <w:right w:val="none" w:sz="0" w:space="0" w:color="auto"/>
      </w:divBdr>
    </w:div>
    <w:div w:id="1246036171">
      <w:bodyDiv w:val="1"/>
      <w:marLeft w:val="0"/>
      <w:marRight w:val="0"/>
      <w:marTop w:val="0"/>
      <w:marBottom w:val="0"/>
      <w:divBdr>
        <w:top w:val="none" w:sz="0" w:space="0" w:color="auto"/>
        <w:left w:val="none" w:sz="0" w:space="0" w:color="auto"/>
        <w:bottom w:val="none" w:sz="0" w:space="0" w:color="auto"/>
        <w:right w:val="none" w:sz="0" w:space="0" w:color="auto"/>
      </w:divBdr>
    </w:div>
    <w:div w:id="1331182478">
      <w:bodyDiv w:val="1"/>
      <w:marLeft w:val="0"/>
      <w:marRight w:val="0"/>
      <w:marTop w:val="0"/>
      <w:marBottom w:val="0"/>
      <w:divBdr>
        <w:top w:val="none" w:sz="0" w:space="0" w:color="auto"/>
        <w:left w:val="none" w:sz="0" w:space="0" w:color="auto"/>
        <w:bottom w:val="none" w:sz="0" w:space="0" w:color="auto"/>
        <w:right w:val="none" w:sz="0" w:space="0" w:color="auto"/>
      </w:divBdr>
    </w:div>
    <w:div w:id="1372799048">
      <w:bodyDiv w:val="1"/>
      <w:marLeft w:val="0"/>
      <w:marRight w:val="0"/>
      <w:marTop w:val="0"/>
      <w:marBottom w:val="0"/>
      <w:divBdr>
        <w:top w:val="none" w:sz="0" w:space="0" w:color="auto"/>
        <w:left w:val="none" w:sz="0" w:space="0" w:color="auto"/>
        <w:bottom w:val="none" w:sz="0" w:space="0" w:color="auto"/>
        <w:right w:val="none" w:sz="0" w:space="0" w:color="auto"/>
      </w:divBdr>
    </w:div>
    <w:div w:id="1416895526">
      <w:bodyDiv w:val="1"/>
      <w:marLeft w:val="0"/>
      <w:marRight w:val="0"/>
      <w:marTop w:val="0"/>
      <w:marBottom w:val="0"/>
      <w:divBdr>
        <w:top w:val="none" w:sz="0" w:space="0" w:color="auto"/>
        <w:left w:val="none" w:sz="0" w:space="0" w:color="auto"/>
        <w:bottom w:val="none" w:sz="0" w:space="0" w:color="auto"/>
        <w:right w:val="none" w:sz="0" w:space="0" w:color="auto"/>
      </w:divBdr>
    </w:div>
    <w:div w:id="1429471839">
      <w:bodyDiv w:val="1"/>
      <w:marLeft w:val="0"/>
      <w:marRight w:val="0"/>
      <w:marTop w:val="0"/>
      <w:marBottom w:val="0"/>
      <w:divBdr>
        <w:top w:val="none" w:sz="0" w:space="0" w:color="auto"/>
        <w:left w:val="none" w:sz="0" w:space="0" w:color="auto"/>
        <w:bottom w:val="none" w:sz="0" w:space="0" w:color="auto"/>
        <w:right w:val="none" w:sz="0" w:space="0" w:color="auto"/>
      </w:divBdr>
    </w:div>
    <w:div w:id="1433936421">
      <w:bodyDiv w:val="1"/>
      <w:marLeft w:val="0"/>
      <w:marRight w:val="0"/>
      <w:marTop w:val="0"/>
      <w:marBottom w:val="0"/>
      <w:divBdr>
        <w:top w:val="none" w:sz="0" w:space="0" w:color="auto"/>
        <w:left w:val="none" w:sz="0" w:space="0" w:color="auto"/>
        <w:bottom w:val="none" w:sz="0" w:space="0" w:color="auto"/>
        <w:right w:val="none" w:sz="0" w:space="0" w:color="auto"/>
      </w:divBdr>
    </w:div>
    <w:div w:id="1453089712">
      <w:bodyDiv w:val="1"/>
      <w:marLeft w:val="0"/>
      <w:marRight w:val="0"/>
      <w:marTop w:val="0"/>
      <w:marBottom w:val="0"/>
      <w:divBdr>
        <w:top w:val="none" w:sz="0" w:space="0" w:color="auto"/>
        <w:left w:val="none" w:sz="0" w:space="0" w:color="auto"/>
        <w:bottom w:val="none" w:sz="0" w:space="0" w:color="auto"/>
        <w:right w:val="none" w:sz="0" w:space="0" w:color="auto"/>
      </w:divBdr>
    </w:div>
    <w:div w:id="1492064378">
      <w:bodyDiv w:val="1"/>
      <w:marLeft w:val="0"/>
      <w:marRight w:val="0"/>
      <w:marTop w:val="0"/>
      <w:marBottom w:val="0"/>
      <w:divBdr>
        <w:top w:val="none" w:sz="0" w:space="0" w:color="auto"/>
        <w:left w:val="none" w:sz="0" w:space="0" w:color="auto"/>
        <w:bottom w:val="none" w:sz="0" w:space="0" w:color="auto"/>
        <w:right w:val="none" w:sz="0" w:space="0" w:color="auto"/>
      </w:divBdr>
    </w:div>
    <w:div w:id="1509708735">
      <w:bodyDiv w:val="1"/>
      <w:marLeft w:val="0"/>
      <w:marRight w:val="0"/>
      <w:marTop w:val="0"/>
      <w:marBottom w:val="0"/>
      <w:divBdr>
        <w:top w:val="none" w:sz="0" w:space="0" w:color="auto"/>
        <w:left w:val="none" w:sz="0" w:space="0" w:color="auto"/>
        <w:bottom w:val="none" w:sz="0" w:space="0" w:color="auto"/>
        <w:right w:val="none" w:sz="0" w:space="0" w:color="auto"/>
      </w:divBdr>
    </w:div>
    <w:div w:id="1530490017">
      <w:bodyDiv w:val="1"/>
      <w:marLeft w:val="0"/>
      <w:marRight w:val="0"/>
      <w:marTop w:val="0"/>
      <w:marBottom w:val="0"/>
      <w:divBdr>
        <w:top w:val="none" w:sz="0" w:space="0" w:color="auto"/>
        <w:left w:val="none" w:sz="0" w:space="0" w:color="auto"/>
        <w:bottom w:val="none" w:sz="0" w:space="0" w:color="auto"/>
        <w:right w:val="none" w:sz="0" w:space="0" w:color="auto"/>
      </w:divBdr>
    </w:div>
    <w:div w:id="1536499426">
      <w:bodyDiv w:val="1"/>
      <w:marLeft w:val="0"/>
      <w:marRight w:val="0"/>
      <w:marTop w:val="0"/>
      <w:marBottom w:val="0"/>
      <w:divBdr>
        <w:top w:val="none" w:sz="0" w:space="0" w:color="auto"/>
        <w:left w:val="none" w:sz="0" w:space="0" w:color="auto"/>
        <w:bottom w:val="none" w:sz="0" w:space="0" w:color="auto"/>
        <w:right w:val="none" w:sz="0" w:space="0" w:color="auto"/>
      </w:divBdr>
    </w:div>
    <w:div w:id="1583876346">
      <w:bodyDiv w:val="1"/>
      <w:marLeft w:val="0"/>
      <w:marRight w:val="0"/>
      <w:marTop w:val="0"/>
      <w:marBottom w:val="0"/>
      <w:divBdr>
        <w:top w:val="none" w:sz="0" w:space="0" w:color="auto"/>
        <w:left w:val="none" w:sz="0" w:space="0" w:color="auto"/>
        <w:bottom w:val="none" w:sz="0" w:space="0" w:color="auto"/>
        <w:right w:val="none" w:sz="0" w:space="0" w:color="auto"/>
      </w:divBdr>
    </w:div>
    <w:div w:id="1604917523">
      <w:bodyDiv w:val="1"/>
      <w:marLeft w:val="0"/>
      <w:marRight w:val="0"/>
      <w:marTop w:val="0"/>
      <w:marBottom w:val="0"/>
      <w:divBdr>
        <w:top w:val="none" w:sz="0" w:space="0" w:color="auto"/>
        <w:left w:val="none" w:sz="0" w:space="0" w:color="auto"/>
        <w:bottom w:val="none" w:sz="0" w:space="0" w:color="auto"/>
        <w:right w:val="none" w:sz="0" w:space="0" w:color="auto"/>
      </w:divBdr>
    </w:div>
    <w:div w:id="1704936619">
      <w:bodyDiv w:val="1"/>
      <w:marLeft w:val="0"/>
      <w:marRight w:val="0"/>
      <w:marTop w:val="0"/>
      <w:marBottom w:val="0"/>
      <w:divBdr>
        <w:top w:val="none" w:sz="0" w:space="0" w:color="auto"/>
        <w:left w:val="none" w:sz="0" w:space="0" w:color="auto"/>
        <w:bottom w:val="none" w:sz="0" w:space="0" w:color="auto"/>
        <w:right w:val="none" w:sz="0" w:space="0" w:color="auto"/>
      </w:divBdr>
    </w:div>
    <w:div w:id="1727335454">
      <w:bodyDiv w:val="1"/>
      <w:marLeft w:val="0"/>
      <w:marRight w:val="0"/>
      <w:marTop w:val="0"/>
      <w:marBottom w:val="0"/>
      <w:divBdr>
        <w:top w:val="none" w:sz="0" w:space="0" w:color="auto"/>
        <w:left w:val="none" w:sz="0" w:space="0" w:color="auto"/>
        <w:bottom w:val="none" w:sz="0" w:space="0" w:color="auto"/>
        <w:right w:val="none" w:sz="0" w:space="0" w:color="auto"/>
      </w:divBdr>
      <w:divsChild>
        <w:div w:id="307441309">
          <w:marLeft w:val="1066"/>
          <w:marRight w:val="0"/>
          <w:marTop w:val="0"/>
          <w:marBottom w:val="120"/>
          <w:divBdr>
            <w:top w:val="none" w:sz="0" w:space="0" w:color="auto"/>
            <w:left w:val="none" w:sz="0" w:space="0" w:color="auto"/>
            <w:bottom w:val="none" w:sz="0" w:space="0" w:color="auto"/>
            <w:right w:val="none" w:sz="0" w:space="0" w:color="auto"/>
          </w:divBdr>
        </w:div>
        <w:div w:id="399332213">
          <w:marLeft w:val="1066"/>
          <w:marRight w:val="0"/>
          <w:marTop w:val="0"/>
          <w:marBottom w:val="120"/>
          <w:divBdr>
            <w:top w:val="none" w:sz="0" w:space="0" w:color="auto"/>
            <w:left w:val="none" w:sz="0" w:space="0" w:color="auto"/>
            <w:bottom w:val="none" w:sz="0" w:space="0" w:color="auto"/>
            <w:right w:val="none" w:sz="0" w:space="0" w:color="auto"/>
          </w:divBdr>
        </w:div>
        <w:div w:id="912158321">
          <w:marLeft w:val="1066"/>
          <w:marRight w:val="0"/>
          <w:marTop w:val="0"/>
          <w:marBottom w:val="120"/>
          <w:divBdr>
            <w:top w:val="none" w:sz="0" w:space="0" w:color="auto"/>
            <w:left w:val="none" w:sz="0" w:space="0" w:color="auto"/>
            <w:bottom w:val="none" w:sz="0" w:space="0" w:color="auto"/>
            <w:right w:val="none" w:sz="0" w:space="0" w:color="auto"/>
          </w:divBdr>
        </w:div>
        <w:div w:id="1345747555">
          <w:marLeft w:val="1066"/>
          <w:marRight w:val="0"/>
          <w:marTop w:val="0"/>
          <w:marBottom w:val="120"/>
          <w:divBdr>
            <w:top w:val="none" w:sz="0" w:space="0" w:color="auto"/>
            <w:left w:val="none" w:sz="0" w:space="0" w:color="auto"/>
            <w:bottom w:val="none" w:sz="0" w:space="0" w:color="auto"/>
            <w:right w:val="none" w:sz="0" w:space="0" w:color="auto"/>
          </w:divBdr>
        </w:div>
        <w:div w:id="1653872995">
          <w:marLeft w:val="1066"/>
          <w:marRight w:val="0"/>
          <w:marTop w:val="0"/>
          <w:marBottom w:val="120"/>
          <w:divBdr>
            <w:top w:val="none" w:sz="0" w:space="0" w:color="auto"/>
            <w:left w:val="none" w:sz="0" w:space="0" w:color="auto"/>
            <w:bottom w:val="none" w:sz="0" w:space="0" w:color="auto"/>
            <w:right w:val="none" w:sz="0" w:space="0" w:color="auto"/>
          </w:divBdr>
        </w:div>
        <w:div w:id="1708144415">
          <w:marLeft w:val="1066"/>
          <w:marRight w:val="0"/>
          <w:marTop w:val="0"/>
          <w:marBottom w:val="120"/>
          <w:divBdr>
            <w:top w:val="none" w:sz="0" w:space="0" w:color="auto"/>
            <w:left w:val="none" w:sz="0" w:space="0" w:color="auto"/>
            <w:bottom w:val="none" w:sz="0" w:space="0" w:color="auto"/>
            <w:right w:val="none" w:sz="0" w:space="0" w:color="auto"/>
          </w:divBdr>
        </w:div>
        <w:div w:id="2107731070">
          <w:marLeft w:val="446"/>
          <w:marRight w:val="0"/>
          <w:marTop w:val="0"/>
          <w:marBottom w:val="120"/>
          <w:divBdr>
            <w:top w:val="none" w:sz="0" w:space="0" w:color="auto"/>
            <w:left w:val="none" w:sz="0" w:space="0" w:color="auto"/>
            <w:bottom w:val="none" w:sz="0" w:space="0" w:color="auto"/>
            <w:right w:val="none" w:sz="0" w:space="0" w:color="auto"/>
          </w:divBdr>
        </w:div>
      </w:divsChild>
    </w:div>
    <w:div w:id="1743140247">
      <w:bodyDiv w:val="1"/>
      <w:marLeft w:val="0"/>
      <w:marRight w:val="0"/>
      <w:marTop w:val="0"/>
      <w:marBottom w:val="0"/>
      <w:divBdr>
        <w:top w:val="none" w:sz="0" w:space="0" w:color="auto"/>
        <w:left w:val="none" w:sz="0" w:space="0" w:color="auto"/>
        <w:bottom w:val="none" w:sz="0" w:space="0" w:color="auto"/>
        <w:right w:val="none" w:sz="0" w:space="0" w:color="auto"/>
      </w:divBdr>
    </w:div>
    <w:div w:id="1752119110">
      <w:bodyDiv w:val="1"/>
      <w:marLeft w:val="0"/>
      <w:marRight w:val="0"/>
      <w:marTop w:val="0"/>
      <w:marBottom w:val="0"/>
      <w:divBdr>
        <w:top w:val="none" w:sz="0" w:space="0" w:color="auto"/>
        <w:left w:val="none" w:sz="0" w:space="0" w:color="auto"/>
        <w:bottom w:val="none" w:sz="0" w:space="0" w:color="auto"/>
        <w:right w:val="none" w:sz="0" w:space="0" w:color="auto"/>
      </w:divBdr>
    </w:div>
    <w:div w:id="1757483373">
      <w:bodyDiv w:val="1"/>
      <w:marLeft w:val="0"/>
      <w:marRight w:val="0"/>
      <w:marTop w:val="0"/>
      <w:marBottom w:val="0"/>
      <w:divBdr>
        <w:top w:val="none" w:sz="0" w:space="0" w:color="auto"/>
        <w:left w:val="none" w:sz="0" w:space="0" w:color="auto"/>
        <w:bottom w:val="none" w:sz="0" w:space="0" w:color="auto"/>
        <w:right w:val="none" w:sz="0" w:space="0" w:color="auto"/>
      </w:divBdr>
    </w:div>
    <w:div w:id="1822237147">
      <w:bodyDiv w:val="1"/>
      <w:marLeft w:val="0"/>
      <w:marRight w:val="0"/>
      <w:marTop w:val="0"/>
      <w:marBottom w:val="0"/>
      <w:divBdr>
        <w:top w:val="none" w:sz="0" w:space="0" w:color="auto"/>
        <w:left w:val="none" w:sz="0" w:space="0" w:color="auto"/>
        <w:bottom w:val="none" w:sz="0" w:space="0" w:color="auto"/>
        <w:right w:val="none" w:sz="0" w:space="0" w:color="auto"/>
      </w:divBdr>
    </w:div>
    <w:div w:id="1854302514">
      <w:bodyDiv w:val="1"/>
      <w:marLeft w:val="0"/>
      <w:marRight w:val="0"/>
      <w:marTop w:val="0"/>
      <w:marBottom w:val="0"/>
      <w:divBdr>
        <w:top w:val="none" w:sz="0" w:space="0" w:color="auto"/>
        <w:left w:val="none" w:sz="0" w:space="0" w:color="auto"/>
        <w:bottom w:val="none" w:sz="0" w:space="0" w:color="auto"/>
        <w:right w:val="none" w:sz="0" w:space="0" w:color="auto"/>
      </w:divBdr>
    </w:div>
    <w:div w:id="1896311480">
      <w:bodyDiv w:val="1"/>
      <w:marLeft w:val="0"/>
      <w:marRight w:val="0"/>
      <w:marTop w:val="0"/>
      <w:marBottom w:val="0"/>
      <w:divBdr>
        <w:top w:val="none" w:sz="0" w:space="0" w:color="auto"/>
        <w:left w:val="none" w:sz="0" w:space="0" w:color="auto"/>
        <w:bottom w:val="none" w:sz="0" w:space="0" w:color="auto"/>
        <w:right w:val="none" w:sz="0" w:space="0" w:color="auto"/>
      </w:divBdr>
    </w:div>
    <w:div w:id="1901358692">
      <w:bodyDiv w:val="1"/>
      <w:marLeft w:val="0"/>
      <w:marRight w:val="0"/>
      <w:marTop w:val="0"/>
      <w:marBottom w:val="0"/>
      <w:divBdr>
        <w:top w:val="none" w:sz="0" w:space="0" w:color="auto"/>
        <w:left w:val="none" w:sz="0" w:space="0" w:color="auto"/>
        <w:bottom w:val="none" w:sz="0" w:space="0" w:color="auto"/>
        <w:right w:val="none" w:sz="0" w:space="0" w:color="auto"/>
      </w:divBdr>
    </w:div>
    <w:div w:id="1994137157">
      <w:bodyDiv w:val="1"/>
      <w:marLeft w:val="0"/>
      <w:marRight w:val="0"/>
      <w:marTop w:val="0"/>
      <w:marBottom w:val="0"/>
      <w:divBdr>
        <w:top w:val="none" w:sz="0" w:space="0" w:color="auto"/>
        <w:left w:val="none" w:sz="0" w:space="0" w:color="auto"/>
        <w:bottom w:val="none" w:sz="0" w:space="0" w:color="auto"/>
        <w:right w:val="none" w:sz="0" w:space="0" w:color="auto"/>
      </w:divBdr>
    </w:div>
    <w:div w:id="2128769770">
      <w:bodyDiv w:val="1"/>
      <w:marLeft w:val="0"/>
      <w:marRight w:val="0"/>
      <w:marTop w:val="0"/>
      <w:marBottom w:val="0"/>
      <w:divBdr>
        <w:top w:val="none" w:sz="0" w:space="0" w:color="auto"/>
        <w:left w:val="none" w:sz="0" w:space="0" w:color="auto"/>
        <w:bottom w:val="none" w:sz="0" w:space="0" w:color="auto"/>
        <w:right w:val="none" w:sz="0" w:space="0" w:color="auto"/>
      </w:divBdr>
    </w:div>
    <w:div w:id="213686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priest@bensonhillbio.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nnemarie5/prebiotic"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ese@illinois.edu"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Depth">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Depth">
      <a:maj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314674-B223-4F86-ADA1-FDA5337AF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1152</TotalTime>
  <Pages>9</Pages>
  <Words>2114</Words>
  <Characters>12053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Syngenta</Company>
  <LinksUpToDate>false</LinksUpToDate>
  <CharactersWithSpaces>14139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Elhan Ersoz</dc:creator>
  <cp:keywords/>
  <dc:description/>
  <cp:lastModifiedBy>Annemarie</cp:lastModifiedBy>
  <cp:revision>124</cp:revision>
  <cp:lastPrinted>2015-05-05T20:21:00Z</cp:lastPrinted>
  <dcterms:created xsi:type="dcterms:W3CDTF">2019-12-10T02:23:00Z</dcterms:created>
  <dcterms:modified xsi:type="dcterms:W3CDTF">2019-12-12T23:28:00Z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id="TIE6fYIQ"/&gt;&lt;style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